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D9C" w:rsidRDefault="005B7D9C" w:rsidP="0021430A">
      <w:pPr>
        <w:pStyle w:val="1"/>
        <w:spacing w:before="0" w:after="0" w:line="240" w:lineRule="auto"/>
        <w:rPr>
          <w:rFonts w:hint="cs"/>
          <w:sz w:val="28"/>
          <w:szCs w:val="28"/>
          <w:u w:val="none"/>
          <w:rtl/>
        </w:rPr>
      </w:pPr>
    </w:p>
    <w:p w:rsidR="00AC4E79" w:rsidRPr="00AC4E79" w:rsidRDefault="00AC4E79" w:rsidP="00AC4E79">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AC4E79">
        <w:rPr>
          <w:rFonts w:ascii="David" w:eastAsiaTheme="minorHAnsi" w:hAnsiTheme="minorHAnsi" w:cs="David" w:hint="cs"/>
          <w:b/>
          <w:bCs/>
          <w:color w:val="000000"/>
          <w:sz w:val="32"/>
          <w:szCs w:val="32"/>
          <w:rtl/>
        </w:rPr>
        <w:t>התקשרות עם חברה לניהול ביטוח הבריאות של העובדים בנציגויות בארצות הברית</w:t>
      </w:r>
    </w:p>
    <w:p w:rsidR="00AC4E79" w:rsidRPr="00AC4E79" w:rsidRDefault="00AC4E79" w:rsidP="00AC4E79">
      <w:pPr>
        <w:keepNext/>
        <w:keepLines/>
        <w:autoSpaceDE w:val="0"/>
        <w:autoSpaceDN w:val="0"/>
        <w:adjustRightInd w:val="0"/>
        <w:spacing w:before="200" w:line="288" w:lineRule="auto"/>
        <w:jc w:val="both"/>
        <w:textAlignment w:val="center"/>
        <w:rPr>
          <w:rFonts w:ascii="David" w:eastAsiaTheme="minorHAnsi" w:hAnsi="Cambria" w:cs="David"/>
          <w:b/>
          <w:bCs/>
          <w:color w:val="000000"/>
          <w:sz w:val="24"/>
          <w:szCs w:val="24"/>
          <w:rtl/>
        </w:rPr>
      </w:pPr>
      <w:r w:rsidRPr="00AC4E79">
        <w:rPr>
          <w:rFonts w:ascii="David" w:eastAsiaTheme="minorHAnsi" w:hAnsi="Cambria" w:cs="David" w:hint="cs"/>
          <w:b/>
          <w:bCs/>
          <w:color w:val="000000"/>
          <w:sz w:val="24"/>
          <w:szCs w:val="24"/>
          <w:rtl/>
        </w:rPr>
        <w:t>הגוף המבוקר: משרד החוץ</w:t>
      </w:r>
    </w:p>
    <w:p w:rsidR="00AC4E79" w:rsidRPr="00AC4E79" w:rsidRDefault="00AC4E79" w:rsidP="00AC4E79">
      <w:pPr>
        <w:autoSpaceDE w:val="0"/>
        <w:autoSpaceDN w:val="0"/>
        <w:adjustRightInd w:val="0"/>
        <w:spacing w:after="0" w:line="288" w:lineRule="auto"/>
        <w:textAlignment w:val="center"/>
        <w:rPr>
          <w:rFonts w:ascii="David" w:eastAsiaTheme="minorHAnsi" w:hAnsi="Times New Roman" w:cs="David"/>
          <w:color w:val="000000"/>
          <w:sz w:val="24"/>
          <w:szCs w:val="24"/>
          <w:rtl/>
        </w:rPr>
      </w:pPr>
      <w:r w:rsidRPr="00AC4E79">
        <w:rPr>
          <w:rFonts w:ascii="David" w:eastAsiaTheme="minorHAnsi" w:hAnsi="Times New Roman" w:cs="David" w:hint="cs"/>
          <w:color w:val="000000"/>
          <w:sz w:val="24"/>
          <w:szCs w:val="24"/>
          <w:rtl/>
        </w:rPr>
        <w:t xml:space="preserve">ליקוי מס' 11 תוקן. ראה הערות רה"מ 60ב' עמ' 186. </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C4E79">
        <w:rPr>
          <w:rFonts w:ascii="David" w:eastAsiaTheme="minorHAnsi" w:hAnsi="Times New Roman" w:cs="David" w:hint="cs"/>
          <w:b/>
          <w:bCs/>
          <w:color w:val="000000"/>
          <w:sz w:val="24"/>
          <w:szCs w:val="24"/>
          <w:rtl/>
        </w:rPr>
        <w:t>ליקוי</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C4E79" w:rsidRPr="00AC4E79" w:rsidRDefault="00AC4E79" w:rsidP="00AC4E79">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hint="cs"/>
          <w:color w:val="000000"/>
          <w:sz w:val="24"/>
          <w:szCs w:val="24"/>
          <w:rtl/>
        </w:rPr>
        <w:t xml:space="preserve">1. </w:t>
      </w:r>
      <w:r w:rsidRPr="00AC4E79">
        <w:rPr>
          <w:rFonts w:ascii="David" w:eastAsiaTheme="minorHAnsi" w:hAnsi="Times New Roman" w:cs="David"/>
          <w:color w:val="000000"/>
          <w:sz w:val="24"/>
          <w:szCs w:val="24"/>
          <w:rtl/>
        </w:rPr>
        <w:tab/>
      </w:r>
      <w:r w:rsidRPr="00AC4E79">
        <w:rPr>
          <w:rFonts w:ascii="David" w:eastAsiaTheme="minorHAnsi" w:hAnsi="Times New Roman" w:cs="David" w:hint="cs"/>
          <w:color w:val="000000"/>
          <w:sz w:val="24"/>
          <w:szCs w:val="24"/>
          <w:rtl/>
        </w:rPr>
        <w:t xml:space="preserve">חוק חובת המכרזים, התשנ"ב-1992, והתקנות על פיו מסדירים את ההליך שלפיו על משרדי ממשלה לרכוש שירותים מספקים. בתקנות חובת המכרזים, התשנ"ג-1993 (להלן-תקנות חובת המכרזים), נקבע שבנסיבות מסוימות אפשר להתקשר בחוזה לרכישת שירותי ביטוח בהליך של מכרז סגור, שבו על המזמין לפנות למספר ספקים ולקיים ביניהם תחרות לבחירת הספק המתאים. כמו כן נקבע שלקראת המכרז יש להכין, בין היתר, כתב דרישות או מפרט, אומדן של ההוצאה הצפויה וטיוטת חוזה ולקבוע את התנאים להשתתפות במכרז. המשרד ביקש הצעות משתי חברות אמריקניות ומהחברה הישראלית אולם לא הכין את שנדרש בתקנות חובת המכרזים. </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C4E79">
        <w:rPr>
          <w:rFonts w:ascii="David" w:eastAsiaTheme="minorHAnsi" w:hAnsi="Times New Roman" w:cs="David" w:hint="cs"/>
          <w:b/>
          <w:bCs/>
          <w:color w:val="000000"/>
          <w:sz w:val="24"/>
          <w:szCs w:val="24"/>
          <w:rtl/>
        </w:rPr>
        <w:t>מעקב</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C4E79" w:rsidRPr="00AC4E79" w:rsidRDefault="00AC4E79" w:rsidP="00AC4E79">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hint="cs"/>
          <w:color w:val="000000"/>
          <w:sz w:val="24"/>
          <w:szCs w:val="24"/>
          <w:rtl/>
        </w:rPr>
        <w:t xml:space="preserve">1. </w:t>
      </w:r>
      <w:r w:rsidRPr="00AC4E79">
        <w:rPr>
          <w:rFonts w:ascii="David" w:eastAsiaTheme="minorHAnsi" w:hAnsi="Times New Roman" w:cs="David"/>
          <w:color w:val="000000"/>
          <w:sz w:val="24"/>
          <w:szCs w:val="24"/>
          <w:rtl/>
        </w:rPr>
        <w:tab/>
      </w:r>
      <w:r w:rsidRPr="00AC4E79">
        <w:rPr>
          <w:rFonts w:ascii="David" w:eastAsiaTheme="minorHAnsi" w:hAnsi="Times New Roman" w:cs="David" w:hint="cs"/>
          <w:color w:val="000000"/>
          <w:sz w:val="24"/>
          <w:szCs w:val="24"/>
          <w:rtl/>
        </w:rPr>
        <w:t>עבור שירותי בריאות לעובדים המקומיים הישראלים (להלן עמ"י) ולשליחים יצא המשרד למכרז פומבי אשר פורסם בעיתונות בתאריך 5.7.2010. במקביל פועל המשרד לאפשר לעובדים המקומיים הזרים (להלן עמ"ז) ביטוח רפואי נפרד בארה"ב. העמ"זים זכאים כבר היום לבחור חברת ביטוח עצמאית בהשתתפות המשרד בעלות הפרמיה.</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C4E79">
        <w:rPr>
          <w:rFonts w:ascii="David" w:eastAsiaTheme="minorHAnsi" w:hAnsi="Times New Roman" w:cs="David" w:hint="cs"/>
          <w:b/>
          <w:bCs/>
          <w:color w:val="000000"/>
          <w:sz w:val="24"/>
          <w:szCs w:val="24"/>
          <w:rtl/>
        </w:rPr>
        <w:t>ליקוי</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C4E79" w:rsidRPr="00AC4E79" w:rsidRDefault="00AC4E79" w:rsidP="00AC4E79">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hint="cs"/>
          <w:color w:val="000000"/>
          <w:sz w:val="24"/>
          <w:szCs w:val="24"/>
          <w:rtl/>
        </w:rPr>
        <w:t>2.</w:t>
      </w:r>
      <w:r w:rsidRPr="00AC4E79">
        <w:rPr>
          <w:rFonts w:ascii="David" w:eastAsiaTheme="minorHAnsi" w:hAnsi="Times New Roman" w:cs="David"/>
          <w:color w:val="000000"/>
          <w:sz w:val="24"/>
          <w:szCs w:val="24"/>
          <w:rtl/>
        </w:rPr>
        <w:tab/>
      </w:r>
      <w:r w:rsidRPr="00AC4E79">
        <w:rPr>
          <w:rFonts w:ascii="David" w:eastAsiaTheme="minorHAnsi" w:hAnsi="Times New Roman" w:cs="David" w:hint="cs"/>
          <w:color w:val="000000"/>
          <w:sz w:val="24"/>
          <w:szCs w:val="24"/>
          <w:rtl/>
        </w:rPr>
        <w:t xml:space="preserve">בחוק נקבע כי הדרך הראויה והנכונה להתקשר עם ספק לקבלת שירותים היא באמצעות מכרז. דרך זו מטרתה להבטיח הזדמנות שווה לכל המעוניין להשתתף במכרז ולהבטיח שייבחר הספק המתאים ביותר, במחיר הראוי ביותר ותוך מקסימום התועלת הכלכלית. בחירת חברה לביטוח בריאות של עובדי המשרד בחו"ל יכולה להיעשות גם באמצעות מכרז סגור - פנייה למספר ספקים ותחרות ביניהם. התברר שהמשרד התקשר עם חברה ישראלית לניהול ביטוח הבריאות לשליחים לפי תקנת פטור שאינה מתאימה, ואילו לגבי עמ"י ועמ"ז - שלא על פי דיני המכרזים. </w:t>
      </w:r>
    </w:p>
    <w:p w:rsidR="00AC4E79" w:rsidRPr="00AC4E79" w:rsidRDefault="00AC4E79" w:rsidP="00AC4E79">
      <w:pPr>
        <w:autoSpaceDE w:val="0"/>
        <w:autoSpaceDN w:val="0"/>
        <w:adjustRightInd w:val="0"/>
        <w:spacing w:after="0" w:line="288" w:lineRule="auto"/>
        <w:ind w:left="509"/>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hint="cs"/>
          <w:color w:val="000000"/>
          <w:sz w:val="24"/>
          <w:szCs w:val="24"/>
          <w:rtl/>
        </w:rPr>
        <w:t xml:space="preserve">על המשרד להקפיד שכל התקשרות עם גוף חיצוני תיעשה על פי כל דין. מהתנהלות המשרד עולה חשש להעדפה מגמתית של החברה הישראלית בניגוד לדינים. </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C4E79">
        <w:rPr>
          <w:rFonts w:ascii="David" w:eastAsiaTheme="minorHAnsi" w:hAnsi="Times New Roman" w:cs="David" w:hint="cs"/>
          <w:b/>
          <w:bCs/>
          <w:color w:val="000000"/>
          <w:sz w:val="24"/>
          <w:szCs w:val="24"/>
          <w:rtl/>
        </w:rPr>
        <w:t>מעקב</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C4E79" w:rsidRPr="00AC4E79" w:rsidRDefault="00AC4E79" w:rsidP="00AC4E79">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hint="cs"/>
          <w:color w:val="000000"/>
          <w:sz w:val="24"/>
          <w:szCs w:val="24"/>
          <w:rtl/>
        </w:rPr>
        <w:t xml:space="preserve">2. </w:t>
      </w:r>
      <w:r w:rsidRPr="00AC4E79">
        <w:rPr>
          <w:rFonts w:ascii="David" w:eastAsiaTheme="minorHAnsi" w:hAnsi="Times New Roman" w:cs="David"/>
          <w:color w:val="000000"/>
          <w:sz w:val="24"/>
          <w:szCs w:val="24"/>
          <w:rtl/>
        </w:rPr>
        <w:tab/>
      </w:r>
      <w:r w:rsidRPr="00AC4E79">
        <w:rPr>
          <w:rFonts w:ascii="David" w:eastAsiaTheme="minorHAnsi" w:hAnsi="Times New Roman" w:cs="David" w:hint="cs"/>
          <w:color w:val="000000"/>
          <w:sz w:val="24"/>
          <w:szCs w:val="24"/>
          <w:rtl/>
        </w:rPr>
        <w:t xml:space="preserve">משרד החוץ פרסם כבר מכרז פתוח. </w:t>
      </w:r>
    </w:p>
    <w:p w:rsidR="00AC4E79" w:rsidRPr="00AC4E79" w:rsidRDefault="00AC4E79" w:rsidP="00AC4E79">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AC4E79" w:rsidRDefault="00AC4E79" w:rsidP="00AC4E79">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AC4E79" w:rsidRDefault="00AC4E79" w:rsidP="00AC4E79">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AC4E79" w:rsidRDefault="00AC4E79" w:rsidP="00AC4E79">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AC4E79" w:rsidRDefault="00AC4E79" w:rsidP="00AC4E79">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C4E79">
        <w:rPr>
          <w:rFonts w:ascii="David" w:eastAsiaTheme="minorHAnsi" w:hAnsi="Times New Roman" w:cs="David" w:hint="cs"/>
          <w:b/>
          <w:bCs/>
          <w:color w:val="000000"/>
          <w:sz w:val="24"/>
          <w:szCs w:val="24"/>
          <w:rtl/>
        </w:rPr>
        <w:lastRenderedPageBreak/>
        <w:t>ליקוי</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C4E79" w:rsidRPr="00AC4E79" w:rsidRDefault="00AC4E79" w:rsidP="00AC4E79">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hint="cs"/>
          <w:color w:val="000000"/>
          <w:sz w:val="24"/>
          <w:szCs w:val="24"/>
          <w:rtl/>
        </w:rPr>
        <w:t>3.</w:t>
      </w:r>
      <w:r w:rsidRPr="00AC4E79">
        <w:rPr>
          <w:rFonts w:ascii="David" w:eastAsiaTheme="minorHAnsi" w:hAnsi="Times New Roman" w:cs="David"/>
          <w:color w:val="000000"/>
          <w:sz w:val="24"/>
          <w:szCs w:val="24"/>
          <w:rtl/>
        </w:rPr>
        <w:tab/>
      </w:r>
      <w:r w:rsidRPr="00AC4E79">
        <w:rPr>
          <w:rFonts w:ascii="David" w:eastAsiaTheme="minorHAnsi" w:hAnsi="Times New Roman" w:cs="David" w:hint="cs"/>
          <w:color w:val="000000"/>
          <w:sz w:val="24"/>
          <w:szCs w:val="24"/>
          <w:rtl/>
        </w:rPr>
        <w:t>הוראות התקנון מתייחסות לחברת ביטוח ולתשלומי פרמיה ואינן מתייחסות לאפשרות של ביטוח השליחים באמצעות חברה לניהול שירותים רפואיים. על המשרד להתאים את התקנון להסדרי ביטוח הבריאות השונים.</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C4E79">
        <w:rPr>
          <w:rFonts w:ascii="David" w:eastAsiaTheme="minorHAnsi" w:hAnsi="Times New Roman" w:cs="David" w:hint="cs"/>
          <w:b/>
          <w:bCs/>
          <w:color w:val="000000"/>
          <w:sz w:val="24"/>
          <w:szCs w:val="24"/>
          <w:rtl/>
        </w:rPr>
        <w:t>מעקב</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C4E79" w:rsidRPr="00AC4E79" w:rsidRDefault="00AC4E79" w:rsidP="00AC4E79">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hint="cs"/>
          <w:color w:val="000000"/>
          <w:sz w:val="24"/>
          <w:szCs w:val="24"/>
          <w:rtl/>
        </w:rPr>
        <w:t xml:space="preserve">3. </w:t>
      </w:r>
      <w:r w:rsidRPr="00AC4E79">
        <w:rPr>
          <w:rFonts w:ascii="David" w:eastAsiaTheme="minorHAnsi" w:hAnsi="Times New Roman" w:cs="David"/>
          <w:color w:val="000000"/>
          <w:sz w:val="24"/>
          <w:szCs w:val="24"/>
          <w:rtl/>
        </w:rPr>
        <w:tab/>
      </w:r>
      <w:r w:rsidRPr="00AC4E79">
        <w:rPr>
          <w:rFonts w:ascii="David" w:eastAsiaTheme="minorHAnsi" w:hAnsi="Times New Roman" w:cs="David" w:hint="cs"/>
          <w:color w:val="000000"/>
          <w:sz w:val="24"/>
          <w:szCs w:val="24"/>
          <w:rtl/>
        </w:rPr>
        <w:t>פורסם השנה מכרז לביטוח רפואי ולא לניהול ביטוח רפואי. לאור זאת אין צורך לשנות את התקנון.</w:t>
      </w:r>
    </w:p>
    <w:p w:rsidR="00AC4E79" w:rsidRPr="00AC4E79" w:rsidRDefault="00AC4E79" w:rsidP="00AC4E79">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color w:val="000000"/>
          <w:sz w:val="24"/>
          <w:szCs w:val="24"/>
          <w:rtl/>
        </w:rPr>
        <w:tab/>
      </w:r>
      <w:r w:rsidRPr="00AC4E79">
        <w:rPr>
          <w:rFonts w:ascii="David" w:eastAsiaTheme="minorHAnsi" w:hAnsi="Times New Roman" w:cs="David" w:hint="cs"/>
          <w:color w:val="000000"/>
          <w:sz w:val="24"/>
          <w:szCs w:val="24"/>
          <w:rtl/>
        </w:rPr>
        <w:t xml:space="preserve">ראה הערות רה"מ 60ב' עמ' 182. </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C4E79">
        <w:rPr>
          <w:rFonts w:ascii="David" w:eastAsiaTheme="minorHAnsi" w:hAnsi="Times New Roman" w:cs="David" w:hint="cs"/>
          <w:b/>
          <w:bCs/>
          <w:color w:val="000000"/>
          <w:sz w:val="24"/>
          <w:szCs w:val="24"/>
          <w:rtl/>
        </w:rPr>
        <w:t>ליקוי</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C4E79" w:rsidRPr="00AC4E79" w:rsidRDefault="00AC4E79" w:rsidP="00AC4E79">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hint="cs"/>
          <w:color w:val="000000"/>
          <w:sz w:val="24"/>
          <w:szCs w:val="24"/>
          <w:rtl/>
        </w:rPr>
        <w:t>4.</w:t>
      </w:r>
      <w:r w:rsidRPr="00AC4E79">
        <w:rPr>
          <w:rFonts w:ascii="David" w:eastAsiaTheme="minorHAnsi" w:hAnsi="Times New Roman" w:cs="David"/>
          <w:color w:val="000000"/>
          <w:sz w:val="24"/>
          <w:szCs w:val="24"/>
          <w:rtl/>
        </w:rPr>
        <w:tab/>
      </w:r>
      <w:r w:rsidRPr="00AC4E79">
        <w:rPr>
          <w:rFonts w:ascii="David" w:eastAsiaTheme="minorHAnsi" w:hAnsi="Times New Roman" w:cs="David" w:hint="cs"/>
          <w:color w:val="000000"/>
          <w:sz w:val="24"/>
          <w:szCs w:val="24"/>
          <w:rtl/>
        </w:rPr>
        <w:t>לדעת משרד מבקר המדינה, נוסח תקנה 14 מלמד כי היא נועדה לשימוש עצמי בנציגות או בסניף ולהתקשרות בעלת אופי מקומי. לגבי החוזים לניהול הסדרי הביטוח - מהות העניין, מורכבותו, היקף ההתקשרות ותחולתו מבחינת מספר הנציגויות ומספר המבוטחים הופכים את השימוש בתקנה זו לבלתי סביר. מן הראוי שהשימוש בתקנה זו יוגבל רק למקרים שבהם אין הצדקה להליך תחרותי של ממש ואין בו תועלת.</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C4E79">
        <w:rPr>
          <w:rFonts w:ascii="David" w:eastAsiaTheme="minorHAnsi" w:hAnsi="Times New Roman" w:cs="David" w:hint="cs"/>
          <w:b/>
          <w:bCs/>
          <w:color w:val="000000"/>
          <w:sz w:val="24"/>
          <w:szCs w:val="24"/>
          <w:rtl/>
        </w:rPr>
        <w:t xml:space="preserve">מעקב </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C4E79" w:rsidRPr="00AC4E79" w:rsidRDefault="00AC4E79" w:rsidP="00AC4E79">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hint="cs"/>
          <w:color w:val="000000"/>
          <w:sz w:val="24"/>
          <w:szCs w:val="24"/>
          <w:rtl/>
        </w:rPr>
        <w:t>4.</w:t>
      </w:r>
      <w:r w:rsidRPr="00AC4E79">
        <w:rPr>
          <w:rFonts w:ascii="David" w:eastAsiaTheme="minorHAnsi" w:hAnsi="Times New Roman" w:cs="David"/>
          <w:color w:val="000000"/>
          <w:sz w:val="24"/>
          <w:szCs w:val="24"/>
          <w:rtl/>
        </w:rPr>
        <w:tab/>
      </w:r>
      <w:r w:rsidRPr="00AC4E79">
        <w:rPr>
          <w:rFonts w:ascii="David" w:eastAsiaTheme="minorHAnsi" w:hAnsi="Times New Roman" w:cs="David" w:hint="cs"/>
          <w:color w:val="000000"/>
          <w:sz w:val="24"/>
          <w:szCs w:val="24"/>
          <w:rtl/>
        </w:rPr>
        <w:t xml:space="preserve">שליחים ועמ"י: המכרז החדש פורסם בתאריך 5.7.10. ביחס לעמ"זים: בחירת חברת ביטוח  אמריקאית נתונה בידי העמ"זים. משרד החוץ פועל לקבלת הצעות מחיר מחברות אמריקאיות מקומיות. </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C4E79">
        <w:rPr>
          <w:rFonts w:ascii="David" w:eastAsiaTheme="minorHAnsi" w:hAnsi="Times New Roman" w:cs="David"/>
          <w:b/>
          <w:bCs/>
          <w:color w:val="000000"/>
          <w:sz w:val="24"/>
          <w:szCs w:val="24"/>
          <w:rtl/>
        </w:rPr>
        <w:tab/>
      </w:r>
      <w:r w:rsidRPr="00AC4E79">
        <w:rPr>
          <w:rFonts w:ascii="David" w:eastAsiaTheme="minorHAnsi" w:hAnsi="Times New Roman" w:cs="David" w:hint="cs"/>
          <w:b/>
          <w:bCs/>
          <w:color w:val="000000"/>
          <w:sz w:val="24"/>
          <w:szCs w:val="24"/>
          <w:rtl/>
        </w:rPr>
        <w:t xml:space="preserve">       </w:t>
      </w:r>
      <w:r w:rsidRPr="00AC4E79">
        <w:rPr>
          <w:rFonts w:ascii="David" w:eastAsiaTheme="minorHAnsi" w:hAnsi="Times New Roman" w:cs="David" w:hint="cs"/>
          <w:color w:val="000000"/>
          <w:sz w:val="24"/>
          <w:szCs w:val="24"/>
          <w:rtl/>
        </w:rPr>
        <w:t>ראה הערות רה"מ 60 ב' עמ' 182.</w:t>
      </w:r>
      <w:r w:rsidRPr="00AC4E79">
        <w:rPr>
          <w:rFonts w:ascii="David" w:eastAsiaTheme="minorHAnsi" w:hAnsi="Times New Roman" w:cs="David"/>
          <w:b/>
          <w:bCs/>
          <w:color w:val="000000"/>
          <w:sz w:val="24"/>
          <w:szCs w:val="24"/>
          <w:rtl/>
        </w:rPr>
        <w:tab/>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hint="cs"/>
          <w:b/>
          <w:bCs/>
          <w:color w:val="000000"/>
          <w:sz w:val="24"/>
          <w:szCs w:val="24"/>
          <w:rtl/>
        </w:rPr>
        <w:t>ליקוי</w:t>
      </w:r>
      <w:r w:rsidRPr="00AC4E79">
        <w:rPr>
          <w:rFonts w:ascii="David" w:eastAsiaTheme="minorHAnsi" w:hAnsi="Times New Roman" w:cs="David" w:hint="cs"/>
          <w:color w:val="000000"/>
          <w:sz w:val="24"/>
          <w:szCs w:val="24"/>
          <w:rtl/>
        </w:rPr>
        <w:t xml:space="preserve"> </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AC4E79" w:rsidRPr="00AC4E79" w:rsidRDefault="00AC4E79" w:rsidP="00AC4E79">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hint="cs"/>
          <w:color w:val="000000"/>
          <w:sz w:val="24"/>
          <w:szCs w:val="24"/>
          <w:rtl/>
        </w:rPr>
        <w:t>5.</w:t>
      </w:r>
      <w:r w:rsidRPr="00AC4E79">
        <w:rPr>
          <w:rFonts w:ascii="David" w:eastAsiaTheme="minorHAnsi" w:hAnsi="Times New Roman" w:cs="David"/>
          <w:color w:val="000000"/>
          <w:sz w:val="24"/>
          <w:szCs w:val="24"/>
          <w:rtl/>
        </w:rPr>
        <w:tab/>
      </w:r>
      <w:r w:rsidRPr="00AC4E79">
        <w:rPr>
          <w:rFonts w:ascii="David" w:eastAsiaTheme="minorHAnsi" w:hAnsi="Times New Roman" w:cs="David" w:hint="cs"/>
          <w:color w:val="000000"/>
          <w:sz w:val="24"/>
          <w:szCs w:val="24"/>
          <w:rtl/>
        </w:rPr>
        <w:t xml:space="preserve">לדעת משרד מבקר המדינה, על משרד החוץ היה לעגן בכתובים את ההליך שהתקיים בינו לבין שלוש החברות כדי להבטיח שקיפות והקפדה על סדרי מינהל תקין בהליך הגשת ההצעות. אם היה בכוונתו לבצע התמחרות, היה עליו להודיע על כך מראש לחברות. </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C4E79">
        <w:rPr>
          <w:rFonts w:ascii="David" w:eastAsiaTheme="minorHAnsi" w:hAnsi="Times New Roman" w:cs="David" w:hint="cs"/>
          <w:b/>
          <w:bCs/>
          <w:color w:val="000000"/>
          <w:sz w:val="24"/>
          <w:szCs w:val="24"/>
          <w:rtl/>
        </w:rPr>
        <w:t xml:space="preserve">מעקב </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C4E79" w:rsidRPr="00AC4E79" w:rsidRDefault="00AC4E79" w:rsidP="00AC4E79">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hint="cs"/>
          <w:color w:val="000000"/>
          <w:sz w:val="24"/>
          <w:szCs w:val="24"/>
          <w:rtl/>
        </w:rPr>
        <w:t>5.</w:t>
      </w:r>
      <w:r w:rsidRPr="00AC4E79">
        <w:rPr>
          <w:rFonts w:ascii="David" w:eastAsiaTheme="minorHAnsi" w:hAnsi="Times New Roman" w:cs="David"/>
          <w:color w:val="000000"/>
          <w:sz w:val="24"/>
          <w:szCs w:val="24"/>
          <w:rtl/>
        </w:rPr>
        <w:tab/>
      </w:r>
      <w:r w:rsidRPr="00AC4E79">
        <w:rPr>
          <w:rFonts w:ascii="David" w:eastAsiaTheme="minorHAnsi" w:hAnsi="Times New Roman" w:cs="David" w:hint="cs"/>
          <w:color w:val="000000"/>
          <w:sz w:val="24"/>
          <w:szCs w:val="24"/>
          <w:rtl/>
        </w:rPr>
        <w:t>פורסם מכרז פומבי בישראל. בהתאם, יתקיים הליך שוויוני ושקוף בין כל משתתפי המכרז.</w:t>
      </w:r>
    </w:p>
    <w:p w:rsidR="00AC4E79" w:rsidRPr="00AC4E79" w:rsidRDefault="00AC4E79" w:rsidP="00AC4E79">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color w:val="000000"/>
          <w:sz w:val="24"/>
          <w:szCs w:val="24"/>
          <w:rtl/>
        </w:rPr>
        <w:tab/>
      </w:r>
      <w:r w:rsidRPr="00AC4E79">
        <w:rPr>
          <w:rFonts w:ascii="David" w:eastAsiaTheme="minorHAnsi" w:hAnsi="Times New Roman" w:cs="David" w:hint="cs"/>
          <w:color w:val="000000"/>
          <w:sz w:val="24"/>
          <w:szCs w:val="24"/>
          <w:rtl/>
        </w:rPr>
        <w:t>ראה הערות רה"מ 60ב' עמ' 182.</w:t>
      </w:r>
    </w:p>
    <w:p w:rsidR="00AC4E79" w:rsidRPr="00AC4E79" w:rsidRDefault="00AC4E79" w:rsidP="00AC4E79">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hint="cs"/>
          <w:color w:val="000000"/>
          <w:sz w:val="24"/>
          <w:szCs w:val="24"/>
          <w:rtl/>
        </w:rPr>
        <w:t xml:space="preserve"> </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hint="cs"/>
          <w:b/>
          <w:bCs/>
          <w:color w:val="000000"/>
          <w:sz w:val="24"/>
          <w:szCs w:val="24"/>
          <w:rtl/>
        </w:rPr>
        <w:t>ליקוי</w:t>
      </w:r>
      <w:r w:rsidRPr="00AC4E79">
        <w:rPr>
          <w:rFonts w:ascii="David" w:eastAsiaTheme="minorHAnsi" w:hAnsi="Times New Roman" w:cs="David" w:hint="cs"/>
          <w:color w:val="000000"/>
          <w:sz w:val="24"/>
          <w:szCs w:val="24"/>
          <w:rtl/>
        </w:rPr>
        <w:t xml:space="preserve"> </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AC4E79" w:rsidRPr="00AC4E79" w:rsidRDefault="00AC4E79" w:rsidP="00AC4E79">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hint="cs"/>
          <w:color w:val="000000"/>
          <w:sz w:val="24"/>
          <w:szCs w:val="24"/>
          <w:rtl/>
        </w:rPr>
        <w:t>6.</w:t>
      </w:r>
      <w:r w:rsidRPr="00AC4E79">
        <w:rPr>
          <w:rFonts w:ascii="David" w:eastAsiaTheme="minorHAnsi" w:hAnsi="Times New Roman" w:cs="David"/>
          <w:color w:val="000000"/>
          <w:sz w:val="24"/>
          <w:szCs w:val="24"/>
          <w:rtl/>
        </w:rPr>
        <w:tab/>
      </w:r>
      <w:r w:rsidRPr="00AC4E79">
        <w:rPr>
          <w:rFonts w:ascii="David" w:eastAsiaTheme="minorHAnsi" w:hAnsi="Times New Roman" w:cs="David" w:hint="cs"/>
          <w:color w:val="000000"/>
          <w:sz w:val="24"/>
          <w:szCs w:val="24"/>
          <w:rtl/>
        </w:rPr>
        <w:t xml:space="preserve">לדעת משרד מבקר המדינה, משרד החוץ לא היה צריך להסתמך בעניין קביעת החוקיות על עורך דין מטעם החברה הישראלית שהוא בעל עניין ויש לו מחויבות וחובת נאמנות לחברה הישראלית שהיא צד לחוזה והיא מועמדת לספק את שירותי הביטוח. היה על המשרד לבדוק סוגיה זו באמצעות היועצים המשפטיים שלו. </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AC4E79" w:rsidRDefault="00AC4E79" w:rsidP="00AC4E79">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AC4E79" w:rsidRDefault="00AC4E79" w:rsidP="00AC4E79">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AC4E79" w:rsidRDefault="00AC4E79" w:rsidP="00AC4E79">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C4E79">
        <w:rPr>
          <w:rFonts w:ascii="David" w:eastAsiaTheme="minorHAnsi" w:hAnsi="Times New Roman" w:cs="David" w:hint="cs"/>
          <w:b/>
          <w:bCs/>
          <w:color w:val="000000"/>
          <w:sz w:val="24"/>
          <w:szCs w:val="24"/>
          <w:rtl/>
        </w:rPr>
        <w:t xml:space="preserve">מעקב </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C4E79" w:rsidRPr="00AC4E79" w:rsidRDefault="00AC4E79" w:rsidP="00AC4E79">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hint="cs"/>
          <w:color w:val="000000"/>
          <w:sz w:val="24"/>
          <w:szCs w:val="24"/>
          <w:rtl/>
        </w:rPr>
        <w:t>6.</w:t>
      </w:r>
      <w:r w:rsidRPr="00AC4E79">
        <w:rPr>
          <w:rFonts w:ascii="David" w:eastAsiaTheme="minorHAnsi" w:hAnsi="Times New Roman" w:cs="David"/>
          <w:color w:val="000000"/>
          <w:sz w:val="24"/>
          <w:szCs w:val="24"/>
          <w:rtl/>
        </w:rPr>
        <w:tab/>
      </w:r>
      <w:r w:rsidRPr="00AC4E79">
        <w:rPr>
          <w:rFonts w:ascii="David" w:eastAsiaTheme="minorHAnsi" w:hAnsi="Times New Roman" w:cs="David" w:hint="cs"/>
          <w:color w:val="000000"/>
          <w:sz w:val="24"/>
          <w:szCs w:val="24"/>
          <w:rtl/>
        </w:rPr>
        <w:t xml:space="preserve">בעקבות הביקורת, מחלקת משפט מלווה כבר את כל תהליך בחירת ספק ביטוח הבריאות. </w:t>
      </w:r>
    </w:p>
    <w:p w:rsidR="00AC4E79" w:rsidRPr="00AC4E79" w:rsidRDefault="00AC4E79" w:rsidP="00AC4E79">
      <w:pPr>
        <w:autoSpaceDE w:val="0"/>
        <w:autoSpaceDN w:val="0"/>
        <w:adjustRightInd w:val="0"/>
        <w:spacing w:after="0" w:line="288" w:lineRule="auto"/>
        <w:ind w:left="1076"/>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hint="cs"/>
          <w:color w:val="000000"/>
          <w:sz w:val="24"/>
          <w:szCs w:val="24"/>
          <w:rtl/>
        </w:rPr>
        <w:t xml:space="preserve">ראה הערות רה"מ 60ב' עמ' 183. </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C4E79">
        <w:rPr>
          <w:rFonts w:ascii="David" w:eastAsiaTheme="minorHAnsi" w:hAnsi="Times New Roman" w:cs="David" w:hint="cs"/>
          <w:b/>
          <w:bCs/>
          <w:color w:val="000000"/>
          <w:sz w:val="24"/>
          <w:szCs w:val="24"/>
          <w:rtl/>
        </w:rPr>
        <w:t>ליקוי</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C4E79" w:rsidRPr="00AC4E79" w:rsidRDefault="00AC4E79" w:rsidP="00AC4E79">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hint="cs"/>
          <w:color w:val="000000"/>
          <w:sz w:val="24"/>
          <w:szCs w:val="24"/>
          <w:rtl/>
        </w:rPr>
        <w:t>7.</w:t>
      </w:r>
      <w:r w:rsidRPr="00AC4E79">
        <w:rPr>
          <w:rFonts w:ascii="David" w:eastAsiaTheme="minorHAnsi" w:hAnsi="Times New Roman" w:cs="David"/>
          <w:color w:val="000000"/>
          <w:sz w:val="24"/>
          <w:szCs w:val="24"/>
          <w:rtl/>
        </w:rPr>
        <w:tab/>
      </w:r>
      <w:r w:rsidRPr="00AC4E79">
        <w:rPr>
          <w:rFonts w:ascii="David" w:eastAsiaTheme="minorHAnsi" w:hAnsi="Times New Roman" w:cs="David" w:hint="cs"/>
          <w:color w:val="000000"/>
          <w:sz w:val="24"/>
          <w:szCs w:val="24"/>
          <w:rtl/>
        </w:rPr>
        <w:t>המשרד החל בהליך של מכרז סגור, אולם ועדת המכרזים לא בדקה את הצעותיהן של החברות למתן השירותים הרפואיים לעמ"י ולעמ"ז ולא אישרה את בחירת החברה הישראלית, כפי שנעשה בהסכם השליחים וכמתבקש מחוק חובת המכרזים והתקנות על פיו. לדעת משרד מבקר המדינה, על המשרד להקפיד שכל התקשרות עם גוף חיצוני תידון בוועדת המכרזים, ובהתאם לנסיבות יינתן פטור ממכרז על פי כל דין. יתר על כן, התנהלות המשרד בהליכי ההתקשרות עם החברה הישראלית בחוזה השליחים ובחוזה עמ"י ועמ"ז מעלה חשש להעדפה מגמתית של החברה, בניגוד לדינים.</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C4E79">
        <w:rPr>
          <w:rFonts w:ascii="David" w:eastAsiaTheme="minorHAnsi" w:hAnsi="Times New Roman" w:cs="David" w:hint="cs"/>
          <w:b/>
          <w:bCs/>
          <w:color w:val="000000"/>
          <w:sz w:val="24"/>
          <w:szCs w:val="24"/>
          <w:rtl/>
        </w:rPr>
        <w:t xml:space="preserve">מעקב </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C4E79" w:rsidRPr="00AC4E79" w:rsidRDefault="00AC4E79" w:rsidP="00AC4E79">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hint="cs"/>
          <w:color w:val="000000"/>
          <w:sz w:val="24"/>
          <w:szCs w:val="24"/>
          <w:rtl/>
        </w:rPr>
        <w:t>7.</w:t>
      </w:r>
      <w:r w:rsidRPr="00AC4E79">
        <w:rPr>
          <w:rFonts w:ascii="David" w:eastAsiaTheme="minorHAnsi" w:hAnsi="Times New Roman" w:cs="David"/>
          <w:color w:val="000000"/>
          <w:sz w:val="24"/>
          <w:szCs w:val="24"/>
          <w:rtl/>
        </w:rPr>
        <w:tab/>
      </w:r>
      <w:r w:rsidRPr="00AC4E79">
        <w:rPr>
          <w:rFonts w:ascii="David" w:eastAsiaTheme="minorHAnsi" w:hAnsi="Times New Roman" w:cs="David" w:hint="cs"/>
          <w:color w:val="000000"/>
          <w:sz w:val="24"/>
          <w:szCs w:val="24"/>
          <w:rtl/>
        </w:rPr>
        <w:t>המשרד מקפיד כבר על טיפול שוויוני על בסיס נתונים ברי השוואה, על מנת לאפשר לוועדה לבחון את ההצעות ללא ההעדפה למציע זה או אחר.</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color w:val="000000"/>
          <w:sz w:val="24"/>
          <w:szCs w:val="24"/>
          <w:rtl/>
        </w:rPr>
        <w:tab/>
      </w:r>
      <w:r w:rsidRPr="00AC4E79">
        <w:rPr>
          <w:rFonts w:ascii="David" w:eastAsiaTheme="minorHAnsi" w:hAnsi="Times New Roman" w:cs="David" w:hint="cs"/>
          <w:color w:val="000000"/>
          <w:sz w:val="24"/>
          <w:szCs w:val="24"/>
          <w:rtl/>
        </w:rPr>
        <w:t xml:space="preserve">       ראה הערות רה"מ 60ב' עמ' 183.</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hint="cs"/>
          <w:b/>
          <w:bCs/>
          <w:color w:val="000000"/>
          <w:sz w:val="24"/>
          <w:szCs w:val="24"/>
          <w:rtl/>
        </w:rPr>
        <w:t>ליקוי</w:t>
      </w:r>
      <w:r w:rsidRPr="00AC4E79">
        <w:rPr>
          <w:rFonts w:ascii="David" w:eastAsiaTheme="minorHAnsi" w:hAnsi="Times New Roman" w:cs="David" w:hint="cs"/>
          <w:color w:val="000000"/>
          <w:sz w:val="24"/>
          <w:szCs w:val="24"/>
          <w:rtl/>
        </w:rPr>
        <w:t xml:space="preserve"> </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AC4E79" w:rsidRPr="00AC4E79" w:rsidRDefault="00AC4E79" w:rsidP="00AC4E79">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hint="cs"/>
          <w:color w:val="000000"/>
          <w:sz w:val="24"/>
          <w:szCs w:val="24"/>
          <w:rtl/>
        </w:rPr>
        <w:t>8.</w:t>
      </w:r>
      <w:r w:rsidRPr="00AC4E79">
        <w:rPr>
          <w:rFonts w:ascii="David" w:eastAsiaTheme="minorHAnsi" w:hAnsi="Times New Roman" w:cs="David"/>
          <w:color w:val="000000"/>
          <w:sz w:val="24"/>
          <w:szCs w:val="24"/>
          <w:rtl/>
        </w:rPr>
        <w:tab/>
      </w:r>
      <w:r w:rsidRPr="00AC4E79">
        <w:rPr>
          <w:rFonts w:ascii="David" w:eastAsiaTheme="minorHAnsi" w:hAnsi="Times New Roman" w:cs="David" w:hint="cs"/>
          <w:color w:val="000000"/>
          <w:sz w:val="24"/>
          <w:szCs w:val="24"/>
          <w:rtl/>
        </w:rPr>
        <w:t xml:space="preserve">המחלקה המשפטית, שהייתה אחראית לבחינת סעיפי חוזה עמ"י ועמ"ז ולאישורו, לא נתנה את הדעת לכך שחלק מהסעיפים בחוזה החלים על העמ"ז מחילים דינים ישראליים על אזרחים אמריקנים; סעיפים אלה אינם סבירים ואינם עולים בקנה אחד עם הוראות התקנון. </w:t>
      </w:r>
    </w:p>
    <w:p w:rsidR="00AC4E79" w:rsidRPr="00AC4E79" w:rsidRDefault="00AC4E79" w:rsidP="00AC4E79">
      <w:pPr>
        <w:suppressAutoHyphens/>
        <w:autoSpaceDE w:val="0"/>
        <w:autoSpaceDN w:val="0"/>
        <w:adjustRightInd w:val="0"/>
        <w:spacing w:after="0" w:line="288" w:lineRule="auto"/>
        <w:ind w:left="509"/>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hint="cs"/>
          <w:color w:val="000000"/>
          <w:sz w:val="24"/>
          <w:szCs w:val="24"/>
          <w:rtl/>
        </w:rPr>
        <w:t xml:space="preserve">לדעת משרד מבקר המדינה, מן הראוי שהמחלקה המשפטית תבדוק היטב את החוזה שייחתם בעתיד בעניין ביטוח הבריאות של העמ"ז כדי לוודא שסעיפיו סבירים ומתיישבים עם הוראות התקנון ועם הדין המקומי. </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C4E79">
        <w:rPr>
          <w:rFonts w:ascii="David" w:eastAsiaTheme="minorHAnsi" w:hAnsi="Times New Roman" w:cs="David" w:hint="cs"/>
          <w:b/>
          <w:bCs/>
          <w:color w:val="000000"/>
          <w:sz w:val="24"/>
          <w:szCs w:val="24"/>
          <w:rtl/>
        </w:rPr>
        <w:t xml:space="preserve">מעקב </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C4E79" w:rsidRPr="00AC4E79" w:rsidRDefault="00AC4E79" w:rsidP="00AC4E79">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hint="cs"/>
          <w:color w:val="000000"/>
          <w:sz w:val="24"/>
          <w:szCs w:val="24"/>
          <w:rtl/>
        </w:rPr>
        <w:t>8.</w:t>
      </w:r>
      <w:r w:rsidRPr="00AC4E79">
        <w:rPr>
          <w:rFonts w:ascii="David" w:eastAsiaTheme="minorHAnsi" w:hAnsi="Times New Roman" w:cs="David"/>
          <w:color w:val="000000"/>
          <w:sz w:val="24"/>
          <w:szCs w:val="24"/>
          <w:rtl/>
        </w:rPr>
        <w:tab/>
      </w:r>
      <w:r w:rsidRPr="00AC4E79">
        <w:rPr>
          <w:rFonts w:ascii="David" w:eastAsiaTheme="minorHAnsi" w:hAnsi="Times New Roman" w:cs="David" w:hint="cs"/>
          <w:color w:val="000000"/>
          <w:sz w:val="24"/>
          <w:szCs w:val="24"/>
          <w:rtl/>
        </w:rPr>
        <w:t xml:space="preserve">בחירת ספק שירותי ביטוח בריאות לעובדים ישראליים (שליחים ועמ"י) הינו נפרד כבר מההליך לבחירת ספק שירותי ביטוח בריאות לעמ"ז, בארה"ב. עבור עמ"זים נבחנות חברות אמריקאיות בלבד ולכן אין חשש שיוחל באופן זה או אחר הדין הישראלי עליהם. </w:t>
      </w:r>
    </w:p>
    <w:p w:rsidR="00AC4E79" w:rsidRPr="00AC4E79" w:rsidRDefault="00AC4E79" w:rsidP="00AC4E79">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color w:val="000000"/>
          <w:sz w:val="24"/>
          <w:szCs w:val="24"/>
          <w:rtl/>
        </w:rPr>
        <w:tab/>
      </w:r>
      <w:r w:rsidRPr="00AC4E79">
        <w:rPr>
          <w:rFonts w:ascii="David" w:eastAsiaTheme="minorHAnsi" w:hAnsi="Times New Roman" w:cs="David" w:hint="cs"/>
          <w:color w:val="000000"/>
          <w:sz w:val="24"/>
          <w:szCs w:val="24"/>
          <w:rtl/>
        </w:rPr>
        <w:t xml:space="preserve">ראה הערות רה"מ 60ב' עמ' 184. </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C4E79">
        <w:rPr>
          <w:rFonts w:ascii="David" w:eastAsiaTheme="minorHAnsi" w:hAnsi="Times New Roman" w:cs="David" w:hint="cs"/>
          <w:b/>
          <w:bCs/>
          <w:color w:val="000000"/>
          <w:sz w:val="24"/>
          <w:szCs w:val="24"/>
          <w:rtl/>
        </w:rPr>
        <w:t>ליקוי</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AC4E79" w:rsidRPr="00AC4E79" w:rsidRDefault="00AC4E79" w:rsidP="00AC4E79">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hint="cs"/>
          <w:color w:val="000000"/>
          <w:sz w:val="24"/>
          <w:szCs w:val="24"/>
          <w:rtl/>
        </w:rPr>
        <w:t>9.</w:t>
      </w:r>
      <w:r w:rsidRPr="00AC4E79">
        <w:rPr>
          <w:rFonts w:ascii="David" w:eastAsiaTheme="minorHAnsi" w:hAnsi="Times New Roman" w:cs="David"/>
          <w:color w:val="000000"/>
          <w:sz w:val="24"/>
          <w:szCs w:val="24"/>
          <w:rtl/>
        </w:rPr>
        <w:tab/>
      </w:r>
      <w:r w:rsidRPr="00AC4E79">
        <w:rPr>
          <w:rFonts w:ascii="David" w:eastAsiaTheme="minorHAnsi" w:hAnsi="Times New Roman" w:cs="David" w:hint="cs"/>
          <w:color w:val="000000"/>
          <w:sz w:val="24"/>
          <w:szCs w:val="24"/>
          <w:rtl/>
        </w:rPr>
        <w:t xml:space="preserve">בדצמבר 2008 התקיים דיון בוועדת המכרזים על התקשרות עם מועמד יחיד לייעוץ בביטוח. שכרו הוערך בפחות מ-43,000 ש"ח אולם לא הוצגו לוועדה שלושה ספקים לפחות או חוות דעת של גורם מוסמך שאין שלושה ספקים כאלה. הוועדה בחרה בו ונימקה זאת בהיותו בעל מומחיות וניסיון שצבר במשרד הביטחון ולכן סברה שהעסקתו תזרז את הכנת המכרז לביטוח בריאות של השליחים. בביקורת התברר כי לפני חתימת חוזה עמ"י ועמ"ז ב-2007 </w:t>
      </w:r>
      <w:r w:rsidRPr="00AC4E79">
        <w:rPr>
          <w:rFonts w:ascii="David" w:eastAsiaTheme="minorHAnsi" w:hAnsi="Times New Roman" w:cs="David" w:hint="cs"/>
          <w:color w:val="000000"/>
          <w:sz w:val="24"/>
          <w:szCs w:val="24"/>
          <w:rtl/>
        </w:rPr>
        <w:lastRenderedPageBreak/>
        <w:t xml:space="preserve">אותו יועץ המליץ בחוות דעת שנתן למשרד להתקשר עם החברה הישראלית, ולמרות זאת מפרוטוקול הישיבה עולה שהוועדה לא הביאה בשיקוליה עניין זה. </w:t>
      </w:r>
    </w:p>
    <w:p w:rsidR="00AC4E79" w:rsidRPr="00AC4E79" w:rsidRDefault="00AC4E79" w:rsidP="00AC4E79">
      <w:pPr>
        <w:autoSpaceDE w:val="0"/>
        <w:autoSpaceDN w:val="0"/>
        <w:adjustRightInd w:val="0"/>
        <w:spacing w:after="0" w:line="288" w:lineRule="auto"/>
        <w:ind w:left="509"/>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hint="cs"/>
          <w:color w:val="000000"/>
          <w:sz w:val="24"/>
          <w:szCs w:val="24"/>
          <w:rtl/>
        </w:rPr>
        <w:t xml:space="preserve">לדעת משרד מבקר המדינה, מאחר שהיועץ המליץ בעבר למשרד על החברה הישראלית, וכיוון שהמשרד החליט לבחון מחדש את ההתקשרות עם החברה הישראלית היה על ועדת המכרזים לבחון קבלת חוות דעת מקצועית ממומחה נוסף. כמו כן, פעולת הוועדה בלא שבחנה אפשרות להעסקת יועצים נוספים, בניגוד להוראות תכ"ם, מנעה הליך תחרותי וגם אפשרות לבחור את היועץ המתאים ביותר. </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C4E79">
        <w:rPr>
          <w:rFonts w:ascii="David" w:eastAsiaTheme="minorHAnsi" w:hAnsi="Times New Roman" w:cs="David" w:hint="cs"/>
          <w:b/>
          <w:bCs/>
          <w:color w:val="000000"/>
          <w:sz w:val="24"/>
          <w:szCs w:val="24"/>
          <w:rtl/>
        </w:rPr>
        <w:t xml:space="preserve">מעקב </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C4E79" w:rsidRPr="00AC4E79" w:rsidRDefault="00AC4E79" w:rsidP="00AC4E79">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hint="cs"/>
          <w:color w:val="000000"/>
          <w:sz w:val="24"/>
          <w:szCs w:val="24"/>
          <w:rtl/>
        </w:rPr>
        <w:t>9.</w:t>
      </w:r>
      <w:r w:rsidRPr="00AC4E79">
        <w:rPr>
          <w:rFonts w:ascii="David" w:eastAsiaTheme="minorHAnsi" w:hAnsi="Times New Roman" w:cs="David"/>
          <w:color w:val="000000"/>
          <w:sz w:val="24"/>
          <w:szCs w:val="24"/>
          <w:rtl/>
        </w:rPr>
        <w:tab/>
      </w:r>
      <w:r w:rsidRPr="00AC4E79">
        <w:rPr>
          <w:rFonts w:ascii="David" w:eastAsiaTheme="minorHAnsi" w:hAnsi="Times New Roman" w:cs="David" w:hint="cs"/>
          <w:color w:val="000000"/>
          <w:sz w:val="24"/>
          <w:szCs w:val="24"/>
          <w:rtl/>
        </w:rPr>
        <w:t>היועץ לביטוח רפואי, למד מקרוב את הצרכים ואת הנתונים של המשרד. החלפתו ביועץ אחר, תגרום לעיכוב ממשי בקידום ההליך המכרזי ולכן, בנסיבות אלה, יש להמשיך ולהעסיקו עד לגמר ההליך. בתום המכרז לבחירת חברת ביטוח, יהיה מקום לצאת למכרז מסודר לבחירת יועץ ביטוח רפואי. </w:t>
      </w:r>
    </w:p>
    <w:p w:rsidR="00AC4E79" w:rsidRPr="00AC4E79" w:rsidRDefault="00AC4E79" w:rsidP="00AC4E79">
      <w:pPr>
        <w:autoSpaceDE w:val="0"/>
        <w:autoSpaceDN w:val="0"/>
        <w:adjustRightInd w:val="0"/>
        <w:spacing w:after="0" w:line="288" w:lineRule="auto"/>
        <w:ind w:left="1076"/>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hint="cs"/>
          <w:color w:val="000000"/>
          <w:sz w:val="24"/>
          <w:szCs w:val="24"/>
          <w:rtl/>
        </w:rPr>
        <w:t xml:space="preserve">ראה הערות רה"מ 60ב' עמ' 185. </w:t>
      </w:r>
    </w:p>
    <w:p w:rsidR="00AC4E79" w:rsidRPr="00AC4E79" w:rsidRDefault="00AC4E79" w:rsidP="00AC4E79">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C4E79">
        <w:rPr>
          <w:rFonts w:ascii="David" w:eastAsiaTheme="minorHAnsi" w:hAnsi="Times New Roman" w:cs="David" w:hint="cs"/>
          <w:b/>
          <w:bCs/>
          <w:color w:val="000000"/>
          <w:sz w:val="24"/>
          <w:szCs w:val="24"/>
          <w:rtl/>
        </w:rPr>
        <w:t>ליקוי</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C4E79" w:rsidRPr="00AC4E79" w:rsidRDefault="00AC4E79" w:rsidP="00AC4E79">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hint="cs"/>
          <w:color w:val="000000"/>
          <w:sz w:val="24"/>
          <w:szCs w:val="24"/>
          <w:rtl/>
        </w:rPr>
        <w:t>10.</w:t>
      </w:r>
      <w:r w:rsidRPr="00AC4E79">
        <w:rPr>
          <w:rFonts w:ascii="David" w:eastAsiaTheme="minorHAnsi" w:hAnsi="Times New Roman" w:cs="David"/>
          <w:color w:val="000000"/>
          <w:sz w:val="24"/>
          <w:szCs w:val="24"/>
          <w:rtl/>
        </w:rPr>
        <w:tab/>
      </w:r>
      <w:r w:rsidRPr="00AC4E79">
        <w:rPr>
          <w:rFonts w:ascii="David" w:eastAsiaTheme="minorHAnsi" w:hAnsi="Times New Roman" w:cs="David" w:hint="cs"/>
          <w:color w:val="000000"/>
          <w:sz w:val="24"/>
          <w:szCs w:val="24"/>
          <w:rtl/>
        </w:rPr>
        <w:t>לדעת משרד מבקר המדינה, כדי להימנע מהליקויים שעליהם הצביע, על משרד החוץ לבדוק היטב את חלופות הביטוח לקראת ההתקשרות לביטוח בריאות של כל העובדים בארה"ב ולהיערך לכך מבחינה כספית, ארגונית ומשפטית לפני קבלת החלטה על החלופה. על המשרד להנחות את עובדיו לקיים התייעצות עם הגורמים המקצועיים הרלוונטיים לפני ההתקשרות עם גוף חיצוני.</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C4E79">
        <w:rPr>
          <w:rFonts w:ascii="David" w:eastAsiaTheme="minorHAnsi" w:hAnsi="Times New Roman" w:cs="David" w:hint="cs"/>
          <w:b/>
          <w:bCs/>
          <w:color w:val="000000"/>
          <w:sz w:val="24"/>
          <w:szCs w:val="24"/>
          <w:rtl/>
        </w:rPr>
        <w:t>מעקב</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hint="cs"/>
          <w:color w:val="000000"/>
          <w:sz w:val="24"/>
          <w:szCs w:val="24"/>
          <w:rtl/>
        </w:rPr>
        <w:t>10.</w:t>
      </w:r>
      <w:r w:rsidRPr="00AC4E79">
        <w:rPr>
          <w:rFonts w:ascii="David" w:eastAsiaTheme="minorHAnsi" w:hAnsi="Times New Roman" w:cs="David"/>
          <w:color w:val="000000"/>
          <w:sz w:val="24"/>
          <w:szCs w:val="24"/>
          <w:rtl/>
        </w:rPr>
        <w:tab/>
      </w:r>
      <w:r w:rsidRPr="00AC4E79">
        <w:rPr>
          <w:rFonts w:ascii="David" w:eastAsiaTheme="minorHAnsi" w:hAnsi="Times New Roman" w:cs="David" w:hint="cs"/>
          <w:color w:val="000000"/>
          <w:sz w:val="24"/>
          <w:szCs w:val="24"/>
          <w:rtl/>
        </w:rPr>
        <w:t xml:space="preserve">המלצות הביקורת כבר אומצו. </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color w:val="000000"/>
          <w:sz w:val="24"/>
          <w:szCs w:val="24"/>
          <w:rtl/>
        </w:rPr>
        <w:tab/>
      </w:r>
      <w:r w:rsidRPr="00AC4E79">
        <w:rPr>
          <w:rFonts w:ascii="David" w:eastAsiaTheme="minorHAnsi" w:hAnsi="Times New Roman" w:cs="David" w:hint="cs"/>
          <w:color w:val="000000"/>
          <w:sz w:val="24"/>
          <w:szCs w:val="24"/>
          <w:rtl/>
        </w:rPr>
        <w:t xml:space="preserve">ראה הערות רה"מ 60ב' עמ' 185. </w:t>
      </w:r>
    </w:p>
    <w:p w:rsidR="00AC4E79" w:rsidRPr="00AC4E79" w:rsidRDefault="00AC4E79" w:rsidP="00AC4E79">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hint="cs"/>
          <w:b/>
          <w:bCs/>
          <w:color w:val="000000"/>
          <w:sz w:val="24"/>
          <w:szCs w:val="24"/>
          <w:rtl/>
        </w:rPr>
        <w:t>ליקוי</w:t>
      </w:r>
      <w:r w:rsidRPr="00AC4E79">
        <w:rPr>
          <w:rFonts w:ascii="David" w:eastAsiaTheme="minorHAnsi" w:hAnsi="Times New Roman" w:cs="David" w:hint="cs"/>
          <w:color w:val="000000"/>
          <w:sz w:val="24"/>
          <w:szCs w:val="24"/>
          <w:rtl/>
        </w:rPr>
        <w:t xml:space="preserve"> </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AC4E79" w:rsidRPr="00AC4E79" w:rsidRDefault="00AC4E79" w:rsidP="00AC4E79">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hint="cs"/>
          <w:color w:val="000000"/>
          <w:sz w:val="24"/>
          <w:szCs w:val="24"/>
          <w:rtl/>
        </w:rPr>
        <w:t>12.</w:t>
      </w:r>
      <w:r w:rsidRPr="00AC4E79">
        <w:rPr>
          <w:rFonts w:ascii="David" w:eastAsiaTheme="minorHAnsi" w:hAnsi="Times New Roman" w:cs="David"/>
          <w:color w:val="000000"/>
          <w:sz w:val="24"/>
          <w:szCs w:val="24"/>
          <w:rtl/>
        </w:rPr>
        <w:tab/>
      </w:r>
      <w:r w:rsidRPr="00AC4E79">
        <w:rPr>
          <w:rFonts w:ascii="David" w:eastAsiaTheme="minorHAnsi" w:hAnsi="Times New Roman" w:cs="David" w:hint="cs"/>
          <w:color w:val="000000"/>
          <w:sz w:val="24"/>
          <w:szCs w:val="24"/>
          <w:rtl/>
        </w:rPr>
        <w:t xml:space="preserve">הבדיקה העלתה שהקונסוליה ומטה המשרד לא בדקו ולא אימתו באופן שיטתי את המידע שבדוחות שהעבירה אליהם החברה הישראלית על דרישות השליחים, העמ"י והעמ"ז לקבל שירותים רפואיים ועל התשלומים עבור שירותים אלה. המשרד גם לא בדק ברשומות החברה את העברת התשלומים לספקים. </w:t>
      </w:r>
    </w:p>
    <w:p w:rsidR="00AC4E79" w:rsidRPr="00AC4E79" w:rsidRDefault="00AC4E79" w:rsidP="00AC4E79">
      <w:pPr>
        <w:autoSpaceDE w:val="0"/>
        <w:autoSpaceDN w:val="0"/>
        <w:adjustRightInd w:val="0"/>
        <w:spacing w:after="0" w:line="288" w:lineRule="auto"/>
        <w:ind w:left="509"/>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hint="cs"/>
          <w:color w:val="000000"/>
          <w:sz w:val="24"/>
          <w:szCs w:val="24"/>
          <w:rtl/>
        </w:rPr>
        <w:t xml:space="preserve">לדעת משרד מבקר המדינה, היעדר בקרה ופיקוח על ההוצאות בגין השירותים והתביעות הרפואיות שעליהם דיווחה החברה הפך שניים מהיתרונות העיקריים שלה - מתן שירותי ניהול בעברית והיכולת לקיים עליה בקרה ביתר קלות משום שהיא פועלת בארץ - לחסרי משמעות. </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C4E79">
        <w:rPr>
          <w:rFonts w:ascii="David" w:eastAsiaTheme="minorHAnsi" w:hAnsi="Times New Roman" w:cs="David" w:hint="cs"/>
          <w:b/>
          <w:bCs/>
          <w:color w:val="000000"/>
          <w:sz w:val="24"/>
          <w:szCs w:val="24"/>
          <w:rtl/>
        </w:rPr>
        <w:t>מעקב</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C4E79" w:rsidRPr="00AC4E79" w:rsidRDefault="00AC4E79" w:rsidP="00AC4E79">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hint="cs"/>
          <w:color w:val="000000"/>
          <w:sz w:val="24"/>
          <w:szCs w:val="24"/>
          <w:rtl/>
        </w:rPr>
        <w:t>12.</w:t>
      </w:r>
      <w:r w:rsidRPr="00AC4E79">
        <w:rPr>
          <w:rFonts w:ascii="David" w:eastAsiaTheme="minorHAnsi" w:hAnsi="Times New Roman" w:cs="David"/>
          <w:color w:val="000000"/>
          <w:sz w:val="24"/>
          <w:szCs w:val="24"/>
          <w:rtl/>
        </w:rPr>
        <w:tab/>
      </w:r>
      <w:r w:rsidRPr="00AC4E79">
        <w:rPr>
          <w:rFonts w:ascii="David" w:eastAsiaTheme="minorHAnsi" w:hAnsi="Times New Roman" w:cs="David" w:hint="cs"/>
          <w:color w:val="000000"/>
          <w:sz w:val="24"/>
          <w:szCs w:val="24"/>
          <w:rtl/>
        </w:rPr>
        <w:t xml:space="preserve">המידע שמעבירה החברה הישראלית על דרישות השליחים עמ"י ועמ"ז לקבלת שירותים רפואיים ועל התשלומים עבור שירותים אלו נבדק ומתבצע על פי דוח המתקבל מחברת הניהול. בעקבות המכרז החדש לא תצטרך יותר הקונסוליה לבדוק את התשלומים שכן מדובר בחברת ביטוח ובתשלום פרמיה קבוע. </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color w:val="000000"/>
          <w:sz w:val="24"/>
          <w:szCs w:val="24"/>
          <w:rtl/>
        </w:rPr>
        <w:tab/>
      </w:r>
      <w:r w:rsidRPr="00AC4E79">
        <w:rPr>
          <w:rFonts w:ascii="David" w:eastAsiaTheme="minorHAnsi" w:hAnsi="Times New Roman" w:cs="David" w:hint="cs"/>
          <w:color w:val="000000"/>
          <w:sz w:val="24"/>
          <w:szCs w:val="24"/>
          <w:rtl/>
        </w:rPr>
        <w:t xml:space="preserve">       ראה הערות רה"מ 60ב' עמ' 186. </w:t>
      </w:r>
    </w:p>
    <w:p w:rsidR="00AC4E79" w:rsidRPr="00AC4E79" w:rsidRDefault="00AC4E79" w:rsidP="00AC4E79">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C4E79">
        <w:rPr>
          <w:rFonts w:ascii="David" w:eastAsiaTheme="minorHAnsi" w:hAnsi="Times New Roman" w:cs="David" w:hint="cs"/>
          <w:b/>
          <w:bCs/>
          <w:color w:val="000000"/>
          <w:sz w:val="24"/>
          <w:szCs w:val="24"/>
          <w:rtl/>
        </w:rPr>
        <w:t>ליקוי</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C4E79" w:rsidRPr="00AC4E79" w:rsidRDefault="00AC4E79" w:rsidP="00AC4E79">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hint="cs"/>
          <w:color w:val="000000"/>
          <w:sz w:val="24"/>
          <w:szCs w:val="24"/>
          <w:rtl/>
        </w:rPr>
        <w:t>13.</w:t>
      </w:r>
      <w:r w:rsidRPr="00AC4E79">
        <w:rPr>
          <w:rFonts w:ascii="David" w:eastAsiaTheme="minorHAnsi" w:hAnsi="Times New Roman" w:cs="David"/>
          <w:color w:val="000000"/>
          <w:sz w:val="24"/>
          <w:szCs w:val="24"/>
          <w:rtl/>
        </w:rPr>
        <w:tab/>
      </w:r>
      <w:r w:rsidRPr="00AC4E79">
        <w:rPr>
          <w:rFonts w:ascii="David" w:eastAsiaTheme="minorHAnsi" w:hAnsi="Times New Roman" w:cs="David" w:hint="cs"/>
          <w:color w:val="000000"/>
          <w:sz w:val="24"/>
          <w:szCs w:val="24"/>
          <w:rtl/>
        </w:rPr>
        <w:t xml:space="preserve">על המשרד לשלם את ההוצאות הרפואיות על פי תנאי החוזים עם החברה הישראלית ולוודא שהעובדים שדרישותיהם להחזר הוצאות על טיפולים רפואיים נדחו, שילמו את חובם לספקים. </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C4E79">
        <w:rPr>
          <w:rFonts w:ascii="David" w:eastAsiaTheme="minorHAnsi" w:hAnsi="Times New Roman" w:cs="David" w:hint="cs"/>
          <w:b/>
          <w:bCs/>
          <w:color w:val="000000"/>
          <w:sz w:val="24"/>
          <w:szCs w:val="24"/>
          <w:rtl/>
        </w:rPr>
        <w:t>מעקב</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C4E79" w:rsidRPr="00AC4E79" w:rsidRDefault="00AC4E79" w:rsidP="00AC4E79">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hint="cs"/>
          <w:color w:val="000000"/>
          <w:sz w:val="24"/>
          <w:szCs w:val="24"/>
          <w:rtl/>
        </w:rPr>
        <w:t>13.</w:t>
      </w:r>
      <w:r w:rsidRPr="00AC4E79">
        <w:rPr>
          <w:rFonts w:ascii="David" w:eastAsiaTheme="minorHAnsi" w:hAnsi="Times New Roman" w:cs="David"/>
          <w:color w:val="000000"/>
          <w:sz w:val="24"/>
          <w:szCs w:val="24"/>
          <w:rtl/>
        </w:rPr>
        <w:tab/>
      </w:r>
      <w:r w:rsidRPr="00AC4E79">
        <w:rPr>
          <w:rFonts w:ascii="David" w:eastAsiaTheme="minorHAnsi" w:hAnsi="Times New Roman" w:cs="David" w:hint="cs"/>
          <w:color w:val="000000"/>
          <w:sz w:val="24"/>
          <w:szCs w:val="24"/>
          <w:rtl/>
        </w:rPr>
        <w:t>העובדים מקבלים את חשבוניות התשלום על השירותים הרפואיים ישירות מהספקים. אין בידי המשרד אמצעי אכיפה שכן הגבייה מתבצעת באמצעות הספק מול העובד. המשרד מקבל מידע על תביעות פתוחות באמצעות מערכת חדשה של חברת הניהול. לאחר פנייה של העובד למשרד בנושא, מנחה המשרד את העובדים להסדיר חובם לספק או לחילופין ובמקרים מיוחדים, פועל  לקבלת אישורים חריגים לתשלום על-ידי קרן ריפוי. למשרד לא ידוע על תביעות פתוחות שלא ניתן להן מענה. עם הוצאתו לפועל של מכרז הביטוח יתייתר הנושא, שכן העובדים ישלמו ישירות לספק ויקבלו החזר מחברת הביטוח בהתאם לקריטריונים.</w:t>
      </w:r>
    </w:p>
    <w:p w:rsidR="00AC4E79" w:rsidRPr="00AC4E79" w:rsidRDefault="00AC4E79" w:rsidP="00AC4E79">
      <w:pPr>
        <w:suppressAutoHyphens/>
        <w:autoSpaceDE w:val="0"/>
        <w:autoSpaceDN w:val="0"/>
        <w:adjustRightInd w:val="0"/>
        <w:spacing w:after="0" w:line="288" w:lineRule="auto"/>
        <w:ind w:left="1076" w:hanging="1076"/>
        <w:jc w:val="both"/>
        <w:textAlignment w:val="center"/>
        <w:rPr>
          <w:rFonts w:ascii="David" w:eastAsiaTheme="minorHAnsi" w:hAnsi="Times New Roman" w:cs="David"/>
          <w:b/>
          <w:bCs/>
          <w:color w:val="000000"/>
          <w:sz w:val="24"/>
          <w:szCs w:val="24"/>
          <w:rtl/>
        </w:rPr>
      </w:pPr>
      <w:r w:rsidRPr="00AC4E79">
        <w:rPr>
          <w:rFonts w:ascii="David" w:eastAsiaTheme="minorHAnsi" w:hAnsi="Times New Roman" w:cs="David" w:hint="cs"/>
          <w:b/>
          <w:bCs/>
          <w:color w:val="000000"/>
          <w:sz w:val="24"/>
          <w:szCs w:val="24"/>
          <w:rtl/>
        </w:rPr>
        <w:t>ליקוי</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C4E79" w:rsidRPr="00AC4E79" w:rsidRDefault="00AC4E79" w:rsidP="00AC4E79">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hint="cs"/>
          <w:color w:val="000000"/>
          <w:sz w:val="24"/>
          <w:szCs w:val="24"/>
          <w:rtl/>
        </w:rPr>
        <w:t>14.</w:t>
      </w:r>
      <w:r w:rsidRPr="00AC4E79">
        <w:rPr>
          <w:rFonts w:ascii="David" w:eastAsiaTheme="minorHAnsi" w:hAnsi="Times New Roman" w:cs="David"/>
          <w:color w:val="000000"/>
          <w:sz w:val="24"/>
          <w:szCs w:val="24"/>
          <w:rtl/>
        </w:rPr>
        <w:tab/>
      </w:r>
      <w:r w:rsidRPr="00AC4E79">
        <w:rPr>
          <w:rFonts w:ascii="David" w:eastAsiaTheme="minorHAnsi" w:hAnsi="Times New Roman" w:cs="David" w:hint="cs"/>
          <w:color w:val="000000"/>
          <w:sz w:val="24"/>
          <w:szCs w:val="24"/>
          <w:rtl/>
        </w:rPr>
        <w:t xml:space="preserve">מבדיקת ריכוז הדוחות שהעבירה החברה הישראלית למטה המשרד ולקונסוליה בשנים 2007 ו-2008 עולה כי שיעור ההנחות הממוצע שעליו דיווחה היה גבוה מ-50%. כלומר על המשרד יהיה לשלם לה מענק הצטיינות בגין שנים אלה. עוד נמצא כי עד מועד סיום הביקורת שום גורם בקונסוליה או במשרד לא בדק ולא אימת את שיעור ההנחות שעליו דיווחה החברה כדי לקבוע אם יש לדרוש ממנה החזר מדמי הניהול או אם יהיה על המשרד לשלם לה מענק הצטיינות ולכן לתקצב אותו. לדעת משרד מבקר המדינה, על משרד החוץ ליצור מנגנון פיקוח הולם על הדיווחים ולבדוק את נתוני ההנחה מדי שנה כדי לוודא אם שיעור ההנחה הממוצע הוא יותר או פחות מ-50%, ובהתאם לתוצאות הבדיקה עליו להיערך מבחינה תקציבית לתשלום מענק הצטיינות לחברה הישראלית או לדרוש החזר מדמי הניהול. </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C4E79">
        <w:rPr>
          <w:rFonts w:ascii="David" w:eastAsiaTheme="minorHAnsi" w:hAnsi="Times New Roman" w:cs="David" w:hint="cs"/>
          <w:b/>
          <w:bCs/>
          <w:color w:val="000000"/>
          <w:sz w:val="24"/>
          <w:szCs w:val="24"/>
          <w:rtl/>
        </w:rPr>
        <w:t>מעקב</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hint="cs"/>
          <w:color w:val="000000"/>
          <w:sz w:val="24"/>
          <w:szCs w:val="24"/>
          <w:rtl/>
        </w:rPr>
        <w:t>14.</w:t>
      </w:r>
      <w:r w:rsidRPr="00AC4E79">
        <w:rPr>
          <w:rFonts w:ascii="David" w:eastAsiaTheme="minorHAnsi" w:hAnsi="Times New Roman" w:cs="David"/>
          <w:color w:val="000000"/>
          <w:sz w:val="24"/>
          <w:szCs w:val="24"/>
          <w:rtl/>
        </w:rPr>
        <w:tab/>
      </w:r>
      <w:r w:rsidRPr="00AC4E79">
        <w:rPr>
          <w:rFonts w:ascii="David" w:eastAsiaTheme="minorHAnsi" w:hAnsi="Times New Roman" w:cs="David" w:hint="cs"/>
          <w:color w:val="000000"/>
          <w:sz w:val="24"/>
          <w:szCs w:val="24"/>
          <w:rtl/>
        </w:rPr>
        <w:t xml:space="preserve">הליך זה אינו קיים במכרז החדש. </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color w:val="000000"/>
          <w:sz w:val="24"/>
          <w:szCs w:val="24"/>
          <w:rtl/>
        </w:rPr>
        <w:tab/>
      </w:r>
      <w:r w:rsidRPr="00AC4E79">
        <w:rPr>
          <w:rFonts w:ascii="David" w:eastAsiaTheme="minorHAnsi" w:hAnsi="Times New Roman" w:cs="David" w:hint="cs"/>
          <w:color w:val="000000"/>
          <w:sz w:val="24"/>
          <w:szCs w:val="24"/>
          <w:rtl/>
        </w:rPr>
        <w:t xml:space="preserve">ראה הערות רה"מ 60ב' עמ' 187. </w:t>
      </w:r>
    </w:p>
    <w:p w:rsidR="00AC4E79" w:rsidRPr="00AC4E79" w:rsidRDefault="00AC4E79" w:rsidP="00AC4E79">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C4E79">
        <w:rPr>
          <w:rFonts w:ascii="David" w:eastAsiaTheme="minorHAnsi" w:hAnsi="Times New Roman" w:cs="David" w:hint="cs"/>
          <w:b/>
          <w:bCs/>
          <w:color w:val="000000"/>
          <w:sz w:val="24"/>
          <w:szCs w:val="24"/>
          <w:rtl/>
        </w:rPr>
        <w:t xml:space="preserve">ליקוי </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C4E79" w:rsidRPr="00AC4E79" w:rsidRDefault="00AC4E79" w:rsidP="00AC4E79">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hint="cs"/>
          <w:color w:val="000000"/>
          <w:sz w:val="24"/>
          <w:szCs w:val="24"/>
          <w:rtl/>
        </w:rPr>
        <w:t>15.</w:t>
      </w:r>
      <w:r w:rsidRPr="00AC4E79">
        <w:rPr>
          <w:rFonts w:ascii="David" w:eastAsiaTheme="minorHAnsi" w:hAnsi="Times New Roman" w:cs="David" w:hint="cs"/>
          <w:b/>
          <w:bCs/>
          <w:color w:val="000000"/>
          <w:sz w:val="24"/>
          <w:szCs w:val="24"/>
          <w:rtl/>
        </w:rPr>
        <w:t xml:space="preserve"> </w:t>
      </w:r>
      <w:r w:rsidRPr="00AC4E79">
        <w:rPr>
          <w:rFonts w:ascii="David" w:eastAsiaTheme="minorHAnsi" w:hAnsi="Times New Roman" w:cs="David"/>
          <w:b/>
          <w:bCs/>
          <w:color w:val="000000"/>
          <w:sz w:val="24"/>
          <w:szCs w:val="24"/>
          <w:rtl/>
        </w:rPr>
        <w:tab/>
      </w:r>
      <w:r w:rsidRPr="00AC4E79">
        <w:rPr>
          <w:rFonts w:ascii="David" w:eastAsiaTheme="minorHAnsi" w:hAnsi="Times New Roman" w:cs="David" w:hint="cs"/>
          <w:color w:val="000000"/>
          <w:sz w:val="24"/>
          <w:szCs w:val="24"/>
          <w:rtl/>
        </w:rPr>
        <w:t xml:space="preserve">באוקטובר 2009, מועד סיום הביקורת, היה משרד החוץ בעיצומה של בדיקת ביטוח הבריאות לעובדים בארה"ב. עליו להביא בחשבון את הממצאים שעלו בדוח זה וליישם את ההמלצות בעניין זה בכל התקשרות עתידית. ראוי שמשרד החוץ יבחן את יתר חוזי ההתקשרות שלו לביטוח בריאות לעובדי שאר הנציגויות בחו"ל בהתאם לנאמר בדוח זה. </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AC4E79">
        <w:rPr>
          <w:rFonts w:ascii="David" w:eastAsiaTheme="minorHAnsi" w:hAnsi="Times New Roman" w:cs="David" w:hint="cs"/>
          <w:b/>
          <w:bCs/>
          <w:color w:val="000000"/>
          <w:sz w:val="24"/>
          <w:szCs w:val="24"/>
          <w:rtl/>
        </w:rPr>
        <w:t>מעקב</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AC4E79" w:rsidRPr="00AC4E79" w:rsidRDefault="00AC4E79" w:rsidP="00AC4E79">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hint="cs"/>
          <w:color w:val="000000"/>
          <w:sz w:val="24"/>
          <w:szCs w:val="24"/>
          <w:rtl/>
        </w:rPr>
        <w:t>15.</w:t>
      </w:r>
      <w:r w:rsidRPr="00AC4E79">
        <w:rPr>
          <w:rFonts w:ascii="David" w:eastAsiaTheme="minorHAnsi" w:hAnsi="Times New Roman" w:cs="David"/>
          <w:color w:val="000000"/>
          <w:sz w:val="24"/>
          <w:szCs w:val="24"/>
          <w:rtl/>
        </w:rPr>
        <w:tab/>
      </w:r>
      <w:r w:rsidRPr="00AC4E79">
        <w:rPr>
          <w:rFonts w:ascii="David" w:eastAsiaTheme="minorHAnsi" w:hAnsi="Times New Roman" w:cs="David" w:hint="cs"/>
          <w:color w:val="000000"/>
          <w:sz w:val="24"/>
          <w:szCs w:val="24"/>
          <w:rtl/>
        </w:rPr>
        <w:t>כל הנציגויות, למעט בגרמניה ובצרפת, שם קיים ביטוח מקומי, מבוטחות בקרן הריפוי ולא באמצעות חוזי התקשרות חיצוניים.</w:t>
      </w:r>
    </w:p>
    <w:p w:rsidR="00AC4E79" w:rsidRPr="00AC4E79" w:rsidRDefault="00AC4E79" w:rsidP="00AC4E79">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color w:val="000000"/>
          <w:sz w:val="24"/>
          <w:szCs w:val="24"/>
          <w:rtl/>
        </w:rPr>
        <w:lastRenderedPageBreak/>
        <w:tab/>
      </w:r>
      <w:r w:rsidRPr="00AC4E79">
        <w:rPr>
          <w:rFonts w:ascii="David" w:eastAsiaTheme="minorHAnsi" w:hAnsi="Times New Roman" w:cs="David" w:hint="cs"/>
          <w:color w:val="000000"/>
          <w:sz w:val="24"/>
          <w:szCs w:val="24"/>
          <w:rtl/>
        </w:rPr>
        <w:t xml:space="preserve">המלצות הביקורת כבר מיושמות וכן ייושמו בעתיד בגרמניה וצרפת עם פקיעת תוקף החוזים הקיימים. </w:t>
      </w:r>
    </w:p>
    <w:p w:rsidR="00AC4E79" w:rsidRPr="00AC4E79" w:rsidRDefault="00AC4E79" w:rsidP="00AC4E79">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AC4E79">
        <w:rPr>
          <w:rFonts w:ascii="David" w:eastAsiaTheme="minorHAnsi" w:hAnsi="Times New Roman" w:cs="David"/>
          <w:color w:val="000000"/>
          <w:sz w:val="24"/>
          <w:szCs w:val="24"/>
          <w:rtl/>
        </w:rPr>
        <w:tab/>
      </w:r>
      <w:r w:rsidRPr="00AC4E79">
        <w:rPr>
          <w:rFonts w:ascii="David" w:eastAsiaTheme="minorHAnsi" w:hAnsi="Times New Roman" w:cs="David" w:hint="cs"/>
          <w:color w:val="000000"/>
          <w:sz w:val="24"/>
          <w:szCs w:val="24"/>
          <w:rtl/>
        </w:rPr>
        <w:t xml:space="preserve">       ראה הערות רה"מ 60ב' עמ' 187. </w:t>
      </w:r>
    </w:p>
    <w:p w:rsidR="004767F7" w:rsidRPr="005B7D9C" w:rsidRDefault="004767F7" w:rsidP="00AC4E79">
      <w:pPr>
        <w:pStyle w:val="1"/>
        <w:spacing w:before="0" w:after="0" w:line="240" w:lineRule="auto"/>
        <w:rPr>
          <w:sz w:val="24"/>
          <w:szCs w:val="24"/>
        </w:rPr>
      </w:pPr>
    </w:p>
    <w:sectPr w:rsidR="004767F7" w:rsidRPr="005B7D9C" w:rsidSect="00A720CC">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11CB" w:rsidRDefault="003F11CB" w:rsidP="00B91C91">
      <w:pPr>
        <w:spacing w:after="0" w:line="240" w:lineRule="auto"/>
      </w:pPr>
      <w:r>
        <w:separator/>
      </w:r>
    </w:p>
  </w:endnote>
  <w:endnote w:type="continuationSeparator" w:id="1">
    <w:p w:rsidR="003F11CB" w:rsidRDefault="003F11CB" w:rsidP="00B91C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A87" w:usb1="00000000" w:usb2="00000000" w:usb3="00000000" w:csb0="000000B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iriam">
    <w:panose1 w:val="00000000000000000000"/>
    <w:charset w:val="B1"/>
    <w:family w:val="auto"/>
    <w:pitch w:val="variable"/>
    <w:sig w:usb0="00000801" w:usb1="00000000" w:usb2="00000000" w:usb3="00000000" w:csb0="00000020" w:csb1="00000000"/>
  </w:font>
  <w:font w:name="MF Narkisim">
    <w:charset w:val="B1"/>
    <w:family w:val="auto"/>
    <w:pitch w:val="variable"/>
    <w:sig w:usb0="00001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11CB" w:rsidRDefault="003F11CB" w:rsidP="00B91C91">
      <w:pPr>
        <w:spacing w:after="0" w:line="240" w:lineRule="auto"/>
      </w:pPr>
      <w:r>
        <w:separator/>
      </w:r>
    </w:p>
  </w:footnote>
  <w:footnote w:type="continuationSeparator" w:id="1">
    <w:p w:rsidR="003F11CB" w:rsidRDefault="003F11CB" w:rsidP="00B91C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BE3" w:rsidRPr="003A2BE3" w:rsidRDefault="0010263B" w:rsidP="003A2BE3">
    <w:pPr>
      <w:tabs>
        <w:tab w:val="right" w:pos="8306"/>
      </w:tabs>
      <w:rPr>
        <w:noProof/>
        <w:sz w:val="18"/>
        <w:szCs w:val="18"/>
        <w:rtl/>
      </w:rPr>
    </w:pPr>
    <w:r w:rsidRPr="003A2BE3">
      <w:rPr>
        <w:rFonts w:hint="cs"/>
        <w:sz w:val="18"/>
        <w:szCs w:val="18"/>
        <w:rtl/>
      </w:rPr>
      <w:fldChar w:fldCharType="begin"/>
    </w:r>
    <w:r w:rsidR="003A2BE3" w:rsidRPr="003A2BE3">
      <w:rPr>
        <w:rFonts w:hint="cs"/>
        <w:sz w:val="18"/>
        <w:szCs w:val="18"/>
        <w:rtl/>
      </w:rPr>
      <w:instrText xml:space="preserve"> </w:instrText>
    </w:r>
    <w:r w:rsidR="003A2BE3" w:rsidRPr="003A2BE3">
      <w:rPr>
        <w:sz w:val="18"/>
        <w:szCs w:val="18"/>
      </w:rPr>
      <w:instrText>TIME  \@ "HH:mm"  \* MERGEFORMAT</w:instrText>
    </w:r>
    <w:r w:rsidR="003A2BE3" w:rsidRPr="003A2BE3">
      <w:rPr>
        <w:sz w:val="18"/>
        <w:szCs w:val="18"/>
        <w:rtl/>
      </w:rPr>
      <w:instrText xml:space="preserve"> </w:instrText>
    </w:r>
    <w:r w:rsidRPr="003A2BE3">
      <w:rPr>
        <w:rFonts w:hint="cs"/>
        <w:sz w:val="18"/>
        <w:szCs w:val="18"/>
        <w:rtl/>
      </w:rPr>
      <w:fldChar w:fldCharType="separate"/>
    </w:r>
    <w:r w:rsidR="00AC4E79">
      <w:rPr>
        <w:rFonts w:hint="eastAsia"/>
        <w:noProof/>
        <w:sz w:val="18"/>
        <w:szCs w:val="18"/>
        <w:rtl/>
      </w:rPr>
      <w:t>‏</w:t>
    </w:r>
    <w:r w:rsidR="00AC4E79">
      <w:rPr>
        <w:noProof/>
        <w:sz w:val="18"/>
        <w:szCs w:val="18"/>
        <w:rtl/>
      </w:rPr>
      <w:t>11:52</w:t>
    </w:r>
    <w:r w:rsidRPr="003A2BE3">
      <w:rPr>
        <w:rFonts w:hint="cs"/>
        <w:sz w:val="18"/>
        <w:szCs w:val="18"/>
        <w:rtl/>
      </w:rPr>
      <w:fldChar w:fldCharType="end"/>
    </w:r>
    <w:r w:rsidR="003A2BE3" w:rsidRPr="003A2BE3">
      <w:rPr>
        <w:rFonts w:hint="cs"/>
        <w:sz w:val="18"/>
        <w:szCs w:val="18"/>
        <w:rtl/>
      </w:rPr>
      <w:t xml:space="preserve">  </w:t>
    </w:r>
    <w:r w:rsidRPr="003A2BE3">
      <w:rPr>
        <w:rFonts w:hint="cs"/>
        <w:sz w:val="18"/>
        <w:szCs w:val="18"/>
        <w:rtl/>
      </w:rPr>
      <w:fldChar w:fldCharType="begin"/>
    </w:r>
    <w:r w:rsidR="003A2BE3" w:rsidRPr="003A2BE3">
      <w:rPr>
        <w:rFonts w:hint="cs"/>
        <w:sz w:val="18"/>
        <w:szCs w:val="18"/>
        <w:rtl/>
      </w:rPr>
      <w:instrText xml:space="preserve"> </w:instrText>
    </w:r>
    <w:r w:rsidR="003A2BE3" w:rsidRPr="003A2BE3">
      <w:rPr>
        <w:sz w:val="18"/>
        <w:szCs w:val="18"/>
      </w:rPr>
      <w:instrText>DATE  \@ "yyyy-MM-dd"  \* MERGEFORMAT</w:instrText>
    </w:r>
    <w:r w:rsidR="003A2BE3" w:rsidRPr="003A2BE3">
      <w:rPr>
        <w:sz w:val="18"/>
        <w:szCs w:val="18"/>
        <w:rtl/>
      </w:rPr>
      <w:instrText xml:space="preserve"> </w:instrText>
    </w:r>
    <w:r w:rsidRPr="003A2BE3">
      <w:rPr>
        <w:rFonts w:hint="cs"/>
        <w:sz w:val="18"/>
        <w:szCs w:val="18"/>
        <w:rtl/>
      </w:rPr>
      <w:fldChar w:fldCharType="separate"/>
    </w:r>
    <w:r w:rsidR="00AC4E79">
      <w:rPr>
        <w:rFonts w:hint="eastAsia"/>
        <w:noProof/>
        <w:sz w:val="18"/>
        <w:szCs w:val="18"/>
        <w:rtl/>
      </w:rPr>
      <w:t>‏</w:t>
    </w:r>
    <w:r w:rsidR="00AC4E79">
      <w:rPr>
        <w:noProof/>
        <w:sz w:val="18"/>
        <w:szCs w:val="18"/>
        <w:rtl/>
      </w:rPr>
      <w:t>2010–12–12</w:t>
    </w:r>
    <w:r w:rsidRPr="003A2BE3">
      <w:rPr>
        <w:rFonts w:hint="cs"/>
        <w:sz w:val="18"/>
        <w:szCs w:val="18"/>
        <w:rtl/>
      </w:rPr>
      <w:fldChar w:fldCharType="end"/>
    </w:r>
    <w:r w:rsidR="003A2BE3" w:rsidRPr="003A2BE3">
      <w:rPr>
        <w:rFonts w:hint="cs"/>
        <w:sz w:val="18"/>
        <w:szCs w:val="18"/>
        <w:rtl/>
      </w:rPr>
      <w:t xml:space="preserve">   </w:t>
    </w:r>
    <w:fldSimple w:instr=" FILENAME  \p  \* MERGEFORMAT ">
      <w:r w:rsidR="00562C07" w:rsidRPr="00562C07">
        <w:rPr>
          <w:noProof/>
          <w:sz w:val="18"/>
          <w:szCs w:val="18"/>
        </w:rPr>
        <w:t>L:\</w:t>
      </w:r>
      <w:r w:rsidR="00562C07" w:rsidRPr="00562C07">
        <w:rPr>
          <w:rFonts w:hint="eastAsia"/>
          <w:noProof/>
          <w:sz w:val="18"/>
          <w:szCs w:val="18"/>
          <w:rtl/>
        </w:rPr>
        <w:t>הספר</w:t>
      </w:r>
      <w:r w:rsidR="00562C07" w:rsidRPr="00562C07">
        <w:rPr>
          <w:noProof/>
          <w:sz w:val="18"/>
          <w:szCs w:val="18"/>
          <w:rtl/>
        </w:rPr>
        <w:t xml:space="preserve"> - </w:t>
      </w:r>
      <w:r w:rsidR="00562C07" w:rsidRPr="00562C07">
        <w:rPr>
          <w:rFonts w:hint="eastAsia"/>
          <w:noProof/>
          <w:sz w:val="18"/>
          <w:szCs w:val="18"/>
          <w:rtl/>
        </w:rPr>
        <w:t>מעקבים</w:t>
      </w:r>
      <w:r w:rsidR="00562C07" w:rsidRPr="00562C07">
        <w:rPr>
          <w:noProof/>
          <w:sz w:val="18"/>
          <w:szCs w:val="18"/>
          <w:rtl/>
        </w:rPr>
        <w:t xml:space="preserve"> 60</w:t>
      </w:r>
      <w:r w:rsidR="00562C07" w:rsidRPr="00562C07">
        <w:rPr>
          <w:rFonts w:hint="eastAsia"/>
          <w:noProof/>
          <w:sz w:val="18"/>
          <w:szCs w:val="18"/>
          <w:rtl/>
        </w:rPr>
        <w:t>ב</w:t>
      </w:r>
      <w:r w:rsidR="00562C07" w:rsidRPr="00562C07">
        <w:rPr>
          <w:noProof/>
          <w:sz w:val="18"/>
          <w:szCs w:val="18"/>
          <w:rtl/>
        </w:rPr>
        <w:t>\</w:t>
      </w:r>
      <w:r w:rsidR="00562C07" w:rsidRPr="00562C07">
        <w:rPr>
          <w:rFonts w:hint="eastAsia"/>
          <w:noProof/>
          <w:sz w:val="18"/>
          <w:szCs w:val="18"/>
          <w:rtl/>
        </w:rPr>
        <w:t>סילבי</w:t>
      </w:r>
      <w:r w:rsidR="00562C07" w:rsidRPr="00562C07">
        <w:rPr>
          <w:noProof/>
          <w:sz w:val="18"/>
          <w:szCs w:val="18"/>
          <w:rtl/>
        </w:rPr>
        <w:t>\</w:t>
      </w:r>
      <w:r w:rsidR="00562C07" w:rsidRPr="00562C07">
        <w:rPr>
          <w:rFonts w:hint="eastAsia"/>
          <w:noProof/>
          <w:sz w:val="18"/>
          <w:szCs w:val="18"/>
          <w:rtl/>
        </w:rPr>
        <w:t>התקשרות</w:t>
      </w:r>
      <w:r w:rsidR="00562C07" w:rsidRPr="00562C07">
        <w:rPr>
          <w:noProof/>
          <w:sz w:val="18"/>
          <w:szCs w:val="18"/>
          <w:rtl/>
        </w:rPr>
        <w:t xml:space="preserve"> </w:t>
      </w:r>
      <w:r w:rsidR="00562C07" w:rsidRPr="00562C07">
        <w:rPr>
          <w:rFonts w:hint="eastAsia"/>
          <w:noProof/>
          <w:sz w:val="18"/>
          <w:szCs w:val="18"/>
          <w:rtl/>
        </w:rPr>
        <w:t>עם</w:t>
      </w:r>
      <w:r w:rsidR="00562C07" w:rsidRPr="00562C07">
        <w:rPr>
          <w:noProof/>
          <w:sz w:val="18"/>
          <w:szCs w:val="18"/>
          <w:rtl/>
        </w:rPr>
        <w:t xml:space="preserve"> </w:t>
      </w:r>
      <w:r w:rsidR="00562C07" w:rsidRPr="00562C07">
        <w:rPr>
          <w:rFonts w:hint="eastAsia"/>
          <w:noProof/>
          <w:sz w:val="18"/>
          <w:szCs w:val="18"/>
          <w:rtl/>
        </w:rPr>
        <w:t>חברה</w:t>
      </w:r>
      <w:r w:rsidR="00562C07" w:rsidRPr="00562C07">
        <w:rPr>
          <w:noProof/>
          <w:sz w:val="18"/>
          <w:szCs w:val="18"/>
          <w:rtl/>
        </w:rPr>
        <w:t xml:space="preserve"> </w:t>
      </w:r>
      <w:r w:rsidR="00562C07" w:rsidRPr="00562C07">
        <w:rPr>
          <w:rFonts w:hint="eastAsia"/>
          <w:noProof/>
          <w:sz w:val="18"/>
          <w:szCs w:val="18"/>
          <w:rtl/>
        </w:rPr>
        <w:t>לניהול</w:t>
      </w:r>
      <w:r w:rsidR="00562C07" w:rsidRPr="00562C07">
        <w:rPr>
          <w:noProof/>
          <w:sz w:val="18"/>
          <w:szCs w:val="18"/>
          <w:rtl/>
        </w:rPr>
        <w:t xml:space="preserve"> </w:t>
      </w:r>
      <w:r w:rsidR="00562C07" w:rsidRPr="00562C07">
        <w:rPr>
          <w:rFonts w:hint="eastAsia"/>
          <w:noProof/>
          <w:sz w:val="18"/>
          <w:szCs w:val="18"/>
          <w:rtl/>
        </w:rPr>
        <w:t>ביטוח</w:t>
      </w:r>
      <w:r w:rsidR="00562C07" w:rsidRPr="00562C07">
        <w:rPr>
          <w:noProof/>
          <w:sz w:val="18"/>
          <w:szCs w:val="18"/>
          <w:rtl/>
        </w:rPr>
        <w:t xml:space="preserve"> </w:t>
      </w:r>
      <w:r w:rsidR="00562C07" w:rsidRPr="00562C07">
        <w:rPr>
          <w:rFonts w:hint="eastAsia"/>
          <w:noProof/>
          <w:sz w:val="18"/>
          <w:szCs w:val="18"/>
          <w:rtl/>
        </w:rPr>
        <w:t>הבריאות</w:t>
      </w:r>
      <w:r w:rsidR="00562C07" w:rsidRPr="00562C07">
        <w:rPr>
          <w:noProof/>
          <w:sz w:val="18"/>
          <w:szCs w:val="18"/>
          <w:rtl/>
        </w:rPr>
        <w:t xml:space="preserve"> </w:t>
      </w:r>
      <w:r w:rsidR="00562C07" w:rsidRPr="00562C07">
        <w:rPr>
          <w:rFonts w:hint="eastAsia"/>
          <w:noProof/>
          <w:sz w:val="18"/>
          <w:szCs w:val="18"/>
          <w:rtl/>
        </w:rPr>
        <w:t>של</w:t>
      </w:r>
      <w:r w:rsidR="00562C07" w:rsidRPr="00562C07">
        <w:rPr>
          <w:noProof/>
          <w:sz w:val="18"/>
          <w:szCs w:val="18"/>
          <w:rtl/>
        </w:rPr>
        <w:t xml:space="preserve"> </w:t>
      </w:r>
      <w:r w:rsidR="00562C07" w:rsidRPr="00562C07">
        <w:rPr>
          <w:rFonts w:hint="eastAsia"/>
          <w:noProof/>
          <w:sz w:val="18"/>
          <w:szCs w:val="18"/>
          <w:rtl/>
        </w:rPr>
        <w:t>העובדים</w:t>
      </w:r>
      <w:r w:rsidR="00562C07" w:rsidRPr="00562C07">
        <w:rPr>
          <w:noProof/>
          <w:sz w:val="18"/>
          <w:szCs w:val="18"/>
          <w:rtl/>
        </w:rPr>
        <w:t xml:space="preserve"> </w:t>
      </w:r>
      <w:r w:rsidR="00562C07" w:rsidRPr="00562C07">
        <w:rPr>
          <w:rFonts w:hint="eastAsia"/>
          <w:noProof/>
          <w:sz w:val="18"/>
          <w:szCs w:val="18"/>
          <w:rtl/>
        </w:rPr>
        <w:t>בנציגויות</w:t>
      </w:r>
      <w:r w:rsidR="00562C07" w:rsidRPr="00562C07">
        <w:rPr>
          <w:noProof/>
          <w:sz w:val="18"/>
          <w:szCs w:val="18"/>
          <w:rtl/>
        </w:rPr>
        <w:t xml:space="preserve"> </w:t>
      </w:r>
      <w:r w:rsidR="00562C07" w:rsidRPr="00562C07">
        <w:rPr>
          <w:rFonts w:hint="eastAsia"/>
          <w:noProof/>
          <w:sz w:val="18"/>
          <w:szCs w:val="18"/>
          <w:rtl/>
        </w:rPr>
        <w:t>בארצות</w:t>
      </w:r>
      <w:r w:rsidR="00562C07" w:rsidRPr="00562C07">
        <w:rPr>
          <w:noProof/>
          <w:sz w:val="18"/>
          <w:szCs w:val="18"/>
          <w:rtl/>
        </w:rPr>
        <w:t xml:space="preserve"> </w:t>
      </w:r>
      <w:r w:rsidR="00562C07" w:rsidRPr="00562C07">
        <w:rPr>
          <w:rFonts w:hint="eastAsia"/>
          <w:noProof/>
          <w:sz w:val="18"/>
          <w:szCs w:val="18"/>
          <w:rtl/>
        </w:rPr>
        <w:t>הברית</w:t>
      </w:r>
      <w:r w:rsidR="00562C07" w:rsidRPr="00562C07">
        <w:rPr>
          <w:noProof/>
          <w:sz w:val="18"/>
          <w:szCs w:val="18"/>
          <w:rtl/>
        </w:rPr>
        <w:t xml:space="preserve"> - </w:t>
      </w:r>
      <w:r w:rsidR="00562C07" w:rsidRPr="00562C07">
        <w:rPr>
          <w:rFonts w:hint="eastAsia"/>
          <w:noProof/>
          <w:sz w:val="18"/>
          <w:szCs w:val="18"/>
          <w:rtl/>
        </w:rPr>
        <w:t>הספר</w:t>
      </w:r>
      <w:r w:rsidR="00562C07" w:rsidRPr="00562C07">
        <w:rPr>
          <w:noProof/>
          <w:sz w:val="18"/>
          <w:szCs w:val="18"/>
        </w:rPr>
        <w:t>.docx</w:t>
      </w:r>
    </w:fldSimple>
    <w:r w:rsidR="003A2BE3" w:rsidRPr="003A2BE3">
      <w:rPr>
        <w:rFonts w:hint="cs"/>
        <w:noProof/>
        <w:sz w:val="18"/>
        <w:szCs w:val="18"/>
        <w:rtl/>
      </w:rPr>
      <w:t xml:space="preserve">    -</w:t>
    </w:r>
    <w:r w:rsidRPr="003A2BE3">
      <w:rPr>
        <w:rFonts w:hint="cs"/>
        <w:noProof/>
        <w:sz w:val="18"/>
        <w:szCs w:val="18"/>
        <w:rtl/>
      </w:rPr>
      <w:fldChar w:fldCharType="begin"/>
    </w:r>
    <w:r w:rsidR="003A2BE3" w:rsidRPr="003A2BE3">
      <w:rPr>
        <w:rFonts w:hint="cs"/>
        <w:noProof/>
        <w:sz w:val="18"/>
        <w:szCs w:val="18"/>
        <w:rtl/>
      </w:rPr>
      <w:instrText xml:space="preserve"> </w:instrText>
    </w:r>
    <w:r w:rsidR="003A2BE3" w:rsidRPr="003A2BE3">
      <w:rPr>
        <w:noProof/>
        <w:sz w:val="18"/>
        <w:szCs w:val="18"/>
      </w:rPr>
      <w:instrText>PAGE   \* MERGEFORMAT</w:instrText>
    </w:r>
    <w:r w:rsidR="003A2BE3" w:rsidRPr="003A2BE3">
      <w:rPr>
        <w:noProof/>
        <w:sz w:val="18"/>
        <w:szCs w:val="18"/>
        <w:rtl/>
      </w:rPr>
      <w:instrText xml:space="preserve"> </w:instrText>
    </w:r>
    <w:r w:rsidRPr="003A2BE3">
      <w:rPr>
        <w:rFonts w:hint="cs"/>
        <w:noProof/>
        <w:sz w:val="18"/>
        <w:szCs w:val="18"/>
        <w:rtl/>
      </w:rPr>
      <w:fldChar w:fldCharType="separate"/>
    </w:r>
    <w:r w:rsidR="00AC4E79" w:rsidRPr="00AC4E79">
      <w:rPr>
        <w:rFonts w:cs="MF Narkisim"/>
        <w:noProof/>
        <w:sz w:val="18"/>
        <w:szCs w:val="18"/>
        <w:rtl/>
      </w:rPr>
      <w:t>6</w:t>
    </w:r>
    <w:r w:rsidRPr="003A2BE3">
      <w:rPr>
        <w:rFonts w:hint="cs"/>
        <w:noProof/>
        <w:sz w:val="18"/>
        <w:szCs w:val="18"/>
        <w:rtl/>
      </w:rPr>
      <w:fldChar w:fldCharType="end"/>
    </w:r>
    <w:r w:rsidR="003A2BE3" w:rsidRPr="003A2BE3">
      <w:rPr>
        <w:rFonts w:hint="cs"/>
        <w:noProof/>
        <w:sz w:val="18"/>
        <w:szCs w:val="18"/>
        <w:rtl/>
      </w:rPr>
      <w:t>-</w:t>
    </w:r>
  </w:p>
  <w:p w:rsidR="003F11CB" w:rsidRPr="003A2BE3" w:rsidRDefault="003F11CB" w:rsidP="003A2BE3">
    <w:pPr>
      <w:tabs>
        <w:tab w:val="left" w:pos="1316"/>
        <w:tab w:val="center" w:pos="4153"/>
      </w:tabs>
      <w:ind w:hanging="568"/>
      <w:rPr>
        <w:rFonts w:cs="David"/>
        <w:sz w:val="20"/>
        <w:szCs w:val="20"/>
      </w:rPr>
    </w:pPr>
    <w:r w:rsidRPr="003A2BE3">
      <w:rPr>
        <w:rFonts w:cs="David" w:hint="cs"/>
        <w:sz w:val="18"/>
        <w:szCs w:val="18"/>
        <w:u w:val="single"/>
        <w:rtl/>
      </w:rPr>
      <w:t>מעקב אחר תיקון ליקויים</w:t>
    </w:r>
    <w:r w:rsidR="003A2BE3" w:rsidRPr="003A2BE3">
      <w:rPr>
        <w:rFonts w:cs="David" w:hint="cs"/>
        <w:sz w:val="18"/>
        <w:szCs w:val="18"/>
        <w:u w:val="single"/>
        <w:rtl/>
      </w:rPr>
      <w:t>,</w:t>
    </w:r>
    <w:r w:rsidR="007B5F98" w:rsidRPr="003A2BE3">
      <w:rPr>
        <w:rFonts w:cs="David" w:hint="cs"/>
        <w:sz w:val="18"/>
        <w:szCs w:val="18"/>
        <w:u w:val="single"/>
        <w:rtl/>
      </w:rPr>
      <w:t xml:space="preserve"> </w:t>
    </w:r>
    <w:r w:rsidRPr="003A2BE3">
      <w:rPr>
        <w:rFonts w:cs="David" w:hint="cs"/>
        <w:sz w:val="18"/>
        <w:szCs w:val="18"/>
        <w:u w:val="single"/>
        <w:rtl/>
      </w:rPr>
      <w:t xml:space="preserve"> אגף המפקח הכללי לענייני ביקורת המדינה           _________</w:t>
    </w:r>
    <w:r w:rsidR="003A2BE3" w:rsidRPr="003A2BE3">
      <w:rPr>
        <w:rFonts w:cs="David" w:hint="cs"/>
        <w:sz w:val="18"/>
        <w:szCs w:val="18"/>
        <w:u w:val="single"/>
        <w:rtl/>
      </w:rPr>
      <w:t xml:space="preserve">     </w:t>
    </w:r>
    <w:r w:rsidR="003A2BE3">
      <w:rPr>
        <w:rFonts w:cs="David" w:hint="cs"/>
        <w:sz w:val="18"/>
        <w:szCs w:val="18"/>
        <w:u w:val="single"/>
        <w:rtl/>
      </w:rPr>
      <w:t xml:space="preserve">                         </w:t>
    </w:r>
    <w:r w:rsidRPr="003A2BE3">
      <w:rPr>
        <w:rFonts w:cs="David" w:hint="cs"/>
        <w:sz w:val="18"/>
        <w:szCs w:val="18"/>
        <w:u w:val="single"/>
        <w:rtl/>
      </w:rPr>
      <w:t>____________משרד החוץ</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4E83"/>
    <w:multiLevelType w:val="hybridMultilevel"/>
    <w:tmpl w:val="C4DA896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2941D97"/>
    <w:multiLevelType w:val="hybridMultilevel"/>
    <w:tmpl w:val="9C1421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AA45512"/>
    <w:multiLevelType w:val="hybridMultilevel"/>
    <w:tmpl w:val="F4E6D3E4"/>
    <w:lvl w:ilvl="0" w:tplc="8D4052AC">
      <w:start w:val="1"/>
      <w:numFmt w:val="hebrew1"/>
      <w:lvlText w:val="%1."/>
      <w:lvlJc w:val="left"/>
      <w:pPr>
        <w:tabs>
          <w:tab w:val="num" w:pos="1436"/>
        </w:tabs>
        <w:ind w:left="1436" w:hanging="720"/>
      </w:pPr>
      <w:rPr>
        <w:rFonts w:cs="Times New Roman" w:hint="default"/>
        <w:szCs w:val="22"/>
      </w:rPr>
    </w:lvl>
    <w:lvl w:ilvl="1" w:tplc="04090019" w:tentative="1">
      <w:start w:val="1"/>
      <w:numFmt w:val="lowerLetter"/>
      <w:lvlText w:val="%2."/>
      <w:lvlJc w:val="left"/>
      <w:pPr>
        <w:tabs>
          <w:tab w:val="num" w:pos="1796"/>
        </w:tabs>
        <w:ind w:left="1796" w:hanging="360"/>
      </w:pPr>
      <w:rPr>
        <w:rFonts w:cs="Times New Roman"/>
      </w:rPr>
    </w:lvl>
    <w:lvl w:ilvl="2" w:tplc="0409001B" w:tentative="1">
      <w:start w:val="1"/>
      <w:numFmt w:val="lowerRoman"/>
      <w:lvlText w:val="%3."/>
      <w:lvlJc w:val="right"/>
      <w:pPr>
        <w:tabs>
          <w:tab w:val="num" w:pos="2516"/>
        </w:tabs>
        <w:ind w:left="2516" w:hanging="180"/>
      </w:pPr>
      <w:rPr>
        <w:rFonts w:cs="Times New Roman"/>
      </w:rPr>
    </w:lvl>
    <w:lvl w:ilvl="3" w:tplc="0409000F" w:tentative="1">
      <w:start w:val="1"/>
      <w:numFmt w:val="decimal"/>
      <w:lvlText w:val="%4."/>
      <w:lvlJc w:val="left"/>
      <w:pPr>
        <w:tabs>
          <w:tab w:val="num" w:pos="3236"/>
        </w:tabs>
        <w:ind w:left="3236" w:hanging="360"/>
      </w:pPr>
      <w:rPr>
        <w:rFonts w:cs="Times New Roman"/>
      </w:rPr>
    </w:lvl>
    <w:lvl w:ilvl="4" w:tplc="04090019" w:tentative="1">
      <w:start w:val="1"/>
      <w:numFmt w:val="lowerLetter"/>
      <w:lvlText w:val="%5."/>
      <w:lvlJc w:val="left"/>
      <w:pPr>
        <w:tabs>
          <w:tab w:val="num" w:pos="3956"/>
        </w:tabs>
        <w:ind w:left="3956" w:hanging="360"/>
      </w:pPr>
      <w:rPr>
        <w:rFonts w:cs="Times New Roman"/>
      </w:rPr>
    </w:lvl>
    <w:lvl w:ilvl="5" w:tplc="0409001B" w:tentative="1">
      <w:start w:val="1"/>
      <w:numFmt w:val="lowerRoman"/>
      <w:lvlText w:val="%6."/>
      <w:lvlJc w:val="right"/>
      <w:pPr>
        <w:tabs>
          <w:tab w:val="num" w:pos="4676"/>
        </w:tabs>
        <w:ind w:left="4676" w:hanging="180"/>
      </w:pPr>
      <w:rPr>
        <w:rFonts w:cs="Times New Roman"/>
      </w:rPr>
    </w:lvl>
    <w:lvl w:ilvl="6" w:tplc="0409000F" w:tentative="1">
      <w:start w:val="1"/>
      <w:numFmt w:val="decimal"/>
      <w:lvlText w:val="%7."/>
      <w:lvlJc w:val="left"/>
      <w:pPr>
        <w:tabs>
          <w:tab w:val="num" w:pos="5396"/>
        </w:tabs>
        <w:ind w:left="5396" w:hanging="360"/>
      </w:pPr>
      <w:rPr>
        <w:rFonts w:cs="Times New Roman"/>
      </w:rPr>
    </w:lvl>
    <w:lvl w:ilvl="7" w:tplc="04090019" w:tentative="1">
      <w:start w:val="1"/>
      <w:numFmt w:val="lowerLetter"/>
      <w:lvlText w:val="%8."/>
      <w:lvlJc w:val="left"/>
      <w:pPr>
        <w:tabs>
          <w:tab w:val="num" w:pos="6116"/>
        </w:tabs>
        <w:ind w:left="6116" w:hanging="360"/>
      </w:pPr>
      <w:rPr>
        <w:rFonts w:cs="Times New Roman"/>
      </w:rPr>
    </w:lvl>
    <w:lvl w:ilvl="8" w:tplc="0409001B" w:tentative="1">
      <w:start w:val="1"/>
      <w:numFmt w:val="lowerRoman"/>
      <w:lvlText w:val="%9."/>
      <w:lvlJc w:val="right"/>
      <w:pPr>
        <w:tabs>
          <w:tab w:val="num" w:pos="6836"/>
        </w:tabs>
        <w:ind w:left="6836" w:hanging="180"/>
      </w:pPr>
      <w:rPr>
        <w:rFonts w:cs="Times New Roman"/>
      </w:rPr>
    </w:lvl>
  </w:abstractNum>
  <w:abstractNum w:abstractNumId="3">
    <w:nsid w:val="0E61417D"/>
    <w:multiLevelType w:val="hybridMultilevel"/>
    <w:tmpl w:val="1D26BF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17F59DD"/>
    <w:multiLevelType w:val="hybridMultilevel"/>
    <w:tmpl w:val="DC7883C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73927F4"/>
    <w:multiLevelType w:val="multilevel"/>
    <w:tmpl w:val="0409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nsid w:val="179153E3"/>
    <w:multiLevelType w:val="hybridMultilevel"/>
    <w:tmpl w:val="6816912A"/>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7">
    <w:nsid w:val="1A8E6A30"/>
    <w:multiLevelType w:val="hybridMultilevel"/>
    <w:tmpl w:val="5770FF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B802380"/>
    <w:multiLevelType w:val="hybridMultilevel"/>
    <w:tmpl w:val="B68E054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2357BA"/>
    <w:multiLevelType w:val="hybridMultilevel"/>
    <w:tmpl w:val="760AF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0069C8"/>
    <w:multiLevelType w:val="hybridMultilevel"/>
    <w:tmpl w:val="EB4AF3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10C1336"/>
    <w:multiLevelType w:val="hybridMultilevel"/>
    <w:tmpl w:val="E21622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252BFA"/>
    <w:multiLevelType w:val="hybridMultilevel"/>
    <w:tmpl w:val="418C09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25F14553"/>
    <w:multiLevelType w:val="hybridMultilevel"/>
    <w:tmpl w:val="E0FEEF34"/>
    <w:lvl w:ilvl="0" w:tplc="1A7C57D4">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D0B40A5"/>
    <w:multiLevelType w:val="hybridMultilevel"/>
    <w:tmpl w:val="76865E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FA20C90"/>
    <w:multiLevelType w:val="hybridMultilevel"/>
    <w:tmpl w:val="0B7E5CB4"/>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30BF3D80"/>
    <w:multiLevelType w:val="hybridMultilevel"/>
    <w:tmpl w:val="11D20F4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838028A"/>
    <w:multiLevelType w:val="hybridMultilevel"/>
    <w:tmpl w:val="AB6E284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3B6E3897"/>
    <w:multiLevelType w:val="hybridMultilevel"/>
    <w:tmpl w:val="C1B4BB64"/>
    <w:lvl w:ilvl="0" w:tplc="0409000F">
      <w:start w:val="1"/>
      <w:numFmt w:val="decimal"/>
      <w:lvlText w:val="%1."/>
      <w:lvlJc w:val="left"/>
      <w:pPr>
        <w:ind w:left="643"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3BB37E06"/>
    <w:multiLevelType w:val="hybridMultilevel"/>
    <w:tmpl w:val="2A5A08A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3CA84A83"/>
    <w:multiLevelType w:val="hybridMultilevel"/>
    <w:tmpl w:val="85885560"/>
    <w:lvl w:ilvl="0" w:tplc="04090001">
      <w:start w:val="1"/>
      <w:numFmt w:val="bullet"/>
      <w:lvlText w:val=""/>
      <w:lvlJc w:val="left"/>
      <w:pPr>
        <w:tabs>
          <w:tab w:val="num" w:pos="669"/>
        </w:tabs>
        <w:ind w:left="669" w:hanging="360"/>
      </w:pPr>
      <w:rPr>
        <w:rFonts w:ascii="Symbol" w:hAnsi="Symbol" w:hint="default"/>
      </w:rPr>
    </w:lvl>
    <w:lvl w:ilvl="1" w:tplc="04090003" w:tentative="1">
      <w:start w:val="1"/>
      <w:numFmt w:val="bullet"/>
      <w:lvlText w:val="o"/>
      <w:lvlJc w:val="left"/>
      <w:pPr>
        <w:tabs>
          <w:tab w:val="num" w:pos="1389"/>
        </w:tabs>
        <w:ind w:left="1389" w:hanging="360"/>
      </w:pPr>
      <w:rPr>
        <w:rFonts w:ascii="Courier New" w:hAnsi="Courier New" w:hint="default"/>
      </w:rPr>
    </w:lvl>
    <w:lvl w:ilvl="2" w:tplc="04090005" w:tentative="1">
      <w:start w:val="1"/>
      <w:numFmt w:val="bullet"/>
      <w:lvlText w:val=""/>
      <w:lvlJc w:val="left"/>
      <w:pPr>
        <w:tabs>
          <w:tab w:val="num" w:pos="2109"/>
        </w:tabs>
        <w:ind w:left="2109" w:hanging="360"/>
      </w:pPr>
      <w:rPr>
        <w:rFonts w:ascii="Wingdings" w:hAnsi="Wingdings" w:hint="default"/>
      </w:rPr>
    </w:lvl>
    <w:lvl w:ilvl="3" w:tplc="04090001" w:tentative="1">
      <w:start w:val="1"/>
      <w:numFmt w:val="bullet"/>
      <w:lvlText w:val=""/>
      <w:lvlJc w:val="left"/>
      <w:pPr>
        <w:tabs>
          <w:tab w:val="num" w:pos="2829"/>
        </w:tabs>
        <w:ind w:left="2829" w:hanging="360"/>
      </w:pPr>
      <w:rPr>
        <w:rFonts w:ascii="Symbol" w:hAnsi="Symbol" w:hint="default"/>
      </w:rPr>
    </w:lvl>
    <w:lvl w:ilvl="4" w:tplc="04090003" w:tentative="1">
      <w:start w:val="1"/>
      <w:numFmt w:val="bullet"/>
      <w:lvlText w:val="o"/>
      <w:lvlJc w:val="left"/>
      <w:pPr>
        <w:tabs>
          <w:tab w:val="num" w:pos="3549"/>
        </w:tabs>
        <w:ind w:left="3549" w:hanging="360"/>
      </w:pPr>
      <w:rPr>
        <w:rFonts w:ascii="Courier New" w:hAnsi="Courier New" w:hint="default"/>
      </w:rPr>
    </w:lvl>
    <w:lvl w:ilvl="5" w:tplc="04090005" w:tentative="1">
      <w:start w:val="1"/>
      <w:numFmt w:val="bullet"/>
      <w:lvlText w:val=""/>
      <w:lvlJc w:val="left"/>
      <w:pPr>
        <w:tabs>
          <w:tab w:val="num" w:pos="4269"/>
        </w:tabs>
        <w:ind w:left="4269" w:hanging="360"/>
      </w:pPr>
      <w:rPr>
        <w:rFonts w:ascii="Wingdings" w:hAnsi="Wingdings" w:hint="default"/>
      </w:rPr>
    </w:lvl>
    <w:lvl w:ilvl="6" w:tplc="04090001" w:tentative="1">
      <w:start w:val="1"/>
      <w:numFmt w:val="bullet"/>
      <w:lvlText w:val=""/>
      <w:lvlJc w:val="left"/>
      <w:pPr>
        <w:tabs>
          <w:tab w:val="num" w:pos="4989"/>
        </w:tabs>
        <w:ind w:left="4989" w:hanging="360"/>
      </w:pPr>
      <w:rPr>
        <w:rFonts w:ascii="Symbol" w:hAnsi="Symbol" w:hint="default"/>
      </w:rPr>
    </w:lvl>
    <w:lvl w:ilvl="7" w:tplc="04090003" w:tentative="1">
      <w:start w:val="1"/>
      <w:numFmt w:val="bullet"/>
      <w:lvlText w:val="o"/>
      <w:lvlJc w:val="left"/>
      <w:pPr>
        <w:tabs>
          <w:tab w:val="num" w:pos="5709"/>
        </w:tabs>
        <w:ind w:left="5709" w:hanging="360"/>
      </w:pPr>
      <w:rPr>
        <w:rFonts w:ascii="Courier New" w:hAnsi="Courier New" w:hint="default"/>
      </w:rPr>
    </w:lvl>
    <w:lvl w:ilvl="8" w:tplc="04090005" w:tentative="1">
      <w:start w:val="1"/>
      <w:numFmt w:val="bullet"/>
      <w:lvlText w:val=""/>
      <w:lvlJc w:val="left"/>
      <w:pPr>
        <w:tabs>
          <w:tab w:val="num" w:pos="6429"/>
        </w:tabs>
        <w:ind w:left="6429" w:hanging="360"/>
      </w:pPr>
      <w:rPr>
        <w:rFonts w:ascii="Wingdings" w:hAnsi="Wingdings" w:hint="default"/>
      </w:rPr>
    </w:lvl>
  </w:abstractNum>
  <w:abstractNum w:abstractNumId="21">
    <w:nsid w:val="3DE8365F"/>
    <w:multiLevelType w:val="hybridMultilevel"/>
    <w:tmpl w:val="AD1CA55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3DEE0113"/>
    <w:multiLevelType w:val="hybridMultilevel"/>
    <w:tmpl w:val="7A8825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F3A627D"/>
    <w:multiLevelType w:val="hybridMultilevel"/>
    <w:tmpl w:val="71A423D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407C0431"/>
    <w:multiLevelType w:val="hybridMultilevel"/>
    <w:tmpl w:val="A926A5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44257B7B"/>
    <w:multiLevelType w:val="hybridMultilevel"/>
    <w:tmpl w:val="428E94B0"/>
    <w:lvl w:ilvl="0" w:tplc="A0A42D30">
      <w:start w:val="1"/>
      <w:numFmt w:val="decimal"/>
      <w:lvlText w:val="%1."/>
      <w:lvlJc w:val="left"/>
      <w:pPr>
        <w:ind w:left="720" w:hanging="360"/>
      </w:pPr>
      <w:rPr>
        <w:rFonts w:cs="David"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479734F8"/>
    <w:multiLevelType w:val="hybridMultilevel"/>
    <w:tmpl w:val="74347CBA"/>
    <w:lvl w:ilvl="0" w:tplc="7512AA2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4E195486"/>
    <w:multiLevelType w:val="hybridMultilevel"/>
    <w:tmpl w:val="2C700B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E554D0C"/>
    <w:multiLevelType w:val="hybridMultilevel"/>
    <w:tmpl w:val="4D7E28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F4F5118"/>
    <w:multiLevelType w:val="hybridMultilevel"/>
    <w:tmpl w:val="993E471E"/>
    <w:lvl w:ilvl="0" w:tplc="0982454A">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52DD37BE"/>
    <w:multiLevelType w:val="hybridMultilevel"/>
    <w:tmpl w:val="61B6DB2C"/>
    <w:lvl w:ilvl="0" w:tplc="619E455E">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543C395D"/>
    <w:multiLevelType w:val="hybridMultilevel"/>
    <w:tmpl w:val="1ABAA17E"/>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2">
    <w:nsid w:val="573C69BE"/>
    <w:multiLevelType w:val="hybridMultilevel"/>
    <w:tmpl w:val="25BE7502"/>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575364D1"/>
    <w:multiLevelType w:val="hybridMultilevel"/>
    <w:tmpl w:val="6F72D124"/>
    <w:lvl w:ilvl="0" w:tplc="D43A3CA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58D23C87"/>
    <w:multiLevelType w:val="hybridMultilevel"/>
    <w:tmpl w:val="1B948792"/>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5">
    <w:nsid w:val="5D6D58CC"/>
    <w:multiLevelType w:val="hybridMultilevel"/>
    <w:tmpl w:val="413E339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5EF072CB"/>
    <w:multiLevelType w:val="hybridMultilevel"/>
    <w:tmpl w:val="58868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6075425C"/>
    <w:multiLevelType w:val="hybridMultilevel"/>
    <w:tmpl w:val="0436CA6A"/>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674B79C2"/>
    <w:multiLevelType w:val="hybridMultilevel"/>
    <w:tmpl w:val="5C580E1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6A5C226F"/>
    <w:multiLevelType w:val="hybridMultilevel"/>
    <w:tmpl w:val="4AFAC37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6BAC7FD7"/>
    <w:multiLevelType w:val="hybridMultilevel"/>
    <w:tmpl w:val="58B0EA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2BE3142"/>
    <w:multiLevelType w:val="hybridMultilevel"/>
    <w:tmpl w:val="DA6294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nsid w:val="78A700F9"/>
    <w:multiLevelType w:val="hybridMultilevel"/>
    <w:tmpl w:val="215C2E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nsid w:val="79797466"/>
    <w:multiLevelType w:val="hybridMultilevel"/>
    <w:tmpl w:val="9ADEB6A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7A0A34DC"/>
    <w:multiLevelType w:val="hybridMultilevel"/>
    <w:tmpl w:val="D40C864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7F7A4FBD"/>
    <w:multiLevelType w:val="hybridMultilevel"/>
    <w:tmpl w:val="E86CF35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5"/>
  </w:num>
  <w:num w:numId="2">
    <w:abstractNumId w:val="16"/>
  </w:num>
  <w:num w:numId="3">
    <w:abstractNumId w:val="34"/>
  </w:num>
  <w:num w:numId="4">
    <w:abstractNumId w:val="27"/>
  </w:num>
  <w:num w:numId="5">
    <w:abstractNumId w:val="38"/>
  </w:num>
  <w:num w:numId="6">
    <w:abstractNumId w:val="4"/>
  </w:num>
  <w:num w:numId="7">
    <w:abstractNumId w:val="5"/>
  </w:num>
  <w:num w:numId="8">
    <w:abstractNumId w:val="44"/>
  </w:num>
  <w:num w:numId="9">
    <w:abstractNumId w:val="20"/>
  </w:num>
  <w:num w:numId="10">
    <w:abstractNumId w:val="40"/>
  </w:num>
  <w:num w:numId="11">
    <w:abstractNumId w:val="8"/>
  </w:num>
  <w:num w:numId="12">
    <w:abstractNumId w:val="11"/>
  </w:num>
  <w:num w:numId="13">
    <w:abstractNumId w:val="22"/>
  </w:num>
  <w:num w:numId="14">
    <w:abstractNumId w:val="3"/>
  </w:num>
  <w:num w:numId="15">
    <w:abstractNumId w:val="23"/>
  </w:num>
  <w:num w:numId="16">
    <w:abstractNumId w:val="24"/>
  </w:num>
  <w:num w:numId="17">
    <w:abstractNumId w:val="39"/>
  </w:num>
  <w:num w:numId="18">
    <w:abstractNumId w:val="28"/>
  </w:num>
  <w:num w:numId="19">
    <w:abstractNumId w:val="37"/>
  </w:num>
  <w:num w:numId="20">
    <w:abstractNumId w:val="42"/>
  </w:num>
  <w:num w:numId="21">
    <w:abstractNumId w:val="33"/>
  </w:num>
  <w:num w:numId="22">
    <w:abstractNumId w:val="13"/>
  </w:num>
  <w:num w:numId="23">
    <w:abstractNumId w:val="29"/>
  </w:num>
  <w:num w:numId="24">
    <w:abstractNumId w:val="12"/>
  </w:num>
  <w:num w:numId="25">
    <w:abstractNumId w:val="21"/>
  </w:num>
  <w:num w:numId="26">
    <w:abstractNumId w:val="26"/>
  </w:num>
  <w:num w:numId="27">
    <w:abstractNumId w:val="10"/>
  </w:num>
  <w:num w:numId="28">
    <w:abstractNumId w:val="36"/>
  </w:num>
  <w:num w:numId="29">
    <w:abstractNumId w:val="0"/>
  </w:num>
  <w:num w:numId="30">
    <w:abstractNumId w:val="14"/>
  </w:num>
  <w:num w:numId="31">
    <w:abstractNumId w:val="41"/>
  </w:num>
  <w:num w:numId="32">
    <w:abstractNumId w:val="17"/>
  </w:num>
  <w:num w:numId="33">
    <w:abstractNumId w:val="6"/>
  </w:num>
  <w:num w:numId="34">
    <w:abstractNumId w:val="31"/>
  </w:num>
  <w:num w:numId="35">
    <w:abstractNumId w:val="1"/>
  </w:num>
  <w:num w:numId="36">
    <w:abstractNumId w:val="19"/>
  </w:num>
  <w:num w:numId="37">
    <w:abstractNumId w:val="30"/>
  </w:num>
  <w:num w:numId="38">
    <w:abstractNumId w:val="32"/>
  </w:num>
  <w:num w:numId="39">
    <w:abstractNumId w:val="15"/>
  </w:num>
  <w:num w:numId="40">
    <w:abstractNumId w:val="7"/>
  </w:num>
  <w:num w:numId="41">
    <w:abstractNumId w:val="9"/>
  </w:num>
  <w:num w:numId="42">
    <w:abstractNumId w:val="25"/>
  </w:num>
  <w:num w:numId="43">
    <w:abstractNumId w:val="45"/>
  </w:num>
  <w:num w:numId="44">
    <w:abstractNumId w:val="18"/>
  </w:num>
  <w:num w:numId="45">
    <w:abstractNumId w:val="43"/>
  </w:num>
  <w:num w:numId="4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A54E4"/>
    <w:rsid w:val="00000ADD"/>
    <w:rsid w:val="000346E3"/>
    <w:rsid w:val="00043154"/>
    <w:rsid w:val="0010263B"/>
    <w:rsid w:val="00131554"/>
    <w:rsid w:val="00192336"/>
    <w:rsid w:val="001A736F"/>
    <w:rsid w:val="0020513C"/>
    <w:rsid w:val="00213A2B"/>
    <w:rsid w:val="0021430A"/>
    <w:rsid w:val="00216F57"/>
    <w:rsid w:val="00232D08"/>
    <w:rsid w:val="00282214"/>
    <w:rsid w:val="002A54E4"/>
    <w:rsid w:val="002D75C6"/>
    <w:rsid w:val="002E6AA3"/>
    <w:rsid w:val="003371C2"/>
    <w:rsid w:val="003A2BE3"/>
    <w:rsid w:val="003E770A"/>
    <w:rsid w:val="003F11CB"/>
    <w:rsid w:val="00413F9E"/>
    <w:rsid w:val="004767F7"/>
    <w:rsid w:val="00497890"/>
    <w:rsid w:val="004C5DDA"/>
    <w:rsid w:val="004F5927"/>
    <w:rsid w:val="00543F6E"/>
    <w:rsid w:val="00562C07"/>
    <w:rsid w:val="005B7D9C"/>
    <w:rsid w:val="0063189F"/>
    <w:rsid w:val="00681022"/>
    <w:rsid w:val="006D4BFF"/>
    <w:rsid w:val="007255A6"/>
    <w:rsid w:val="00735E98"/>
    <w:rsid w:val="00746630"/>
    <w:rsid w:val="007B5F98"/>
    <w:rsid w:val="0085299D"/>
    <w:rsid w:val="008B11DE"/>
    <w:rsid w:val="008C04AD"/>
    <w:rsid w:val="008C3220"/>
    <w:rsid w:val="008D462F"/>
    <w:rsid w:val="00941009"/>
    <w:rsid w:val="009D70BD"/>
    <w:rsid w:val="00A11FA0"/>
    <w:rsid w:val="00A376C5"/>
    <w:rsid w:val="00A720CC"/>
    <w:rsid w:val="00AC4E79"/>
    <w:rsid w:val="00AF351F"/>
    <w:rsid w:val="00B91C91"/>
    <w:rsid w:val="00C04029"/>
    <w:rsid w:val="00C64678"/>
    <w:rsid w:val="00CE6569"/>
    <w:rsid w:val="00CE65C3"/>
    <w:rsid w:val="00CE721A"/>
    <w:rsid w:val="00CF52E2"/>
    <w:rsid w:val="00D62651"/>
    <w:rsid w:val="00DA21D3"/>
    <w:rsid w:val="00E135FA"/>
    <w:rsid w:val="00E97B49"/>
    <w:rsid w:val="00EA0C05"/>
    <w:rsid w:val="00EF34F1"/>
    <w:rsid w:val="00EF4E74"/>
    <w:rsid w:val="00FE7899"/>
    <w:rsid w:val="00FF01C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54E4"/>
    <w:pPr>
      <w:bidi/>
    </w:pPr>
    <w:rPr>
      <w:rFonts w:ascii="Calibri" w:eastAsia="Times New Roman" w:hAnsi="Calibri" w:cs="Arial"/>
    </w:rPr>
  </w:style>
  <w:style w:type="paragraph" w:styleId="1">
    <w:name w:val="heading 1"/>
    <w:basedOn w:val="a"/>
    <w:next w:val="a"/>
    <w:link w:val="10"/>
    <w:qFormat/>
    <w:rsid w:val="002A54E4"/>
    <w:pPr>
      <w:keepNext/>
      <w:widowControl w:val="0"/>
      <w:spacing w:before="240" w:after="480" w:line="312" w:lineRule="auto"/>
      <w:jc w:val="center"/>
      <w:outlineLvl w:val="0"/>
    </w:pPr>
    <w:rPr>
      <w:rFonts w:ascii="Times New Roman" w:eastAsia="Calibri" w:hAnsi="Times New Roman" w:cs="David"/>
      <w:b/>
      <w:bCs/>
      <w:kern w:val="32"/>
      <w:sz w:val="32"/>
      <w:szCs w:val="36"/>
      <w:u w:val="single"/>
      <w:lang w:eastAsia="he-IL"/>
    </w:rPr>
  </w:style>
  <w:style w:type="paragraph" w:styleId="2">
    <w:name w:val="heading 2"/>
    <w:basedOn w:val="a"/>
    <w:next w:val="a"/>
    <w:link w:val="20"/>
    <w:qFormat/>
    <w:rsid w:val="002A54E4"/>
    <w:pPr>
      <w:keepNext/>
      <w:keepLines/>
      <w:spacing w:before="200" w:after="0"/>
      <w:outlineLvl w:val="1"/>
    </w:pPr>
    <w:rPr>
      <w:rFonts w:ascii="Cambria" w:eastAsia="Calibri" w:hAnsi="Cambria" w:cs="Times New Roman"/>
      <w:b/>
      <w:bCs/>
      <w:color w:val="4F81BD"/>
      <w:sz w:val="26"/>
      <w:szCs w:val="26"/>
    </w:rPr>
  </w:style>
  <w:style w:type="paragraph" w:styleId="3">
    <w:name w:val="heading 3"/>
    <w:basedOn w:val="a"/>
    <w:next w:val="a"/>
    <w:link w:val="30"/>
    <w:qFormat/>
    <w:rsid w:val="002A54E4"/>
    <w:pPr>
      <w:keepNext/>
      <w:keepLines/>
      <w:spacing w:before="200" w:after="0"/>
      <w:outlineLvl w:val="2"/>
    </w:pPr>
    <w:rPr>
      <w:rFonts w:ascii="Cambria" w:eastAsia="Calibri" w:hAnsi="Cambria" w:cs="Times New Roman"/>
      <w:b/>
      <w:bCs/>
      <w:color w:val="4F81BD"/>
    </w:rPr>
  </w:style>
  <w:style w:type="paragraph" w:styleId="4">
    <w:name w:val="heading 4"/>
    <w:basedOn w:val="a"/>
    <w:next w:val="a"/>
    <w:link w:val="40"/>
    <w:qFormat/>
    <w:rsid w:val="002A54E4"/>
    <w:pPr>
      <w:keepNext/>
      <w:keepLines/>
      <w:spacing w:before="200" w:after="0"/>
      <w:outlineLvl w:val="3"/>
    </w:pPr>
    <w:rPr>
      <w:rFonts w:ascii="Cambria" w:eastAsia="Calibri" w:hAnsi="Cambria" w:cs="Times New Roman"/>
      <w:b/>
      <w:bCs/>
      <w:i/>
      <w:iCs/>
      <w:color w:val="4F81BD"/>
    </w:rPr>
  </w:style>
  <w:style w:type="paragraph" w:styleId="5">
    <w:name w:val="heading 5"/>
    <w:basedOn w:val="a"/>
    <w:next w:val="a"/>
    <w:link w:val="50"/>
    <w:qFormat/>
    <w:rsid w:val="002A54E4"/>
    <w:pPr>
      <w:keepNext/>
      <w:keepLines/>
      <w:widowControl w:val="0"/>
      <w:spacing w:before="200" w:after="0" w:line="312" w:lineRule="auto"/>
      <w:jc w:val="both"/>
      <w:outlineLvl w:val="4"/>
    </w:pPr>
    <w:rPr>
      <w:rFonts w:ascii="Cambria" w:eastAsia="Calibri" w:hAnsi="Cambria" w:cs="Times New Roman"/>
      <w:color w:val="243F60"/>
      <w:sz w:val="20"/>
      <w:szCs w:val="24"/>
      <w:lang w:eastAsia="he-IL"/>
    </w:rPr>
  </w:style>
  <w:style w:type="paragraph" w:styleId="7">
    <w:name w:val="heading 7"/>
    <w:basedOn w:val="a"/>
    <w:next w:val="a"/>
    <w:link w:val="70"/>
    <w:qFormat/>
    <w:rsid w:val="002A54E4"/>
    <w:pPr>
      <w:widowControl w:val="0"/>
      <w:spacing w:after="0" w:line="312" w:lineRule="auto"/>
      <w:jc w:val="both"/>
      <w:outlineLvl w:val="6"/>
    </w:pPr>
    <w:rPr>
      <w:rFonts w:ascii="Times New Roman" w:eastAsia="Calibri" w:hAnsi="Times New Roman" w:cs="David"/>
      <w:b/>
      <w:bCs/>
      <w:spacing w:val="40"/>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2A54E4"/>
    <w:rPr>
      <w:rFonts w:ascii="Times New Roman" w:eastAsia="Calibri" w:hAnsi="Times New Roman" w:cs="David"/>
      <w:b/>
      <w:bCs/>
      <w:kern w:val="32"/>
      <w:sz w:val="32"/>
      <w:szCs w:val="36"/>
      <w:u w:val="single"/>
      <w:lang w:eastAsia="he-IL"/>
    </w:rPr>
  </w:style>
  <w:style w:type="character" w:customStyle="1" w:styleId="20">
    <w:name w:val="כותרת 2 תו"/>
    <w:basedOn w:val="a0"/>
    <w:link w:val="2"/>
    <w:rsid w:val="002A54E4"/>
    <w:rPr>
      <w:rFonts w:ascii="Cambria" w:eastAsia="Calibri" w:hAnsi="Cambria" w:cs="Times New Roman"/>
      <w:b/>
      <w:bCs/>
      <w:color w:val="4F81BD"/>
      <w:sz w:val="26"/>
      <w:szCs w:val="26"/>
    </w:rPr>
  </w:style>
  <w:style w:type="character" w:customStyle="1" w:styleId="30">
    <w:name w:val="כותרת 3 תו"/>
    <w:basedOn w:val="a0"/>
    <w:link w:val="3"/>
    <w:rsid w:val="002A54E4"/>
    <w:rPr>
      <w:rFonts w:ascii="Cambria" w:eastAsia="Calibri" w:hAnsi="Cambria" w:cs="Times New Roman"/>
      <w:b/>
      <w:bCs/>
      <w:color w:val="4F81BD"/>
    </w:rPr>
  </w:style>
  <w:style w:type="character" w:customStyle="1" w:styleId="40">
    <w:name w:val="כותרת 4 תו"/>
    <w:basedOn w:val="a0"/>
    <w:link w:val="4"/>
    <w:rsid w:val="002A54E4"/>
    <w:rPr>
      <w:rFonts w:ascii="Cambria" w:eastAsia="Calibri" w:hAnsi="Cambria" w:cs="Times New Roman"/>
      <w:b/>
      <w:bCs/>
      <w:i/>
      <w:iCs/>
      <w:color w:val="4F81BD"/>
    </w:rPr>
  </w:style>
  <w:style w:type="character" w:customStyle="1" w:styleId="50">
    <w:name w:val="כותרת 5 תו"/>
    <w:basedOn w:val="a0"/>
    <w:link w:val="5"/>
    <w:rsid w:val="002A54E4"/>
    <w:rPr>
      <w:rFonts w:ascii="Cambria" w:eastAsia="Calibri" w:hAnsi="Cambria" w:cs="Times New Roman"/>
      <w:color w:val="243F60"/>
      <w:sz w:val="20"/>
      <w:szCs w:val="24"/>
      <w:lang w:eastAsia="he-IL"/>
    </w:rPr>
  </w:style>
  <w:style w:type="character" w:customStyle="1" w:styleId="70">
    <w:name w:val="כותרת 7 תו"/>
    <w:basedOn w:val="a0"/>
    <w:link w:val="7"/>
    <w:rsid w:val="002A54E4"/>
    <w:rPr>
      <w:rFonts w:ascii="Times New Roman" w:eastAsia="Calibri" w:hAnsi="Times New Roman" w:cs="David"/>
      <w:b/>
      <w:bCs/>
      <w:spacing w:val="40"/>
      <w:sz w:val="24"/>
      <w:szCs w:val="24"/>
      <w:lang w:eastAsia="he-IL"/>
    </w:rPr>
  </w:style>
  <w:style w:type="paragraph" w:styleId="a3">
    <w:name w:val="caption"/>
    <w:basedOn w:val="a"/>
    <w:next w:val="a"/>
    <w:qFormat/>
    <w:rsid w:val="002A54E4"/>
    <w:pPr>
      <w:spacing w:after="0" w:line="360" w:lineRule="auto"/>
      <w:jc w:val="center"/>
    </w:pPr>
    <w:rPr>
      <w:rFonts w:ascii="David" w:eastAsia="Calibri" w:hAnsi="David" w:cs="David"/>
      <w:bCs/>
      <w:i/>
      <w:sz w:val="20"/>
      <w:szCs w:val="20"/>
    </w:rPr>
  </w:style>
  <w:style w:type="paragraph" w:styleId="a4">
    <w:name w:val="Balloon Text"/>
    <w:basedOn w:val="a"/>
    <w:link w:val="a5"/>
    <w:semiHidden/>
    <w:rsid w:val="002A54E4"/>
    <w:pPr>
      <w:spacing w:after="0" w:line="240" w:lineRule="auto"/>
    </w:pPr>
    <w:rPr>
      <w:rFonts w:ascii="Tahoma" w:hAnsi="Tahoma" w:cs="Tahoma"/>
      <w:sz w:val="16"/>
      <w:szCs w:val="16"/>
    </w:rPr>
  </w:style>
  <w:style w:type="character" w:customStyle="1" w:styleId="a5">
    <w:name w:val="טקסט בלונים תו"/>
    <w:basedOn w:val="a0"/>
    <w:link w:val="a4"/>
    <w:semiHidden/>
    <w:rsid w:val="002A54E4"/>
    <w:rPr>
      <w:rFonts w:ascii="Tahoma" w:eastAsia="Times New Roman" w:hAnsi="Tahoma" w:cs="Tahoma"/>
      <w:sz w:val="16"/>
      <w:szCs w:val="16"/>
    </w:rPr>
  </w:style>
  <w:style w:type="paragraph" w:customStyle="1" w:styleId="11">
    <w:name w:val="פיסקת רשימה1"/>
    <w:basedOn w:val="a"/>
    <w:rsid w:val="002A54E4"/>
    <w:pPr>
      <w:ind w:left="720"/>
      <w:contextualSpacing/>
    </w:pPr>
  </w:style>
  <w:style w:type="paragraph" w:styleId="a6">
    <w:name w:val="header"/>
    <w:basedOn w:val="a"/>
    <w:link w:val="a7"/>
    <w:rsid w:val="002A54E4"/>
    <w:pPr>
      <w:tabs>
        <w:tab w:val="center" w:pos="4153"/>
        <w:tab w:val="right" w:pos="8306"/>
      </w:tabs>
      <w:spacing w:after="0" w:line="240" w:lineRule="auto"/>
    </w:pPr>
    <w:rPr>
      <w:rFonts w:ascii="Times New Roman" w:eastAsia="Calibri" w:hAnsi="Times New Roman" w:cs="David"/>
      <w:iCs/>
      <w:sz w:val="24"/>
      <w:szCs w:val="24"/>
      <w:lang w:eastAsia="he-IL"/>
    </w:rPr>
  </w:style>
  <w:style w:type="character" w:customStyle="1" w:styleId="a7">
    <w:name w:val="כותרת עליונה תו"/>
    <w:basedOn w:val="a0"/>
    <w:link w:val="a6"/>
    <w:rsid w:val="002A54E4"/>
    <w:rPr>
      <w:rFonts w:ascii="Times New Roman" w:eastAsia="Calibri" w:hAnsi="Times New Roman" w:cs="David"/>
      <w:iCs/>
      <w:sz w:val="24"/>
      <w:szCs w:val="24"/>
      <w:lang w:eastAsia="he-IL"/>
    </w:rPr>
  </w:style>
  <w:style w:type="paragraph" w:styleId="a8">
    <w:name w:val="footer"/>
    <w:basedOn w:val="a"/>
    <w:link w:val="a9"/>
    <w:semiHidden/>
    <w:rsid w:val="002A54E4"/>
    <w:pPr>
      <w:tabs>
        <w:tab w:val="center" w:pos="4153"/>
        <w:tab w:val="right" w:pos="8306"/>
      </w:tabs>
      <w:spacing w:after="0" w:line="240" w:lineRule="auto"/>
    </w:pPr>
  </w:style>
  <w:style w:type="character" w:customStyle="1" w:styleId="a9">
    <w:name w:val="כותרת תחתונה תו"/>
    <w:basedOn w:val="a0"/>
    <w:link w:val="a8"/>
    <w:semiHidden/>
    <w:rsid w:val="002A54E4"/>
    <w:rPr>
      <w:rFonts w:ascii="Calibri" w:eastAsia="Times New Roman" w:hAnsi="Calibri" w:cs="Arial"/>
    </w:rPr>
  </w:style>
  <w:style w:type="character" w:customStyle="1" w:styleId="21">
    <w:name w:val="תו תו2"/>
    <w:basedOn w:val="a0"/>
    <w:rsid w:val="002A54E4"/>
    <w:rPr>
      <w:rFonts w:cs="David"/>
      <w:b/>
      <w:bCs/>
      <w:spacing w:val="40"/>
      <w:sz w:val="24"/>
      <w:szCs w:val="24"/>
      <w:lang w:val="en-US" w:eastAsia="he-IL" w:bidi="he-IL"/>
    </w:rPr>
  </w:style>
  <w:style w:type="paragraph" w:customStyle="1" w:styleId="aa">
    <w:name w:val="נבנצלים"/>
    <w:basedOn w:val="a"/>
    <w:next w:val="a"/>
    <w:link w:val="ab"/>
    <w:rsid w:val="002A54E4"/>
    <w:pPr>
      <w:widowControl w:val="0"/>
      <w:spacing w:after="0" w:line="312" w:lineRule="auto"/>
      <w:ind w:left="-567"/>
      <w:jc w:val="both"/>
    </w:pPr>
    <w:rPr>
      <w:rFonts w:ascii="Times New Roman" w:eastAsia="Calibri" w:hAnsi="Times New Roman" w:cs="David"/>
      <w:sz w:val="20"/>
      <w:szCs w:val="20"/>
      <w:lang w:eastAsia="he-IL"/>
    </w:rPr>
  </w:style>
  <w:style w:type="paragraph" w:customStyle="1" w:styleId="12">
    <w:name w:val="פיסקת רשימה1"/>
    <w:basedOn w:val="a"/>
    <w:rsid w:val="002A54E4"/>
    <w:pPr>
      <w:spacing w:after="0" w:line="240" w:lineRule="auto"/>
      <w:ind w:left="720"/>
      <w:contextualSpacing/>
    </w:pPr>
    <w:rPr>
      <w:rFonts w:ascii="Century Gothic" w:eastAsia="Calibri" w:hAnsi="Century Gothic" w:cs="David"/>
      <w:noProof/>
      <w:sz w:val="24"/>
      <w:szCs w:val="24"/>
      <w:lang w:eastAsia="he-IL"/>
    </w:rPr>
  </w:style>
  <w:style w:type="character" w:customStyle="1" w:styleId="ab">
    <w:name w:val="נבנצלים תו"/>
    <w:basedOn w:val="a0"/>
    <w:link w:val="aa"/>
    <w:locked/>
    <w:rsid w:val="002A54E4"/>
    <w:rPr>
      <w:rFonts w:ascii="Times New Roman" w:eastAsia="Calibri" w:hAnsi="Times New Roman" w:cs="David"/>
      <w:sz w:val="20"/>
      <w:szCs w:val="20"/>
      <w:lang w:eastAsia="he-IL"/>
    </w:rPr>
  </w:style>
  <w:style w:type="character" w:styleId="ac">
    <w:name w:val="footnote reference"/>
    <w:basedOn w:val="a0"/>
    <w:semiHidden/>
    <w:rsid w:val="002A54E4"/>
    <w:rPr>
      <w:rFonts w:cs="Times New Roman"/>
      <w:vertAlign w:val="superscript"/>
    </w:rPr>
  </w:style>
  <w:style w:type="paragraph" w:styleId="NormalWeb">
    <w:name w:val="Normal (Web)"/>
    <w:basedOn w:val="a"/>
    <w:semiHidden/>
    <w:rsid w:val="002A54E4"/>
    <w:pPr>
      <w:bidi w:val="0"/>
      <w:spacing w:before="100" w:beforeAutospacing="1" w:after="100" w:afterAutospacing="1" w:line="240" w:lineRule="auto"/>
    </w:pPr>
    <w:rPr>
      <w:rFonts w:ascii="Arial Unicode MS" w:eastAsia="Arial Unicode MS" w:hAnsi="Arial Unicode MS" w:cs="Arial Unicode MS"/>
      <w:sz w:val="24"/>
      <w:szCs w:val="24"/>
      <w:lang w:eastAsia="he-IL"/>
    </w:rPr>
  </w:style>
  <w:style w:type="character" w:customStyle="1" w:styleId="51">
    <w:name w:val="כותרת 5 תו1"/>
    <w:basedOn w:val="a0"/>
    <w:locked/>
    <w:rsid w:val="002A54E4"/>
    <w:rPr>
      <w:rFonts w:ascii="Times New Roman" w:hAnsi="Times New Roman" w:cs="David"/>
      <w:b/>
      <w:bCs/>
      <w:spacing w:val="40"/>
      <w:sz w:val="24"/>
      <w:szCs w:val="24"/>
      <w:lang w:eastAsia="he-IL" w:bidi="he-IL"/>
    </w:rPr>
  </w:style>
  <w:style w:type="paragraph" w:styleId="ad">
    <w:name w:val="footnote text"/>
    <w:basedOn w:val="a"/>
    <w:link w:val="ae"/>
    <w:semiHidden/>
    <w:rsid w:val="002A54E4"/>
    <w:pPr>
      <w:widowControl w:val="0"/>
      <w:spacing w:after="0" w:line="312" w:lineRule="auto"/>
      <w:ind w:left="567" w:hanging="567"/>
      <w:jc w:val="both"/>
    </w:pPr>
    <w:rPr>
      <w:rFonts w:ascii="Times New Roman" w:eastAsia="Calibri" w:hAnsi="Times New Roman" w:cs="David"/>
      <w:sz w:val="24"/>
      <w:szCs w:val="20"/>
      <w:lang w:eastAsia="he-IL"/>
    </w:rPr>
  </w:style>
  <w:style w:type="character" w:customStyle="1" w:styleId="ae">
    <w:name w:val="טקסט הערת שוליים תו"/>
    <w:basedOn w:val="a0"/>
    <w:link w:val="ad"/>
    <w:semiHidden/>
    <w:rsid w:val="002A54E4"/>
    <w:rPr>
      <w:rFonts w:ascii="Times New Roman" w:eastAsia="Calibri" w:hAnsi="Times New Roman" w:cs="David"/>
      <w:sz w:val="24"/>
      <w:szCs w:val="20"/>
      <w:lang w:eastAsia="he-IL"/>
    </w:rPr>
  </w:style>
  <w:style w:type="character" w:styleId="af">
    <w:name w:val="annotation reference"/>
    <w:basedOn w:val="a0"/>
    <w:semiHidden/>
    <w:rsid w:val="002A54E4"/>
    <w:rPr>
      <w:rFonts w:ascii="Times New Roman" w:hAnsi="Times New Roman" w:cs="Times New Roman"/>
      <w:sz w:val="16"/>
      <w:szCs w:val="16"/>
    </w:rPr>
  </w:style>
  <w:style w:type="table" w:styleId="af0">
    <w:name w:val="Table Grid"/>
    <w:basedOn w:val="a1"/>
    <w:rsid w:val="002A54E4"/>
    <w:pPr>
      <w:widowControl w:val="0"/>
      <w:bidi/>
      <w:spacing w:after="0" w:line="312" w:lineRule="auto"/>
      <w:jc w:val="both"/>
    </w:pPr>
    <w:rPr>
      <w:rFonts w:ascii="Times New Roman" w:eastAsia="Calibri" w:hAnsi="Times New Roman" w:cs="Miriam"/>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כותרת מאמר"/>
    <w:basedOn w:val="a"/>
    <w:uiPriority w:val="99"/>
    <w:rsid w:val="00AC4E79"/>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 w:type="paragraph" w:customStyle="1" w:styleId="Heading2">
    <w:name w:val="Heading 2"/>
    <w:basedOn w:val="a"/>
    <w:next w:val="a"/>
    <w:uiPriority w:val="99"/>
    <w:rsid w:val="00AC4E79"/>
    <w:pPr>
      <w:keepNext/>
      <w:keepLines/>
      <w:autoSpaceDE w:val="0"/>
      <w:autoSpaceDN w:val="0"/>
      <w:adjustRightInd w:val="0"/>
      <w:spacing w:before="200"/>
      <w:textAlignment w:val="center"/>
    </w:pPr>
    <w:rPr>
      <w:rFonts w:ascii="Cambria" w:eastAsiaTheme="minorHAnsi" w:hAnsi="Cambria" w:cs="Cambria"/>
      <w:b/>
      <w:bCs/>
      <w:color w:val="4F81BD"/>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D7E3E-2C7A-402A-96B6-1D5A004AF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1513</Words>
  <Characters>7570</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pmo</Company>
  <LinksUpToDate>false</LinksUpToDate>
  <CharactersWithSpaces>9065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silviam</dc:creator>
  <cp:keywords/>
  <dc:description/>
  <cp:lastModifiedBy>AMD1</cp:lastModifiedBy>
  <cp:revision>2</cp:revision>
  <cp:lastPrinted>2010-10-14T07:07:00Z</cp:lastPrinted>
  <dcterms:created xsi:type="dcterms:W3CDTF">2010-12-12T09:53:00Z</dcterms:created>
  <dcterms:modified xsi:type="dcterms:W3CDTF">2010-12-12T09:53:00Z</dcterms:modified>
</cp:coreProperties>
</file>