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B9E" w:rsidRPr="00372B9E" w:rsidRDefault="00372B9E" w:rsidP="00372B9E">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372B9E">
        <w:rPr>
          <w:rFonts w:ascii="David" w:eastAsiaTheme="minorHAnsi" w:hAnsiTheme="minorHAnsi" w:cs="David" w:hint="cs"/>
          <w:b/>
          <w:bCs/>
          <w:color w:val="000000"/>
          <w:sz w:val="36"/>
          <w:szCs w:val="36"/>
          <w:rtl/>
        </w:rPr>
        <w:t>משרד ההסברה והתפוצות</w:t>
      </w:r>
    </w:p>
    <w:p w:rsidR="00372B9E" w:rsidRPr="00372B9E" w:rsidRDefault="00372B9E" w:rsidP="00372B9E">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372B9E">
        <w:rPr>
          <w:rFonts w:ascii="David" w:eastAsiaTheme="minorHAnsi" w:hAnsiTheme="minorHAnsi" w:cs="David" w:hint="cs"/>
          <w:b/>
          <w:bCs/>
          <w:color w:val="000000"/>
          <w:sz w:val="32"/>
          <w:szCs w:val="32"/>
          <w:rtl/>
        </w:rPr>
        <w:t xml:space="preserve"> לשכת הפרסום הממשלתית</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הגופים המבוקרים: לשכת הפרסום הממשלתית, נציבות שירות המדינה, משרד ראש הממשלה, משרד האוצר-אגף החשכ"ל</w:t>
      </w:r>
    </w:p>
    <w:p w:rsidR="00372B9E" w:rsidRPr="00372B9E" w:rsidRDefault="00372B9E" w:rsidP="00372B9E">
      <w:pPr>
        <w:autoSpaceDE w:val="0"/>
        <w:autoSpaceDN w:val="0"/>
        <w:adjustRightInd w:val="0"/>
        <w:spacing w:line="288" w:lineRule="auto"/>
        <w:textAlignment w:val="center"/>
        <w:rPr>
          <w:rFonts w:ascii="David" w:eastAsiaTheme="minorHAnsi" w:cs="David"/>
          <w:b/>
          <w:bCs/>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color w:val="000000"/>
          <w:rtl/>
        </w:rPr>
      </w:pPr>
      <w:r w:rsidRPr="00372B9E">
        <w:rPr>
          <w:rFonts w:ascii="David" w:eastAsiaTheme="minorHAnsi" w:cs="David" w:hint="cs"/>
          <w:color w:val="000000"/>
          <w:rtl/>
        </w:rPr>
        <w:t>ליקויים 3,6-9,11-12,14,17-18,20 תוקנו. ראה הערות רה"מ 60ב' עמ' 161 – 171.</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578" w:hanging="567"/>
        <w:jc w:val="both"/>
        <w:textAlignment w:val="center"/>
        <w:rPr>
          <w:rFonts w:ascii="David" w:eastAsiaTheme="minorHAnsi" w:cs="David"/>
          <w:color w:val="000000"/>
          <w:rtl/>
        </w:rPr>
      </w:pPr>
      <w:r w:rsidRPr="00372B9E">
        <w:rPr>
          <w:rFonts w:ascii="David" w:eastAsiaTheme="minorHAnsi" w:cs="David" w:hint="cs"/>
          <w:color w:val="000000"/>
          <w:rtl/>
        </w:rPr>
        <w:t>1.</w:t>
      </w:r>
      <w:r w:rsidRPr="00372B9E">
        <w:rPr>
          <w:rFonts w:ascii="David" w:eastAsiaTheme="minorHAnsi" w:cs="David"/>
          <w:color w:val="000000"/>
          <w:rtl/>
        </w:rPr>
        <w:tab/>
      </w:r>
      <w:r w:rsidRPr="00372B9E">
        <w:rPr>
          <w:rFonts w:ascii="David" w:eastAsiaTheme="minorHAnsi" w:cs="David" w:hint="cs"/>
          <w:color w:val="000000"/>
          <w:rtl/>
        </w:rPr>
        <w:t>אף שלשכת הפרסום הממשלתית (להלן - לפ"ם) היא מפעל עסקי וכל הוצאותיה אמורות להיות ממומנות מהכנסותיה ממכירת שירותיה, מהדוחות הכספיים של לשכת הפרסום הממשלתית לשנת 2008 עולה כי חלק מהוצאות השכר שלה ממומנות מתקציב משרד ראש הממשלה ולא מהכנסותיה ממתן שירותי פרסום.</w:t>
      </w:r>
    </w:p>
    <w:p w:rsidR="00372B9E" w:rsidRPr="00372B9E" w:rsidRDefault="00372B9E" w:rsidP="00372B9E">
      <w:pPr>
        <w:suppressAutoHyphens/>
        <w:autoSpaceDE w:val="0"/>
        <w:autoSpaceDN w:val="0"/>
        <w:adjustRightInd w:val="0"/>
        <w:spacing w:line="288" w:lineRule="auto"/>
        <w:ind w:left="12"/>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b/>
          <w:bCs/>
          <w:color w:val="000000"/>
          <w:rtl/>
        </w:rPr>
      </w:pPr>
      <w:r w:rsidRPr="00372B9E">
        <w:rPr>
          <w:rFonts w:ascii="David" w:eastAsiaTheme="minorHAnsi" w:cs="David" w:hint="cs"/>
          <w:b/>
          <w:bCs/>
          <w:color w:val="000000"/>
          <w:rtl/>
        </w:rPr>
        <w:t>לשכת הפרסום הממשלתית</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b/>
          <w:bCs/>
          <w:color w:val="000000"/>
          <w:rtl/>
        </w:rPr>
      </w:pPr>
    </w:p>
    <w:p w:rsidR="00372B9E" w:rsidRPr="00372B9E" w:rsidRDefault="00372B9E" w:rsidP="00372B9E">
      <w:pPr>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1.</w:t>
      </w:r>
      <w:r w:rsidRPr="00372B9E">
        <w:rPr>
          <w:rFonts w:ascii="David" w:eastAsiaTheme="minorHAnsi" w:cs="David"/>
          <w:color w:val="000000"/>
          <w:rtl/>
        </w:rPr>
        <w:tab/>
      </w:r>
      <w:r w:rsidRPr="00372B9E">
        <w:rPr>
          <w:rFonts w:ascii="David" w:eastAsiaTheme="minorHAnsi" w:cs="David" w:hint="cs"/>
          <w:color w:val="000000"/>
          <w:rtl/>
        </w:rPr>
        <w:t xml:space="preserve">הוצאות השכר של לשכת הפרסום ממומנות כבר מהכנסותיה ממתן שירותי פרסום. החל משנת 2010 תקנות השכר מועברות למערכת כספית אחת – מערכת מרכב"ה. </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color w:val="000000"/>
          <w:rtl/>
        </w:rPr>
      </w:pPr>
    </w:p>
    <w:p w:rsidR="00372B9E" w:rsidRPr="00372B9E" w:rsidRDefault="00372B9E" w:rsidP="00372B9E">
      <w:pPr>
        <w:suppressAutoHyphens/>
        <w:autoSpaceDE w:val="0"/>
        <w:autoSpaceDN w:val="0"/>
        <w:adjustRightInd w:val="0"/>
        <w:spacing w:line="288" w:lineRule="auto"/>
        <w:ind w:left="578" w:hanging="567"/>
        <w:jc w:val="both"/>
        <w:textAlignment w:val="center"/>
        <w:rPr>
          <w:rFonts w:ascii="David" w:eastAsiaTheme="minorHAnsi" w:cs="David"/>
          <w:color w:val="000000"/>
          <w:rtl/>
        </w:rPr>
      </w:pPr>
      <w:r w:rsidRPr="00372B9E">
        <w:rPr>
          <w:rFonts w:ascii="David" w:eastAsiaTheme="minorHAnsi" w:cs="David" w:hint="cs"/>
          <w:color w:val="000000"/>
          <w:rtl/>
        </w:rPr>
        <w:t xml:space="preserve">2. </w:t>
      </w:r>
      <w:r w:rsidRPr="00372B9E">
        <w:rPr>
          <w:rFonts w:ascii="David" w:eastAsiaTheme="minorHAnsi" w:cs="David"/>
          <w:color w:val="000000"/>
          <w:rtl/>
        </w:rPr>
        <w:tab/>
      </w:r>
      <w:r w:rsidRPr="00372B9E">
        <w:rPr>
          <w:rFonts w:ascii="David" w:eastAsiaTheme="minorHAnsi" w:cs="David" w:hint="cs"/>
          <w:color w:val="000000"/>
          <w:rtl/>
        </w:rPr>
        <w:t xml:space="preserve">מנתוני דוחות ביצוע התקציב של לפ"ם עולה כי בשנים 2006 ו-2007 סך ההוצאות היה שווה לסך ההכנסות, ובשנת 2008 סיימה לפ"ם את השנה עם עודף הכנסות על הוצאות בסך של כ-1.2 מיליון ש"ח. למעשה גם את שנת 2007 סיימה לפ"ם בעודף ובשנת 2008 היה עודף ההכנסות על ההוצאות גדול יותר מהמוצג בדוח לאותה שנה. זאת משום שחלק מעודף ההכנסות של לפ"ם בשנים אלו הועבר לקרן לפיתוח והוצג בדוחות הביצוע כהוצאה אף שהכספים לא הוצאו אלא יועדו עבור הוצאה עתידית לצורך שיפוצים במבנה, מעבר לדיור חדש, חידוש ציוד יקר וכיוצא באלה. לא נמצאו מסמכים המעידים על אופן החישוב של הסכומים שהועברו לקרן לפיתוח. </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2.</w:t>
      </w:r>
      <w:r w:rsidRPr="00372B9E">
        <w:rPr>
          <w:rFonts w:ascii="David" w:eastAsiaTheme="minorHAnsi" w:cs="David"/>
          <w:color w:val="000000"/>
          <w:rtl/>
        </w:rPr>
        <w:tab/>
      </w:r>
      <w:r w:rsidRPr="00372B9E">
        <w:rPr>
          <w:rFonts w:ascii="David" w:eastAsiaTheme="minorHAnsi" w:cs="David" w:hint="cs"/>
          <w:color w:val="000000"/>
          <w:rtl/>
        </w:rPr>
        <w:t xml:space="preserve">התקיים דיון בנושא, פרסום הנחיות יפורסמו עך-ידי החשבונאי הראשי. </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autoSpaceDE w:val="0"/>
        <w:autoSpaceDN w:val="0"/>
        <w:adjustRightInd w:val="0"/>
        <w:spacing w:line="288" w:lineRule="auto"/>
        <w:ind w:left="578" w:hanging="567"/>
        <w:jc w:val="both"/>
        <w:textAlignment w:val="center"/>
        <w:rPr>
          <w:rFonts w:ascii="David" w:eastAsiaTheme="minorHAnsi" w:cs="David"/>
          <w:color w:val="000000"/>
          <w:rtl/>
        </w:rPr>
      </w:pPr>
    </w:p>
    <w:p w:rsidR="00372B9E" w:rsidRPr="00372B9E" w:rsidRDefault="00372B9E" w:rsidP="00372B9E">
      <w:pPr>
        <w:suppressAutoHyphens/>
        <w:autoSpaceDE w:val="0"/>
        <w:autoSpaceDN w:val="0"/>
        <w:adjustRightInd w:val="0"/>
        <w:spacing w:line="288" w:lineRule="auto"/>
        <w:ind w:left="578" w:hanging="567"/>
        <w:jc w:val="both"/>
        <w:textAlignment w:val="center"/>
        <w:rPr>
          <w:rFonts w:ascii="David" w:eastAsiaTheme="minorHAnsi" w:cs="David"/>
          <w:color w:val="000000"/>
          <w:rtl/>
        </w:rPr>
      </w:pPr>
      <w:r w:rsidRPr="00372B9E">
        <w:rPr>
          <w:rFonts w:ascii="David" w:eastAsiaTheme="minorHAnsi" w:cs="David" w:hint="cs"/>
          <w:color w:val="000000"/>
          <w:rtl/>
        </w:rPr>
        <w:t>4.</w:t>
      </w:r>
      <w:r w:rsidRPr="00372B9E">
        <w:rPr>
          <w:rFonts w:ascii="David" w:eastAsiaTheme="minorHAnsi" w:cs="David"/>
          <w:color w:val="000000"/>
          <w:rtl/>
        </w:rPr>
        <w:tab/>
      </w:r>
      <w:r w:rsidRPr="00372B9E">
        <w:rPr>
          <w:rFonts w:ascii="David" w:eastAsiaTheme="minorHAnsi" w:cs="David" w:hint="cs"/>
          <w:color w:val="000000"/>
          <w:rtl/>
        </w:rPr>
        <w:t xml:space="preserve">לפ"ם גובה בדרך כלל מלקוחותיה עמלה בשיעורים אחידים - 10% בעבור פרסום בארץ ו-6% בעבור פרסום בחו"ל. העמלה נגבית ללא קשר למורכבות העבודה ולהוצאות של לפ"ם עצמה בגין העבודה. משום כך אי-אפשר לדעת אם אין מקרים של "סבסוד צולב" בין הלקוחות השונים בגין עלות עבודתה של לפ"ם. משרד מבקר המדינה העיר על הפגם שבגביית עמלה בשיעור אחיד כבר בדוח הקודם, שפורסם כאמור לפני יותר מ-13 שנה. באותו דוח הוער שטרם הונהגה בלפ"ם מערכת תמחור שתאפשר לחשב את ההוצאות </w:t>
      </w:r>
      <w:r w:rsidRPr="00372B9E">
        <w:rPr>
          <w:rFonts w:ascii="David" w:eastAsiaTheme="minorHAnsi" w:cs="David" w:hint="cs"/>
          <w:color w:val="000000"/>
          <w:rtl/>
        </w:rPr>
        <w:lastRenderedPageBreak/>
        <w:t xml:space="preserve">שניתן לייחס לכל פרויקט ולזקוף אותן לעלות העבודות השונות שלפ"ם מבצעת עבור לקוחותיה. </w:t>
      </w:r>
    </w:p>
    <w:p w:rsidR="00372B9E" w:rsidRPr="00372B9E" w:rsidRDefault="00372B9E" w:rsidP="00372B9E">
      <w:pPr>
        <w:autoSpaceDE w:val="0"/>
        <w:autoSpaceDN w:val="0"/>
        <w:adjustRightInd w:val="0"/>
        <w:spacing w:line="288" w:lineRule="auto"/>
        <w:ind w:left="567" w:hanging="567"/>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4.</w:t>
      </w:r>
      <w:r w:rsidRPr="00372B9E">
        <w:rPr>
          <w:rFonts w:ascii="David" w:eastAsiaTheme="minorHAnsi" w:cs="David"/>
          <w:color w:val="000000"/>
          <w:rtl/>
        </w:rPr>
        <w:tab/>
      </w:r>
      <w:r w:rsidRPr="00372B9E">
        <w:rPr>
          <w:rFonts w:ascii="David" w:eastAsiaTheme="minorHAnsi" w:cs="David" w:hint="cs"/>
          <w:color w:val="000000"/>
          <w:rtl/>
        </w:rPr>
        <w:t>לשכת הפרסום הממשלתית הקימה ועדה לבחינת שיעור התקורה. הועדה טרם הגישה המלצותיה.</w:t>
      </w: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color w:val="000000"/>
          <w:rtl/>
        </w:rPr>
        <w:tab/>
      </w:r>
      <w:r w:rsidRPr="00372B9E">
        <w:rPr>
          <w:rFonts w:ascii="David" w:eastAsiaTheme="minorHAnsi" w:cs="David" w:hint="cs"/>
          <w:color w:val="000000"/>
          <w:rtl/>
        </w:rPr>
        <w:t>ראה הערות רה"מ 60ב' עמ' 162.</w:t>
      </w: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372B9E">
        <w:rPr>
          <w:rFonts w:ascii="David" w:eastAsiaTheme="minorHAnsi" w:cs="David" w:hint="cs"/>
          <w:color w:val="000000"/>
          <w:rtl/>
        </w:rPr>
        <w:t>5.</w:t>
      </w:r>
      <w:r w:rsidRPr="00372B9E">
        <w:rPr>
          <w:rFonts w:ascii="David" w:eastAsiaTheme="minorHAnsi" w:cs="David"/>
          <w:color w:val="000000"/>
          <w:rtl/>
        </w:rPr>
        <w:tab/>
      </w:r>
      <w:r w:rsidRPr="00372B9E">
        <w:rPr>
          <w:rFonts w:ascii="David" w:eastAsiaTheme="minorHAnsi" w:cs="David" w:hint="cs"/>
          <w:color w:val="000000"/>
          <w:rtl/>
        </w:rPr>
        <w:t>אף כי לפ"ם הוגדרה כיחידה מינהלית, בפועל התנהלו לפ"ם והעומד בראשה, מר נתן מאיר, במהלך השנים במקרים רבים כאילו היא יחידת סמך על כל המשתמע מכך מבחינת סמכויותיה ודרכי פעולתה. גם הגופים האחראים ללפ"ם התייחסו אליה בפועל ככזו. נציבות שרות המדינה (להלן - נש"ם) ומשרד רה"ם לא נקטו את הצעדים הדרושים להבהרת מעמדה של לפ"ם כיחידה מינהלית בתוך משרד ממשלתי, דהיינו כל שירותי המינהל שלה כפופים מהבחינה המקצועית והמינהלית ליחידות המטה של המשרד הממשלתי שבו היא פועלת.</w:t>
      </w:r>
    </w:p>
    <w:p w:rsidR="00372B9E" w:rsidRPr="00372B9E" w:rsidRDefault="00372B9E" w:rsidP="00372B9E">
      <w:pPr>
        <w:autoSpaceDE w:val="0"/>
        <w:autoSpaceDN w:val="0"/>
        <w:adjustRightInd w:val="0"/>
        <w:spacing w:line="288" w:lineRule="auto"/>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5.</w:t>
      </w:r>
      <w:r w:rsidRPr="00372B9E">
        <w:rPr>
          <w:rFonts w:ascii="David" w:eastAsiaTheme="minorHAnsi" w:cs="David"/>
          <w:color w:val="000000"/>
          <w:rtl/>
        </w:rPr>
        <w:tab/>
      </w:r>
      <w:r w:rsidRPr="00372B9E">
        <w:rPr>
          <w:rFonts w:ascii="David" w:eastAsiaTheme="minorHAnsi" w:cs="David" w:hint="cs"/>
          <w:color w:val="000000"/>
          <w:rtl/>
        </w:rPr>
        <w:t>היועצת המשפטית של משרד ראש הממשלה פועלת להגדרה בכתב של מערך היחסים, חלוקת הסמכויות והיקף האחריות עם היועצת המשפטית של לשכת הפרסום הממשלתית.</w:t>
      </w:r>
    </w:p>
    <w:p w:rsidR="00372B9E" w:rsidRPr="00372B9E" w:rsidRDefault="00372B9E" w:rsidP="00372B9E">
      <w:pPr>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 xml:space="preserve">  </w:t>
      </w:r>
      <w:r w:rsidRPr="00372B9E">
        <w:rPr>
          <w:rFonts w:ascii="David" w:eastAsiaTheme="minorHAnsi" w:cs="David"/>
          <w:color w:val="000000"/>
          <w:rtl/>
        </w:rPr>
        <w:tab/>
      </w:r>
      <w:r w:rsidRPr="00372B9E">
        <w:rPr>
          <w:rFonts w:ascii="David" w:eastAsiaTheme="minorHAnsi" w:cs="David" w:hint="cs"/>
          <w:color w:val="000000"/>
          <w:rtl/>
        </w:rPr>
        <w:t>ראה הערות רה"מ 60ב' עמ' 163.</w:t>
      </w:r>
    </w:p>
    <w:p w:rsidR="00372B9E" w:rsidRPr="00372B9E" w:rsidRDefault="00372B9E" w:rsidP="00372B9E">
      <w:pPr>
        <w:autoSpaceDE w:val="0"/>
        <w:autoSpaceDN w:val="0"/>
        <w:adjustRightInd w:val="0"/>
        <w:spacing w:line="288" w:lineRule="auto"/>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משרד ראש הממשלה</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5.</w:t>
      </w:r>
      <w:r w:rsidRPr="00372B9E">
        <w:rPr>
          <w:rFonts w:ascii="David" w:eastAsiaTheme="minorHAnsi" w:cs="David"/>
          <w:color w:val="000000"/>
          <w:rtl/>
        </w:rPr>
        <w:tab/>
      </w:r>
      <w:r w:rsidRPr="00372B9E">
        <w:rPr>
          <w:rFonts w:ascii="David" w:eastAsiaTheme="minorHAnsi" w:cs="David" w:hint="cs"/>
          <w:color w:val="000000"/>
          <w:rtl/>
        </w:rPr>
        <w:t>המשרד פועל להגדרה בכתב של מערך היחסים, חלוקת הסמכויות והיקף האחריות של כל היועצים המשפטיים הכפופים למשרד ראש הממשלה.</w:t>
      </w: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color w:val="000000"/>
          <w:rtl/>
        </w:rPr>
        <w:tab/>
      </w:r>
      <w:r w:rsidRPr="00372B9E">
        <w:rPr>
          <w:rFonts w:ascii="David" w:eastAsiaTheme="minorHAnsi" w:cs="David" w:hint="cs"/>
          <w:color w:val="000000"/>
          <w:rtl/>
        </w:rPr>
        <w:t xml:space="preserve">ראה הערות רה"מ 60ב' עמ' 163. </w:t>
      </w:r>
    </w:p>
    <w:p w:rsidR="00372B9E" w:rsidRPr="00372B9E" w:rsidRDefault="00372B9E" w:rsidP="00372B9E">
      <w:pPr>
        <w:autoSpaceDE w:val="0"/>
        <w:autoSpaceDN w:val="0"/>
        <w:adjustRightInd w:val="0"/>
        <w:spacing w:line="288" w:lineRule="auto"/>
        <w:ind w:left="1134" w:hanging="1134"/>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68" w:lineRule="auto"/>
        <w:ind w:left="567" w:hanging="567"/>
        <w:jc w:val="both"/>
        <w:textAlignment w:val="center"/>
        <w:rPr>
          <w:rFonts w:ascii="David" w:eastAsiaTheme="minorHAnsi" w:cs="David"/>
          <w:color w:val="000000"/>
          <w:rtl/>
        </w:rPr>
      </w:pPr>
      <w:r w:rsidRPr="00372B9E">
        <w:rPr>
          <w:rFonts w:ascii="David" w:eastAsiaTheme="minorHAnsi" w:cs="David" w:hint="cs"/>
          <w:color w:val="000000"/>
          <w:rtl/>
        </w:rPr>
        <w:t>10.</w:t>
      </w:r>
      <w:r w:rsidRPr="00372B9E">
        <w:rPr>
          <w:rFonts w:ascii="David" w:eastAsiaTheme="minorHAnsi" w:cs="David"/>
          <w:color w:val="000000"/>
          <w:rtl/>
        </w:rPr>
        <w:tab/>
      </w:r>
      <w:r w:rsidRPr="00372B9E">
        <w:rPr>
          <w:rFonts w:ascii="David" w:eastAsiaTheme="minorHAnsi" w:cs="David" w:hint="cs"/>
          <w:color w:val="000000"/>
          <w:rtl/>
        </w:rPr>
        <w:t>הביקורת העלתה כמה מקרים שבהם לא הקפידה לפ"ם למלא אחר הוראות אלה: לפ"ם לא הקפידה להעביר התקשרויות הפטורות ממכרז פומבי לוועדת המכרזים לצורך סיווגן וקביעת אופן ביצוען בין במכרז סגור בין במתן פטור; לפ"ם לא פרסמה באינטרנט רשימות של מציעים לפניות להשתתפות במכרזים סגורים לפי סוגי התקשרויות; לפ"ם עשתה אומדנים לא סבירים של שווי ההתקשרויות שהיו גבוהים באופן ניכר מההצעות שהוגשו; בניהול משא ומתן עם ספקים ונותני שירות, ניתן משקל רב ליכולת ההחלטה של בעלי תפקידים בודדים בלי שהחלטותיהם אושרו בכתב על ידי הממונים עליהם ובלי שוועדת המכרזים ביקרה החלטות אלה; לפ"ם לא נערכה מבעוד מועד לפרסם מכרז פומבי בעניין אירוע שהתקיים בשנים קודמות והצורך בארגונו ידוע מראש.</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color w:val="000000"/>
          <w:rtl/>
        </w:rPr>
      </w:pPr>
    </w:p>
    <w:p w:rsidR="00372B9E" w:rsidRDefault="00372B9E" w:rsidP="00372B9E">
      <w:pPr>
        <w:autoSpaceDE w:val="0"/>
        <w:autoSpaceDN w:val="0"/>
        <w:adjustRightInd w:val="0"/>
        <w:spacing w:line="288" w:lineRule="auto"/>
        <w:ind w:left="12"/>
        <w:jc w:val="both"/>
        <w:textAlignment w:val="center"/>
        <w:rPr>
          <w:rFonts w:ascii="David" w:eastAsiaTheme="minorHAnsi" w:cs="David" w:hint="cs"/>
          <w:b/>
          <w:bCs/>
          <w:color w:val="000000"/>
          <w:rtl/>
        </w:rPr>
      </w:pPr>
    </w:p>
    <w:p w:rsidR="00372B9E" w:rsidRDefault="00372B9E" w:rsidP="00372B9E">
      <w:pPr>
        <w:autoSpaceDE w:val="0"/>
        <w:autoSpaceDN w:val="0"/>
        <w:adjustRightInd w:val="0"/>
        <w:spacing w:line="288" w:lineRule="auto"/>
        <w:ind w:left="12"/>
        <w:jc w:val="both"/>
        <w:textAlignment w:val="center"/>
        <w:rPr>
          <w:rFonts w:ascii="David" w:eastAsiaTheme="minorHAnsi" w:cs="David" w:hint="cs"/>
          <w:b/>
          <w:bCs/>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r w:rsidRPr="00372B9E">
        <w:rPr>
          <w:rFonts w:ascii="David" w:eastAsiaTheme="minorHAnsi" w:cs="David" w:hint="cs"/>
          <w:b/>
          <w:bCs/>
          <w:color w:val="000000"/>
          <w:rtl/>
        </w:rPr>
        <w:lastRenderedPageBreak/>
        <w:t>מעקב</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r w:rsidRPr="00372B9E">
        <w:rPr>
          <w:rFonts w:ascii="David" w:eastAsiaTheme="minorHAnsi" w:cs="David" w:hint="cs"/>
          <w:b/>
          <w:bCs/>
          <w:color w:val="000000"/>
          <w:rtl/>
        </w:rPr>
        <w:t>לשכת הפרסום הממשלתית</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10.</w:t>
      </w:r>
      <w:r w:rsidRPr="00372B9E">
        <w:rPr>
          <w:rFonts w:ascii="David" w:eastAsiaTheme="minorHAnsi" w:cs="David"/>
          <w:color w:val="000000"/>
          <w:rtl/>
        </w:rPr>
        <w:tab/>
      </w:r>
      <w:r w:rsidRPr="00372B9E">
        <w:rPr>
          <w:rFonts w:ascii="David" w:eastAsiaTheme="minorHAnsi" w:cs="David" w:hint="cs"/>
          <w:color w:val="000000"/>
          <w:rtl/>
        </w:rPr>
        <w:t>ועדת המכרזים של לשכת הפרסום וועדת הפטור המשרדית במשרד ההסברה והתפוצות פועלות כבר ליישום השינויים שהוכנסו בתקנות חובת המכרזים, ועל פי הוראות החשב הכללי המתפרסמות מעת לעת.</w:t>
      </w: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color w:val="000000"/>
          <w:rtl/>
        </w:rPr>
        <w:tab/>
      </w:r>
      <w:r w:rsidRPr="00372B9E">
        <w:rPr>
          <w:rFonts w:ascii="David" w:eastAsiaTheme="minorHAnsi" w:cs="David" w:hint="cs"/>
          <w:color w:val="000000"/>
          <w:rtl/>
        </w:rPr>
        <w:t xml:space="preserve">ראה הערות רה"מ 60ב' עמ' 165. </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color w:val="000000"/>
          <w:rtl/>
        </w:rPr>
      </w:pPr>
    </w:p>
    <w:p w:rsidR="00372B9E" w:rsidRPr="00372B9E" w:rsidRDefault="00372B9E" w:rsidP="00372B9E">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372B9E">
        <w:rPr>
          <w:rFonts w:ascii="David" w:eastAsiaTheme="minorHAnsi" w:cs="David" w:hint="cs"/>
          <w:color w:val="000000"/>
          <w:rtl/>
        </w:rPr>
        <w:t>13.</w:t>
      </w:r>
      <w:r w:rsidRPr="00372B9E">
        <w:rPr>
          <w:rFonts w:ascii="David" w:eastAsiaTheme="minorHAnsi" w:cs="David"/>
          <w:color w:val="000000"/>
          <w:rtl/>
        </w:rPr>
        <w:tab/>
      </w:r>
      <w:r w:rsidRPr="00372B9E">
        <w:rPr>
          <w:rFonts w:ascii="David" w:eastAsiaTheme="minorHAnsi" w:cs="David" w:hint="cs"/>
          <w:color w:val="000000"/>
          <w:rtl/>
        </w:rPr>
        <w:t xml:space="preserve">על אף החלטת הממשלה מספטמבר 1999 המשיכה לפ"ם, גם בשנת 2003 ואחריה, לתת שירותי פרסום לתאגידים עסקיים. בשנת 2008 היא חייבה 17 תאגידים עסקיים בגין שירותיה בסכום כולל של כ-7.2 מיליון ש"ח לא כולל מע"מ, ובשלושת החודשים הראשונים של שנת 2009 היא חייבה 13 תאגידים עסקיים בגין שירותיה בסכום כולל של 2.3 מיליון ש"ח לא כולל מע"מ. </w:t>
      </w:r>
    </w:p>
    <w:p w:rsidR="00372B9E" w:rsidRPr="00372B9E" w:rsidRDefault="00372B9E" w:rsidP="00372B9E">
      <w:pPr>
        <w:autoSpaceDE w:val="0"/>
        <w:autoSpaceDN w:val="0"/>
        <w:adjustRightInd w:val="0"/>
        <w:spacing w:line="288" w:lineRule="auto"/>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13.</w:t>
      </w:r>
      <w:r w:rsidRPr="00372B9E">
        <w:rPr>
          <w:rFonts w:ascii="David" w:eastAsiaTheme="minorHAnsi" w:cs="David"/>
          <w:color w:val="000000"/>
          <w:rtl/>
        </w:rPr>
        <w:tab/>
      </w:r>
      <w:r w:rsidRPr="00372B9E">
        <w:rPr>
          <w:rFonts w:ascii="David" w:eastAsiaTheme="minorHAnsi" w:cs="David" w:hint="cs"/>
          <w:color w:val="000000"/>
          <w:rtl/>
        </w:rPr>
        <w:t>לשכת הפרסום הממשלתית החליטה להגיש להחלטת ממשלה מתוקנת את נושא שירותי פרסום לתאגידים עסקיים.</w:t>
      </w:r>
    </w:p>
    <w:p w:rsidR="00372B9E" w:rsidRPr="00372B9E" w:rsidRDefault="00372B9E" w:rsidP="00372B9E">
      <w:pPr>
        <w:autoSpaceDE w:val="0"/>
        <w:autoSpaceDN w:val="0"/>
        <w:adjustRightInd w:val="0"/>
        <w:spacing w:line="288" w:lineRule="auto"/>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567" w:hanging="567"/>
        <w:jc w:val="both"/>
        <w:textAlignment w:val="center"/>
        <w:rPr>
          <w:rFonts w:ascii="David" w:eastAsiaTheme="minorHAnsi" w:cs="David"/>
          <w:color w:val="000000"/>
          <w:rtl/>
        </w:rPr>
      </w:pPr>
      <w:r w:rsidRPr="00372B9E">
        <w:rPr>
          <w:rFonts w:ascii="David" w:eastAsiaTheme="minorHAnsi" w:cs="David" w:hint="cs"/>
          <w:color w:val="000000"/>
          <w:rtl/>
        </w:rPr>
        <w:t xml:space="preserve">15. </w:t>
      </w:r>
      <w:r w:rsidRPr="00372B9E">
        <w:rPr>
          <w:rFonts w:ascii="David" w:eastAsiaTheme="minorHAnsi" w:cs="David"/>
          <w:color w:val="000000"/>
          <w:rtl/>
        </w:rPr>
        <w:tab/>
      </w:r>
      <w:r w:rsidRPr="00372B9E">
        <w:rPr>
          <w:rFonts w:ascii="David" w:eastAsiaTheme="minorHAnsi" w:cs="David" w:hint="cs"/>
          <w:color w:val="000000"/>
          <w:rtl/>
        </w:rPr>
        <w:t xml:space="preserve">בלפ"ם לא נמצאו מסמכים המעידים שלאחר החלטת הממשלה מספטמבר 1999 קיימה הנהלת לפ"ם ישיבות לקביעת דרכי פעולתה לצמצום עבודות פרסום שהיא מבצעת בעצמה ולהתמקדות ברכישה של מדיה ושירותי פרסום מגורמים חיצוניים. </w:t>
      </w:r>
    </w:p>
    <w:p w:rsidR="00372B9E" w:rsidRPr="00372B9E" w:rsidRDefault="00372B9E" w:rsidP="00372B9E">
      <w:pPr>
        <w:autoSpaceDE w:val="0"/>
        <w:autoSpaceDN w:val="0"/>
        <w:adjustRightInd w:val="0"/>
        <w:spacing w:line="288" w:lineRule="auto"/>
        <w:ind w:left="567" w:hanging="567"/>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b/>
          <w:bCs/>
          <w:color w:val="000000"/>
          <w:rtl/>
        </w:rPr>
      </w:pPr>
      <w:r w:rsidRPr="00372B9E">
        <w:rPr>
          <w:rFonts w:ascii="David" w:eastAsiaTheme="minorHAnsi" w:cs="David" w:hint="cs"/>
          <w:b/>
          <w:bCs/>
          <w:color w:val="000000"/>
          <w:rtl/>
        </w:rPr>
        <w:t>משרד ההסברה והתפוצות</w:t>
      </w:r>
    </w:p>
    <w:p w:rsidR="00372B9E" w:rsidRPr="00372B9E" w:rsidRDefault="00372B9E" w:rsidP="00372B9E">
      <w:pPr>
        <w:autoSpaceDE w:val="0"/>
        <w:autoSpaceDN w:val="0"/>
        <w:adjustRightInd w:val="0"/>
        <w:spacing w:line="288" w:lineRule="auto"/>
        <w:ind w:left="566" w:hanging="566"/>
        <w:jc w:val="both"/>
        <w:textAlignment w:val="center"/>
        <w:rPr>
          <w:rFonts w:ascii="David" w:eastAsiaTheme="minorHAnsi" w:cs="David"/>
          <w:b/>
          <w:bCs/>
          <w:color w:val="000000"/>
          <w:rtl/>
        </w:rPr>
      </w:pPr>
    </w:p>
    <w:p w:rsidR="00372B9E" w:rsidRPr="00372B9E" w:rsidRDefault="00372B9E" w:rsidP="00372B9E">
      <w:pPr>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15.</w:t>
      </w:r>
      <w:r w:rsidRPr="00372B9E">
        <w:rPr>
          <w:rFonts w:ascii="David" w:eastAsiaTheme="minorHAnsi" w:cs="David"/>
          <w:color w:val="000000"/>
          <w:rtl/>
        </w:rPr>
        <w:tab/>
      </w:r>
      <w:r w:rsidRPr="00372B9E">
        <w:rPr>
          <w:rFonts w:ascii="David" w:eastAsiaTheme="minorHAnsi" w:cs="David" w:hint="cs"/>
          <w:color w:val="000000"/>
          <w:rtl/>
        </w:rPr>
        <w:t xml:space="preserve">משרד ההסברה והתפוצות עומד להסדיר את הנושא בהחלטת ממשלה. </w:t>
      </w:r>
    </w:p>
    <w:p w:rsidR="00372B9E" w:rsidRPr="00372B9E" w:rsidRDefault="00372B9E" w:rsidP="00372B9E">
      <w:pPr>
        <w:autoSpaceDE w:val="0"/>
        <w:autoSpaceDN w:val="0"/>
        <w:adjustRightInd w:val="0"/>
        <w:spacing w:line="288" w:lineRule="auto"/>
        <w:ind w:left="720"/>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372B9E">
        <w:rPr>
          <w:rFonts w:ascii="David" w:eastAsiaTheme="minorHAnsi" w:cs="David" w:hint="cs"/>
          <w:color w:val="000000"/>
          <w:rtl/>
        </w:rPr>
        <w:t>16.</w:t>
      </w:r>
      <w:r w:rsidRPr="00372B9E">
        <w:rPr>
          <w:rFonts w:ascii="David" w:eastAsiaTheme="minorHAnsi" w:cs="David"/>
          <w:color w:val="000000"/>
          <w:rtl/>
        </w:rPr>
        <w:tab/>
      </w:r>
      <w:r w:rsidRPr="00372B9E">
        <w:rPr>
          <w:rFonts w:ascii="David" w:eastAsiaTheme="minorHAnsi" w:cs="David" w:hint="cs"/>
          <w:color w:val="000000"/>
          <w:rtl/>
        </w:rPr>
        <w:t xml:space="preserve">בלפ"ם לא נמצאו מסמכים המעידים שלאחר החלטת הממשלה מספטמבר 1999 קיימה הנהלת לפ"ם ישיבות לקביעת דרכי פעולתה לצמצום עבודות פרסום שהיא מבצעת בעצמה ולהתמקדות ברכישה של מדיה ושירותי פרסום מגורמים חיצוניים. </w:t>
      </w:r>
    </w:p>
    <w:p w:rsidR="00372B9E" w:rsidRPr="00372B9E" w:rsidRDefault="00372B9E" w:rsidP="00372B9E">
      <w:pPr>
        <w:autoSpaceDE w:val="0"/>
        <w:autoSpaceDN w:val="0"/>
        <w:adjustRightInd w:val="0"/>
        <w:spacing w:line="288" w:lineRule="auto"/>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לשכת הפרסום הממשלתית</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16.</w:t>
      </w:r>
      <w:r w:rsidRPr="00372B9E">
        <w:rPr>
          <w:rFonts w:ascii="David" w:eastAsiaTheme="minorHAnsi" w:cs="David"/>
          <w:color w:val="000000"/>
          <w:rtl/>
        </w:rPr>
        <w:tab/>
      </w:r>
      <w:r w:rsidRPr="00372B9E">
        <w:rPr>
          <w:rFonts w:ascii="David" w:eastAsiaTheme="minorHAnsi" w:cs="David" w:hint="cs"/>
          <w:color w:val="000000"/>
          <w:rtl/>
        </w:rPr>
        <w:t>לשכת הפרסום פועלת כבר בהתמדה למסירת עבודות הפקדת הפרסום בקבלנות משנה לקבלני חוץ.</w:t>
      </w: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color w:val="000000"/>
          <w:rtl/>
        </w:rPr>
        <w:tab/>
      </w:r>
      <w:r w:rsidRPr="00372B9E">
        <w:rPr>
          <w:rFonts w:ascii="David" w:eastAsiaTheme="minorHAnsi" w:cs="David" w:hint="cs"/>
          <w:color w:val="000000"/>
          <w:rtl/>
        </w:rPr>
        <w:t xml:space="preserve">ראה הערות רה"מ 60ב' עמ' 168. </w:t>
      </w:r>
    </w:p>
    <w:p w:rsidR="00372B9E" w:rsidRDefault="00372B9E" w:rsidP="00372B9E">
      <w:pPr>
        <w:autoSpaceDE w:val="0"/>
        <w:autoSpaceDN w:val="0"/>
        <w:adjustRightInd w:val="0"/>
        <w:spacing w:line="288" w:lineRule="auto"/>
        <w:jc w:val="both"/>
        <w:textAlignment w:val="center"/>
        <w:rPr>
          <w:rFonts w:ascii="David" w:eastAsiaTheme="minorHAnsi" w:cs="David" w:hint="cs"/>
          <w:b/>
          <w:bCs/>
          <w:color w:val="000000"/>
          <w:rtl/>
        </w:rPr>
      </w:pPr>
    </w:p>
    <w:p w:rsidR="00372B9E" w:rsidRDefault="00372B9E" w:rsidP="00372B9E">
      <w:pPr>
        <w:autoSpaceDE w:val="0"/>
        <w:autoSpaceDN w:val="0"/>
        <w:adjustRightInd w:val="0"/>
        <w:spacing w:line="288" w:lineRule="auto"/>
        <w:jc w:val="both"/>
        <w:textAlignment w:val="center"/>
        <w:rPr>
          <w:rFonts w:ascii="David" w:eastAsiaTheme="minorHAnsi" w:cs="David" w:hint="cs"/>
          <w:b/>
          <w:bCs/>
          <w:color w:val="000000"/>
          <w:rtl/>
        </w:rPr>
      </w:pPr>
    </w:p>
    <w:p w:rsidR="00372B9E" w:rsidRDefault="00372B9E" w:rsidP="00372B9E">
      <w:pPr>
        <w:autoSpaceDE w:val="0"/>
        <w:autoSpaceDN w:val="0"/>
        <w:adjustRightInd w:val="0"/>
        <w:spacing w:line="288" w:lineRule="auto"/>
        <w:jc w:val="both"/>
        <w:textAlignment w:val="center"/>
        <w:rPr>
          <w:rFonts w:ascii="David" w:eastAsiaTheme="minorHAnsi" w:cs="David" w:hint="cs"/>
          <w:b/>
          <w:bCs/>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lastRenderedPageBreak/>
        <w:t>ליקוי</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565" w:hanging="565"/>
        <w:jc w:val="both"/>
        <w:textAlignment w:val="center"/>
        <w:rPr>
          <w:rFonts w:ascii="David" w:eastAsiaTheme="minorHAnsi" w:cs="David"/>
          <w:color w:val="000000"/>
          <w:rtl/>
        </w:rPr>
      </w:pPr>
      <w:r w:rsidRPr="00372B9E">
        <w:rPr>
          <w:rFonts w:ascii="David" w:eastAsiaTheme="minorHAnsi" w:cs="David" w:hint="cs"/>
          <w:color w:val="000000"/>
          <w:rtl/>
        </w:rPr>
        <w:t>19.</w:t>
      </w:r>
      <w:r w:rsidRPr="00372B9E">
        <w:rPr>
          <w:rFonts w:ascii="David" w:eastAsiaTheme="minorHAnsi" w:cs="David"/>
          <w:color w:val="000000"/>
          <w:rtl/>
        </w:rPr>
        <w:tab/>
      </w:r>
      <w:r w:rsidRPr="00372B9E">
        <w:rPr>
          <w:rFonts w:ascii="David" w:eastAsiaTheme="minorHAnsi" w:cs="David" w:hint="cs"/>
          <w:color w:val="000000"/>
          <w:rtl/>
        </w:rPr>
        <w:t>תפקידה העיקרי של לשכת הפרסום הממשלתית הוא לספק שירותי פרסום למשרדי ממשלה, לתאגידים על פי חוק שאינם תאגידים עסקיים, ולחברות ממשלתיות שאינן עסקיות. ריכוז הפעולות והסמכויות בנושא זה בידי לשכת הפרסום הממשלתית נועד בעיקר לחסוך בהוצאות הפרסום של גופים אלה, ולמנוע פרסומים פוליטיים או מוטים מסיבות בלתי ענייניות, כאלה או אחרות.</w:t>
      </w:r>
    </w:p>
    <w:p w:rsidR="00372B9E" w:rsidRPr="00372B9E" w:rsidRDefault="00372B9E" w:rsidP="00372B9E">
      <w:pPr>
        <w:autoSpaceDE w:val="0"/>
        <w:autoSpaceDN w:val="0"/>
        <w:adjustRightInd w:val="0"/>
        <w:spacing w:line="288" w:lineRule="auto"/>
        <w:ind w:left="565" w:hanging="565"/>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19.</w:t>
      </w:r>
      <w:r w:rsidRPr="00372B9E">
        <w:rPr>
          <w:rFonts w:ascii="David" w:eastAsiaTheme="minorHAnsi" w:cs="David"/>
          <w:color w:val="000000"/>
          <w:rtl/>
        </w:rPr>
        <w:tab/>
      </w:r>
      <w:r w:rsidRPr="00372B9E">
        <w:rPr>
          <w:rFonts w:ascii="David" w:eastAsiaTheme="minorHAnsi" w:cs="David" w:hint="cs"/>
          <w:color w:val="000000"/>
          <w:rtl/>
        </w:rPr>
        <w:t xml:space="preserve">לשכת הפרסום תפיק את הלקחים מהערות הביקורת. פעולות רבות כבר נעשו בנושא. </w:t>
      </w:r>
    </w:p>
    <w:p w:rsidR="00372B9E" w:rsidRPr="00372B9E" w:rsidRDefault="00372B9E" w:rsidP="00372B9E">
      <w:pPr>
        <w:autoSpaceDE w:val="0"/>
        <w:autoSpaceDN w:val="0"/>
        <w:adjustRightInd w:val="0"/>
        <w:spacing w:line="288" w:lineRule="auto"/>
        <w:ind w:left="565" w:hanging="565"/>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1132" w:hanging="1132"/>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autoSpaceDE w:val="0"/>
        <w:autoSpaceDN w:val="0"/>
        <w:adjustRightInd w:val="0"/>
        <w:spacing w:line="288" w:lineRule="auto"/>
        <w:ind w:left="1132" w:hanging="1132"/>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565" w:hanging="565"/>
        <w:jc w:val="both"/>
        <w:textAlignment w:val="center"/>
        <w:rPr>
          <w:rFonts w:ascii="David" w:eastAsiaTheme="minorHAnsi" w:cs="David"/>
          <w:color w:val="000000"/>
          <w:rtl/>
        </w:rPr>
      </w:pPr>
      <w:r w:rsidRPr="00372B9E">
        <w:rPr>
          <w:rFonts w:ascii="David" w:eastAsiaTheme="minorHAnsi" w:cs="David" w:hint="cs"/>
          <w:color w:val="000000"/>
          <w:rtl/>
        </w:rPr>
        <w:t>22.</w:t>
      </w:r>
      <w:r w:rsidRPr="00372B9E">
        <w:rPr>
          <w:rFonts w:ascii="David" w:eastAsiaTheme="minorHAnsi" w:cs="David"/>
          <w:color w:val="000000"/>
          <w:rtl/>
        </w:rPr>
        <w:tab/>
      </w:r>
      <w:r w:rsidRPr="00372B9E">
        <w:rPr>
          <w:rFonts w:ascii="David" w:eastAsiaTheme="minorHAnsi" w:cs="David" w:hint="cs"/>
          <w:color w:val="000000"/>
          <w:rtl/>
        </w:rPr>
        <w:t xml:space="preserve">הגופים האמורים לפקח על פעילות לפ"ם - משרד רה"ם, משרד האוצר ונש"ם (להלן - הגופים האחראים) - לא קיימו פיקוח ובקרה מספקים על פעולותיה. לא אחת נמצא כי אם חלק מגופים אלה היו ממלאים את תפקידם האמור כראוי, ניתן היה לאתר ליקויים בפעילותה של לפ"ם, ובמקרים מסוימים אף למנוע את התרחשותם מבעוד מועד. </w:t>
      </w:r>
    </w:p>
    <w:p w:rsidR="00372B9E" w:rsidRPr="00372B9E" w:rsidRDefault="00372B9E" w:rsidP="00372B9E">
      <w:pPr>
        <w:autoSpaceDE w:val="0"/>
        <w:autoSpaceDN w:val="0"/>
        <w:adjustRightInd w:val="0"/>
        <w:spacing w:line="288" w:lineRule="auto"/>
        <w:ind w:left="1132" w:hanging="1132"/>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22.</w:t>
      </w:r>
      <w:r w:rsidRPr="00372B9E">
        <w:rPr>
          <w:rFonts w:ascii="David" w:eastAsiaTheme="minorHAnsi" w:cs="David"/>
          <w:color w:val="000000"/>
          <w:rtl/>
        </w:rPr>
        <w:tab/>
      </w:r>
      <w:r w:rsidRPr="00372B9E">
        <w:rPr>
          <w:rFonts w:ascii="David" w:eastAsiaTheme="minorHAnsi" w:cs="David" w:hint="cs"/>
          <w:color w:val="000000"/>
          <w:rtl/>
        </w:rPr>
        <w:t>לשכת הפרסום הממשלתית הוכפפה למשרד ההסברה והתפוצות.</w:t>
      </w:r>
    </w:p>
    <w:p w:rsidR="00372B9E" w:rsidRPr="00372B9E" w:rsidRDefault="00372B9E" w:rsidP="00372B9E">
      <w:pPr>
        <w:autoSpaceDE w:val="0"/>
        <w:autoSpaceDN w:val="0"/>
        <w:adjustRightInd w:val="0"/>
        <w:spacing w:line="288" w:lineRule="auto"/>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נציבות שירות המדינה</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22.</w:t>
      </w:r>
      <w:r w:rsidRPr="00372B9E">
        <w:rPr>
          <w:rFonts w:ascii="David" w:eastAsiaTheme="minorHAnsi" w:cs="David"/>
          <w:color w:val="000000"/>
          <w:rtl/>
        </w:rPr>
        <w:tab/>
      </w:r>
      <w:r w:rsidRPr="00372B9E">
        <w:rPr>
          <w:rFonts w:ascii="David" w:eastAsiaTheme="minorHAnsi" w:cs="David" w:hint="cs"/>
          <w:color w:val="000000"/>
          <w:rtl/>
        </w:rPr>
        <w:t xml:space="preserve">נציבות שירות המדינה עוסקת בפיקוח ובקרה על נושא כח אדם וכללי מינהל תקין בכל הנוגע לתחום אחריותה. </w:t>
      </w:r>
    </w:p>
    <w:p w:rsidR="00372B9E" w:rsidRPr="00372B9E" w:rsidRDefault="00372B9E" w:rsidP="00372B9E">
      <w:pPr>
        <w:autoSpaceDE w:val="0"/>
        <w:autoSpaceDN w:val="0"/>
        <w:adjustRightInd w:val="0"/>
        <w:spacing w:line="288" w:lineRule="auto"/>
        <w:ind w:left="1134" w:hanging="1134"/>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ליקוי </w:t>
      </w:r>
    </w:p>
    <w:p w:rsidR="00372B9E" w:rsidRPr="00372B9E" w:rsidRDefault="00372B9E" w:rsidP="00372B9E">
      <w:pPr>
        <w:tabs>
          <w:tab w:val="left" w:pos="4661"/>
        </w:tabs>
        <w:autoSpaceDE w:val="0"/>
        <w:autoSpaceDN w:val="0"/>
        <w:adjustRightInd w:val="0"/>
        <w:spacing w:line="288" w:lineRule="auto"/>
        <w:ind w:left="12"/>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565" w:hanging="565"/>
        <w:jc w:val="both"/>
        <w:textAlignment w:val="center"/>
        <w:rPr>
          <w:rFonts w:ascii="David" w:eastAsiaTheme="minorHAnsi" w:cs="David"/>
          <w:color w:val="000000"/>
          <w:rtl/>
        </w:rPr>
      </w:pPr>
      <w:r w:rsidRPr="00372B9E">
        <w:rPr>
          <w:rFonts w:ascii="David" w:eastAsiaTheme="minorHAnsi" w:cs="David" w:hint="cs"/>
          <w:color w:val="000000"/>
          <w:rtl/>
        </w:rPr>
        <w:t>23.</w:t>
      </w:r>
      <w:r w:rsidRPr="00372B9E">
        <w:rPr>
          <w:rFonts w:ascii="David" w:eastAsiaTheme="minorHAnsi" w:cs="David"/>
          <w:color w:val="000000"/>
          <w:rtl/>
        </w:rPr>
        <w:tab/>
      </w:r>
      <w:r w:rsidRPr="00372B9E">
        <w:rPr>
          <w:rFonts w:ascii="David" w:eastAsiaTheme="minorHAnsi" w:cs="David" w:hint="cs"/>
          <w:color w:val="000000"/>
          <w:rtl/>
        </w:rPr>
        <w:t>על הגורמים האחראים ועל משרד ההסברה והתפוצות לבחון את המתחייב מהממצאים החמורים שהובאו בדוח זה, לרבות אחריותו של מנהל לפ"ם לממצאים אלה, ולהסיק את המסקנות הנדרשות בדבר הצורך בקיום בקרה ופיקוח ראויים ומועילים יותר. כמו כן עליהם לבחון מהי המסגרת הארגונית המיטבית לפעילותה של לפ"ם. יישום המלצות אלה יתרום לקידום ולשיפור פעילותה של לפ"ם מבחינת טיב השירות ושיקולי חיסכון ויעילות ויביא לידי מניעת פרסומים לא ראויים.</w:t>
      </w:r>
    </w:p>
    <w:p w:rsidR="00372B9E" w:rsidRPr="00372B9E" w:rsidRDefault="00372B9E" w:rsidP="00372B9E">
      <w:pPr>
        <w:autoSpaceDE w:val="0"/>
        <w:autoSpaceDN w:val="0"/>
        <w:adjustRightInd w:val="0"/>
        <w:spacing w:line="288" w:lineRule="auto"/>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 xml:space="preserve">משרד ההסברה והתפוצות </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23.</w:t>
      </w:r>
      <w:r w:rsidRPr="00372B9E">
        <w:rPr>
          <w:rFonts w:ascii="David" w:eastAsiaTheme="minorHAnsi" w:cs="David"/>
          <w:color w:val="000000"/>
          <w:rtl/>
        </w:rPr>
        <w:tab/>
      </w:r>
      <w:r w:rsidRPr="00372B9E">
        <w:rPr>
          <w:rFonts w:ascii="David" w:eastAsiaTheme="minorHAnsi" w:cs="David" w:hint="cs"/>
          <w:color w:val="000000"/>
          <w:rtl/>
        </w:rPr>
        <w:t xml:space="preserve">לא דווח על התקדמות על תיקון הליקוי. </w:t>
      </w: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color w:val="000000"/>
          <w:rtl/>
        </w:rPr>
        <w:tab/>
      </w:r>
      <w:r w:rsidRPr="00372B9E">
        <w:rPr>
          <w:rFonts w:ascii="David" w:eastAsiaTheme="minorHAnsi" w:cs="David" w:hint="cs"/>
          <w:color w:val="000000"/>
          <w:rtl/>
        </w:rPr>
        <w:t xml:space="preserve">ראה הערות רה"מ 60ב' עמ' 170. </w:t>
      </w:r>
    </w:p>
    <w:p w:rsidR="00372B9E" w:rsidRPr="00372B9E" w:rsidRDefault="00372B9E" w:rsidP="00372B9E">
      <w:pPr>
        <w:autoSpaceDE w:val="0"/>
        <w:autoSpaceDN w:val="0"/>
        <w:adjustRightInd w:val="0"/>
        <w:spacing w:line="288" w:lineRule="auto"/>
        <w:ind w:left="565" w:hanging="565"/>
        <w:jc w:val="both"/>
        <w:textAlignment w:val="center"/>
        <w:rPr>
          <w:rFonts w:ascii="David" w:eastAsiaTheme="minorHAnsi" w:cs="David"/>
          <w:color w:val="000000"/>
          <w:rtl/>
        </w:rPr>
      </w:pPr>
    </w:p>
    <w:p w:rsidR="00372B9E" w:rsidRDefault="00372B9E" w:rsidP="00372B9E">
      <w:pPr>
        <w:autoSpaceDE w:val="0"/>
        <w:autoSpaceDN w:val="0"/>
        <w:adjustRightInd w:val="0"/>
        <w:spacing w:line="288" w:lineRule="auto"/>
        <w:ind w:left="565" w:hanging="565"/>
        <w:jc w:val="both"/>
        <w:textAlignment w:val="center"/>
        <w:rPr>
          <w:rFonts w:ascii="David" w:eastAsiaTheme="minorHAnsi" w:cs="David" w:hint="cs"/>
          <w:b/>
          <w:bCs/>
          <w:color w:val="000000"/>
          <w:rtl/>
        </w:rPr>
      </w:pPr>
    </w:p>
    <w:p w:rsidR="00372B9E" w:rsidRPr="00372B9E" w:rsidRDefault="00372B9E" w:rsidP="00372B9E">
      <w:pPr>
        <w:autoSpaceDE w:val="0"/>
        <w:autoSpaceDN w:val="0"/>
        <w:adjustRightInd w:val="0"/>
        <w:spacing w:line="288" w:lineRule="auto"/>
        <w:ind w:left="565" w:hanging="565"/>
        <w:jc w:val="both"/>
        <w:textAlignment w:val="center"/>
        <w:rPr>
          <w:rFonts w:ascii="David" w:eastAsiaTheme="minorHAnsi" w:cs="David"/>
          <w:b/>
          <w:bCs/>
          <w:color w:val="000000"/>
          <w:rtl/>
        </w:rPr>
      </w:pPr>
      <w:r w:rsidRPr="00372B9E">
        <w:rPr>
          <w:rFonts w:ascii="David" w:eastAsiaTheme="minorHAnsi" w:cs="David" w:hint="cs"/>
          <w:b/>
          <w:bCs/>
          <w:color w:val="000000"/>
          <w:rtl/>
        </w:rPr>
        <w:lastRenderedPageBreak/>
        <w:t>ליקוי</w:t>
      </w:r>
    </w:p>
    <w:p w:rsidR="00372B9E" w:rsidRPr="00372B9E" w:rsidRDefault="00372B9E" w:rsidP="00372B9E">
      <w:pPr>
        <w:autoSpaceDE w:val="0"/>
        <w:autoSpaceDN w:val="0"/>
        <w:adjustRightInd w:val="0"/>
        <w:spacing w:line="288" w:lineRule="auto"/>
        <w:ind w:left="565" w:hanging="565"/>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565" w:hanging="565"/>
        <w:jc w:val="both"/>
        <w:textAlignment w:val="center"/>
        <w:rPr>
          <w:rFonts w:ascii="David" w:eastAsiaTheme="minorHAnsi" w:cs="David"/>
          <w:color w:val="000000"/>
          <w:rtl/>
        </w:rPr>
      </w:pPr>
      <w:r w:rsidRPr="00372B9E">
        <w:rPr>
          <w:rFonts w:ascii="David" w:eastAsiaTheme="minorHAnsi" w:cs="David" w:hint="cs"/>
          <w:color w:val="000000"/>
          <w:rtl/>
        </w:rPr>
        <w:t>24.</w:t>
      </w:r>
      <w:r w:rsidRPr="00372B9E">
        <w:rPr>
          <w:rFonts w:ascii="David" w:eastAsiaTheme="minorHAnsi" w:cs="David"/>
          <w:color w:val="000000"/>
          <w:rtl/>
        </w:rPr>
        <w:tab/>
      </w:r>
      <w:r w:rsidRPr="00372B9E">
        <w:rPr>
          <w:rFonts w:ascii="David" w:eastAsiaTheme="minorHAnsi" w:cs="David" w:hint="cs"/>
          <w:color w:val="000000"/>
          <w:rtl/>
        </w:rPr>
        <w:t xml:space="preserve">לנוכח הממצאים החמורים העולים מדו"ח זה, הנוגעים לפעילותה של לשכת הפרסום הממשלתית כיחידה מינהלית במשרד ראש הממשלה, על הגורמים האחראים לבחון את תפקודיהן של יחידות מינהליות אחרות במשרד ראש הממשלה ואת הנעשה בהן, ולגבש הסדרים יעילים לפיקוח ולבקרה עליהן, כדי לוודא שהן משיגות את המטרות שהוצבו להן על פי חוק בחיסכון, ביעילות ובאפקטיביות. </w:t>
      </w:r>
    </w:p>
    <w:p w:rsidR="00372B9E" w:rsidRPr="00372B9E" w:rsidRDefault="00372B9E" w:rsidP="00372B9E">
      <w:pPr>
        <w:autoSpaceDE w:val="0"/>
        <w:autoSpaceDN w:val="0"/>
        <w:adjustRightInd w:val="0"/>
        <w:spacing w:line="288" w:lineRule="auto"/>
        <w:ind w:left="12"/>
        <w:jc w:val="both"/>
        <w:textAlignment w:val="center"/>
        <w:rPr>
          <w:rFonts w:ascii="David" w:eastAsiaTheme="minorHAnsi" w:cs="David"/>
          <w:color w:val="000000"/>
          <w:rtl/>
        </w:rPr>
      </w:pP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r w:rsidRPr="00372B9E">
        <w:rPr>
          <w:rFonts w:ascii="David" w:eastAsiaTheme="minorHAnsi" w:cs="David" w:hint="cs"/>
          <w:b/>
          <w:bCs/>
          <w:color w:val="000000"/>
          <w:rtl/>
        </w:rPr>
        <w:t>מעקב</w:t>
      </w:r>
    </w:p>
    <w:p w:rsidR="00372B9E" w:rsidRPr="00372B9E" w:rsidRDefault="00372B9E" w:rsidP="00372B9E">
      <w:pPr>
        <w:autoSpaceDE w:val="0"/>
        <w:autoSpaceDN w:val="0"/>
        <w:adjustRightInd w:val="0"/>
        <w:spacing w:line="288" w:lineRule="auto"/>
        <w:jc w:val="both"/>
        <w:textAlignment w:val="center"/>
        <w:rPr>
          <w:rFonts w:ascii="David" w:eastAsiaTheme="minorHAnsi" w:cs="David"/>
          <w:b/>
          <w:bCs/>
          <w:color w:val="000000"/>
          <w:rtl/>
        </w:rPr>
      </w:pPr>
    </w:p>
    <w:p w:rsidR="00372B9E" w:rsidRPr="00372B9E" w:rsidRDefault="00372B9E" w:rsidP="00372B9E">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372B9E">
        <w:rPr>
          <w:rFonts w:ascii="David" w:eastAsiaTheme="minorHAnsi" w:cs="David" w:hint="cs"/>
          <w:color w:val="000000"/>
          <w:rtl/>
        </w:rPr>
        <w:t>24.</w:t>
      </w:r>
      <w:r w:rsidRPr="00372B9E">
        <w:rPr>
          <w:rFonts w:ascii="David" w:eastAsiaTheme="minorHAnsi" w:cs="David"/>
          <w:color w:val="000000"/>
          <w:rtl/>
        </w:rPr>
        <w:tab/>
      </w:r>
      <w:r w:rsidRPr="00372B9E">
        <w:rPr>
          <w:rFonts w:ascii="David" w:eastAsiaTheme="minorHAnsi" w:cs="David" w:hint="cs"/>
          <w:color w:val="000000"/>
          <w:rtl/>
        </w:rPr>
        <w:t>המשרד מפקח כבר בצורה שוטפת ומנהל מעקב.</w:t>
      </w:r>
    </w:p>
    <w:p w:rsidR="00D67358" w:rsidRPr="00372B9E" w:rsidRDefault="00372B9E" w:rsidP="00372B9E">
      <w:r w:rsidRPr="00372B9E">
        <w:rPr>
          <w:rFonts w:ascii="David" w:eastAsiaTheme="minorHAnsi" w:cs="David"/>
          <w:color w:val="000000"/>
          <w:rtl/>
        </w:rPr>
        <w:tab/>
      </w:r>
      <w:r w:rsidRPr="00372B9E">
        <w:rPr>
          <w:rFonts w:ascii="David" w:eastAsiaTheme="minorHAnsi" w:cs="David" w:hint="cs"/>
          <w:color w:val="000000"/>
          <w:rtl/>
        </w:rPr>
        <w:t>ראה הערות רה"מ 60ב' עמ' 170.</w:t>
      </w:r>
    </w:p>
    <w:sectPr w:rsidR="00D67358" w:rsidRPr="00372B9E" w:rsidSect="00D7548F">
      <w:headerReference w:type="default" r:id="rId8"/>
      <w:pgSz w:w="11906" w:h="16838"/>
      <w:pgMar w:top="1440" w:right="1800" w:bottom="1440" w:left="1800" w:header="708" w:footer="472"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633" w:rsidRDefault="00916633" w:rsidP="00962A5B">
      <w:r>
        <w:separator/>
      </w:r>
    </w:p>
  </w:endnote>
  <w:endnote w:type="continuationSeparator" w:id="1">
    <w:p w:rsidR="00916633" w:rsidRDefault="00916633" w:rsidP="00962A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633" w:rsidRDefault="00916633" w:rsidP="00962A5B">
      <w:r>
        <w:separator/>
      </w:r>
    </w:p>
  </w:footnote>
  <w:footnote w:type="continuationSeparator" w:id="1">
    <w:p w:rsidR="00916633" w:rsidRDefault="00916633" w:rsidP="00962A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633" w:rsidRPr="0015787A" w:rsidRDefault="00EF0CD7" w:rsidP="00D7548F">
    <w:pPr>
      <w:pStyle w:val="a3"/>
      <w:jc w:val="right"/>
      <w:rPr>
        <w:rFonts w:cs="David"/>
        <w:sz w:val="18"/>
        <w:szCs w:val="18"/>
        <w:rtl/>
      </w:rPr>
    </w:pPr>
    <w:r w:rsidRPr="00E14CCD">
      <w:rPr>
        <w:rFonts w:cs="David"/>
        <w:sz w:val="20"/>
        <w:szCs w:val="20"/>
        <w:rtl/>
      </w:rPr>
      <w:fldChar w:fldCharType="begin"/>
    </w:r>
    <w:r w:rsidR="00916633" w:rsidRPr="00E14CCD">
      <w:rPr>
        <w:rFonts w:cs="David"/>
        <w:sz w:val="20"/>
        <w:szCs w:val="20"/>
        <w:rtl/>
      </w:rPr>
      <w:instrText xml:space="preserve"> </w:instrText>
    </w:r>
    <w:r w:rsidR="00916633" w:rsidRPr="00E14CCD">
      <w:rPr>
        <w:rFonts w:cs="David" w:hint="cs"/>
        <w:sz w:val="20"/>
        <w:szCs w:val="20"/>
      </w:rPr>
      <w:instrText>TIME  \@ "HH:mm"  \* MERGEFORMAT</w:instrText>
    </w:r>
    <w:r w:rsidR="00916633" w:rsidRPr="00E14CCD">
      <w:rPr>
        <w:rFonts w:cs="David"/>
        <w:sz w:val="20"/>
        <w:szCs w:val="20"/>
        <w:rtl/>
      </w:rPr>
      <w:instrText xml:space="preserve"> </w:instrText>
    </w:r>
    <w:r w:rsidRPr="00E14CCD">
      <w:rPr>
        <w:rFonts w:cs="David"/>
        <w:sz w:val="20"/>
        <w:szCs w:val="20"/>
        <w:rtl/>
      </w:rPr>
      <w:fldChar w:fldCharType="separate"/>
    </w:r>
    <w:r w:rsidR="00372B9E">
      <w:rPr>
        <w:rFonts w:cs="David" w:hint="cs"/>
        <w:noProof/>
        <w:sz w:val="20"/>
        <w:szCs w:val="20"/>
        <w:rtl/>
      </w:rPr>
      <w:t>‏</w:t>
    </w:r>
    <w:r w:rsidR="00372B9E">
      <w:rPr>
        <w:rFonts w:cs="David"/>
        <w:noProof/>
        <w:sz w:val="20"/>
        <w:szCs w:val="20"/>
        <w:rtl/>
      </w:rPr>
      <w:t>11:44</w:t>
    </w:r>
    <w:r w:rsidRPr="00E14CCD">
      <w:rPr>
        <w:rFonts w:cs="David"/>
        <w:sz w:val="20"/>
        <w:szCs w:val="20"/>
        <w:rtl/>
      </w:rPr>
      <w:fldChar w:fldCharType="end"/>
    </w:r>
    <w:r w:rsidR="00916633" w:rsidRPr="00E14CCD">
      <w:rPr>
        <w:rFonts w:cs="David" w:hint="cs"/>
        <w:sz w:val="20"/>
        <w:szCs w:val="20"/>
        <w:rtl/>
      </w:rPr>
      <w:t xml:space="preserve">  </w:t>
    </w:r>
    <w:r w:rsidRPr="00E14CCD">
      <w:rPr>
        <w:rFonts w:cs="David"/>
        <w:sz w:val="20"/>
        <w:szCs w:val="20"/>
        <w:rtl/>
      </w:rPr>
      <w:fldChar w:fldCharType="begin"/>
    </w:r>
    <w:r w:rsidR="00916633" w:rsidRPr="00E14CCD">
      <w:rPr>
        <w:rFonts w:cs="David"/>
        <w:sz w:val="20"/>
        <w:szCs w:val="20"/>
        <w:rtl/>
      </w:rPr>
      <w:instrText xml:space="preserve"> </w:instrText>
    </w:r>
    <w:r w:rsidR="00916633" w:rsidRPr="00E14CCD">
      <w:rPr>
        <w:rFonts w:cs="David" w:hint="cs"/>
        <w:sz w:val="20"/>
        <w:szCs w:val="20"/>
      </w:rPr>
      <w:instrText>DATE  \@ "yyyy-MM-dd"  \* MERGEFORMAT</w:instrText>
    </w:r>
    <w:r w:rsidR="00916633" w:rsidRPr="00E14CCD">
      <w:rPr>
        <w:rFonts w:cs="David"/>
        <w:sz w:val="20"/>
        <w:szCs w:val="20"/>
        <w:rtl/>
      </w:rPr>
      <w:instrText xml:space="preserve"> </w:instrText>
    </w:r>
    <w:r w:rsidRPr="00E14CCD">
      <w:rPr>
        <w:rFonts w:cs="David"/>
        <w:sz w:val="20"/>
        <w:szCs w:val="20"/>
        <w:rtl/>
      </w:rPr>
      <w:fldChar w:fldCharType="separate"/>
    </w:r>
    <w:r w:rsidR="00372B9E">
      <w:rPr>
        <w:rFonts w:cs="David" w:hint="cs"/>
        <w:noProof/>
        <w:sz w:val="20"/>
        <w:szCs w:val="20"/>
        <w:rtl/>
      </w:rPr>
      <w:t>‏</w:t>
    </w:r>
    <w:r w:rsidR="00372B9E">
      <w:rPr>
        <w:rFonts w:cs="David"/>
        <w:noProof/>
        <w:sz w:val="20"/>
        <w:szCs w:val="20"/>
        <w:rtl/>
      </w:rPr>
      <w:t>2010–12–12</w:t>
    </w:r>
    <w:r w:rsidRPr="00E14CCD">
      <w:rPr>
        <w:rFonts w:cs="David"/>
        <w:sz w:val="20"/>
        <w:szCs w:val="20"/>
        <w:rtl/>
      </w:rPr>
      <w:fldChar w:fldCharType="end"/>
    </w:r>
    <w:r w:rsidR="00916633" w:rsidRPr="0015787A">
      <w:rPr>
        <w:rFonts w:hint="cs"/>
        <w:sz w:val="18"/>
        <w:szCs w:val="18"/>
        <w:rtl/>
      </w:rPr>
      <w:t xml:space="preserve">   </w:t>
    </w:r>
    <w:fldSimple w:instr=" FILENAME  \* FirstCap \p  \* MERGEFORMAT ">
      <w:r w:rsidR="00265C16" w:rsidRPr="00265C16">
        <w:rPr>
          <w:noProof/>
          <w:sz w:val="18"/>
          <w:szCs w:val="18"/>
        </w:rPr>
        <w:t>L</w:t>
      </w:r>
      <w:r w:rsidR="00265C16">
        <w:rPr>
          <w:noProof/>
        </w:rPr>
        <w:t>:\</w:t>
      </w:r>
      <w:r w:rsidR="00265C16">
        <w:rPr>
          <w:rFonts w:hint="cs"/>
          <w:noProof/>
          <w:rtl/>
        </w:rPr>
        <w:t>הספר</w:t>
      </w:r>
      <w:r w:rsidR="00265C16">
        <w:rPr>
          <w:noProof/>
          <w:rtl/>
        </w:rPr>
        <w:t xml:space="preserve"> - </w:t>
      </w:r>
      <w:r w:rsidR="00265C16">
        <w:rPr>
          <w:rFonts w:hint="cs"/>
          <w:noProof/>
          <w:rtl/>
        </w:rPr>
        <w:t>מעקבים</w:t>
      </w:r>
      <w:r w:rsidR="00265C16">
        <w:rPr>
          <w:noProof/>
          <w:rtl/>
        </w:rPr>
        <w:t xml:space="preserve"> 60</w:t>
      </w:r>
      <w:r w:rsidR="00265C16">
        <w:rPr>
          <w:rFonts w:hint="cs"/>
          <w:noProof/>
          <w:rtl/>
        </w:rPr>
        <w:t>ב</w:t>
      </w:r>
      <w:r w:rsidR="00265C16">
        <w:rPr>
          <w:noProof/>
          <w:rtl/>
        </w:rPr>
        <w:t>\</w:t>
      </w:r>
      <w:r w:rsidR="00265C16">
        <w:rPr>
          <w:rFonts w:hint="cs"/>
          <w:noProof/>
          <w:rtl/>
        </w:rPr>
        <w:t>סילבי</w:t>
      </w:r>
      <w:r w:rsidR="00265C16">
        <w:rPr>
          <w:noProof/>
          <w:rtl/>
        </w:rPr>
        <w:t>\</w:t>
      </w:r>
      <w:r w:rsidR="00265C16">
        <w:rPr>
          <w:rFonts w:hint="cs"/>
          <w:noProof/>
          <w:rtl/>
        </w:rPr>
        <w:t>לשכת</w:t>
      </w:r>
      <w:r w:rsidR="00265C16">
        <w:rPr>
          <w:noProof/>
          <w:rtl/>
        </w:rPr>
        <w:t xml:space="preserve"> </w:t>
      </w:r>
      <w:r w:rsidR="00265C16">
        <w:rPr>
          <w:rFonts w:hint="cs"/>
          <w:noProof/>
          <w:rtl/>
        </w:rPr>
        <w:t>הפרסום</w:t>
      </w:r>
      <w:r w:rsidR="00265C16">
        <w:rPr>
          <w:noProof/>
          <w:rtl/>
        </w:rPr>
        <w:t xml:space="preserve"> </w:t>
      </w:r>
      <w:r w:rsidR="00265C16">
        <w:rPr>
          <w:rFonts w:hint="cs"/>
          <w:noProof/>
          <w:rtl/>
        </w:rPr>
        <w:t>הממשלתית</w:t>
      </w:r>
      <w:r w:rsidR="00265C16">
        <w:rPr>
          <w:noProof/>
          <w:rtl/>
        </w:rPr>
        <w:t xml:space="preserve"> - </w:t>
      </w:r>
      <w:r w:rsidR="00265C16">
        <w:rPr>
          <w:rFonts w:hint="cs"/>
          <w:noProof/>
          <w:rtl/>
        </w:rPr>
        <w:t>היבטים</w:t>
      </w:r>
      <w:r w:rsidR="00265C16">
        <w:rPr>
          <w:noProof/>
          <w:rtl/>
        </w:rPr>
        <w:t xml:space="preserve"> </w:t>
      </w:r>
      <w:r w:rsidR="00265C16">
        <w:rPr>
          <w:rFonts w:hint="cs"/>
          <w:noProof/>
          <w:rtl/>
        </w:rPr>
        <w:t>בפעילותה</w:t>
      </w:r>
      <w:r w:rsidR="00265C16">
        <w:rPr>
          <w:noProof/>
        </w:rPr>
        <w:t>.docx</w:t>
      </w:r>
    </w:fldSimple>
    <w:r w:rsidR="00916633" w:rsidRPr="0015787A">
      <w:rPr>
        <w:rFonts w:hint="cs"/>
        <w:sz w:val="18"/>
        <w:szCs w:val="18"/>
        <w:rtl/>
      </w:rPr>
      <w:t xml:space="preserve">    </w:t>
    </w:r>
    <w:r w:rsidR="00916633" w:rsidRPr="00E14CCD">
      <w:rPr>
        <w:rFonts w:cs="David" w:hint="cs"/>
        <w:sz w:val="20"/>
        <w:szCs w:val="20"/>
        <w:rtl/>
      </w:rPr>
      <w:t>-</w:t>
    </w:r>
    <w:r w:rsidRPr="00E14CCD">
      <w:rPr>
        <w:rFonts w:cs="David"/>
        <w:sz w:val="20"/>
        <w:szCs w:val="20"/>
        <w:rtl/>
      </w:rPr>
      <w:fldChar w:fldCharType="begin"/>
    </w:r>
    <w:r w:rsidR="00916633" w:rsidRPr="00E14CCD">
      <w:rPr>
        <w:rFonts w:cs="David"/>
        <w:sz w:val="20"/>
        <w:szCs w:val="20"/>
        <w:rtl/>
      </w:rPr>
      <w:instrText xml:space="preserve"> </w:instrText>
    </w:r>
    <w:r w:rsidR="00916633" w:rsidRPr="00E14CCD">
      <w:rPr>
        <w:rFonts w:cs="David"/>
        <w:sz w:val="20"/>
        <w:szCs w:val="20"/>
      </w:rPr>
      <w:instrText>PAGE   \* MERGEFORMAT</w:instrText>
    </w:r>
    <w:r w:rsidR="00916633" w:rsidRPr="00E14CCD">
      <w:rPr>
        <w:rFonts w:cs="David"/>
        <w:sz w:val="20"/>
        <w:szCs w:val="20"/>
        <w:rtl/>
      </w:rPr>
      <w:instrText xml:space="preserve"> </w:instrText>
    </w:r>
    <w:r w:rsidRPr="00E14CCD">
      <w:rPr>
        <w:rFonts w:cs="David"/>
        <w:sz w:val="20"/>
        <w:szCs w:val="20"/>
        <w:rtl/>
      </w:rPr>
      <w:fldChar w:fldCharType="separate"/>
    </w:r>
    <w:r w:rsidR="00372B9E">
      <w:rPr>
        <w:rFonts w:cs="David"/>
        <w:noProof/>
        <w:sz w:val="20"/>
        <w:szCs w:val="20"/>
        <w:rtl/>
      </w:rPr>
      <w:t>5</w:t>
    </w:r>
    <w:r w:rsidRPr="00E14CCD">
      <w:rPr>
        <w:rFonts w:cs="David"/>
        <w:sz w:val="20"/>
        <w:szCs w:val="20"/>
        <w:rtl/>
      </w:rPr>
      <w:fldChar w:fldCharType="end"/>
    </w:r>
    <w:r w:rsidR="00916633" w:rsidRPr="00E14CCD">
      <w:rPr>
        <w:rFonts w:cs="David" w:hint="cs"/>
        <w:sz w:val="20"/>
        <w:szCs w:val="20"/>
        <w:rtl/>
      </w:rPr>
      <w:t>-</w:t>
    </w:r>
  </w:p>
  <w:p w:rsidR="00916633" w:rsidRDefault="00916633" w:rsidP="00D7548F">
    <w:pPr>
      <w:pStyle w:val="a3"/>
      <w:rPr>
        <w:rFonts w:cs="David"/>
        <w:sz w:val="20"/>
        <w:szCs w:val="20"/>
        <w:u w:val="single"/>
        <w:rtl/>
      </w:rPr>
    </w:pPr>
  </w:p>
  <w:p w:rsidR="00916633" w:rsidRPr="00E14CCD" w:rsidRDefault="00916633" w:rsidP="007F040D">
    <w:pPr>
      <w:tabs>
        <w:tab w:val="left" w:pos="1316"/>
        <w:tab w:val="center" w:pos="4153"/>
      </w:tabs>
      <w:rPr>
        <w:rFonts w:cs="David"/>
        <w:sz w:val="20"/>
        <w:szCs w:val="20"/>
        <w:u w:val="single"/>
        <w:rtl/>
      </w:rPr>
    </w:pPr>
    <w:r w:rsidRPr="004A7E3B">
      <w:rPr>
        <w:rFonts w:cs="David" w:hint="cs"/>
        <w:sz w:val="18"/>
        <w:szCs w:val="18"/>
        <w:u w:val="single"/>
        <w:rtl/>
      </w:rPr>
      <w:t xml:space="preserve">מעקב אחר תיקון ליקויים, אגף המפקח הכללי לענייני ביקורת המדינה       </w:t>
    </w:r>
    <w:r w:rsidRPr="004A7E3B">
      <w:rPr>
        <w:rFonts w:hint="cs"/>
        <w:sz w:val="18"/>
        <w:szCs w:val="18"/>
        <w:u w:val="single"/>
        <w:rtl/>
      </w:rPr>
      <w:t xml:space="preserve">  </w:t>
    </w:r>
    <w:r w:rsidRPr="004A7E3B">
      <w:rPr>
        <w:rFonts w:cs="David" w:hint="cs"/>
        <w:sz w:val="18"/>
        <w:szCs w:val="18"/>
        <w:u w:val="single"/>
        <w:rtl/>
      </w:rPr>
      <w:t xml:space="preserve">  </w:t>
    </w:r>
    <w:r w:rsidRPr="004A7E3B">
      <w:rPr>
        <w:rFonts w:cs="David" w:hint="cs"/>
        <w:sz w:val="20"/>
        <w:szCs w:val="20"/>
        <w:u w:val="single"/>
        <w:rtl/>
      </w:rPr>
      <w:t xml:space="preserve">                                 </w:t>
    </w:r>
    <w:sdt>
      <w:sdtPr>
        <w:rPr>
          <w:rFonts w:cs="David" w:hint="cs"/>
          <w:sz w:val="20"/>
          <w:szCs w:val="20"/>
          <w:u w:val="single"/>
          <w:rtl/>
        </w:rPr>
        <w:id w:val="605224610"/>
        <w:placeholder>
          <w:docPart w:val="1EE8FC30B55F49D587D952E42D13BDF8"/>
        </w:placeholder>
      </w:sdtPr>
      <w:sdtEndPr>
        <w:rPr>
          <w:rFonts w:hint="default"/>
        </w:rPr>
      </w:sdtEndPr>
      <w:sdtContent>
        <w:r>
          <w:rPr>
            <w:rFonts w:cs="David" w:hint="cs"/>
            <w:sz w:val="20"/>
            <w:szCs w:val="20"/>
            <w:u w:val="single"/>
            <w:rtl/>
          </w:rPr>
          <w:t>משרד ההסברה והתפוצות</w:t>
        </w:r>
      </w:sdtContent>
    </w:sdt>
  </w:p>
  <w:p w:rsidR="00916633" w:rsidRPr="0070082B" w:rsidRDefault="00916633" w:rsidP="00D7548F">
    <w:pPr>
      <w:pStyle w:val="a3"/>
      <w:jc w:val="both"/>
      <w:rPr>
        <w:rFonts w:cs="David"/>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D651A"/>
    <w:multiLevelType w:val="hybridMultilevel"/>
    <w:tmpl w:val="E5E8A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548F"/>
    <w:rsid w:val="00022CDA"/>
    <w:rsid w:val="000702B1"/>
    <w:rsid w:val="00070335"/>
    <w:rsid w:val="000C5D8E"/>
    <w:rsid w:val="001051CA"/>
    <w:rsid w:val="00134CFB"/>
    <w:rsid w:val="00152AFD"/>
    <w:rsid w:val="00166907"/>
    <w:rsid w:val="0017104E"/>
    <w:rsid w:val="00183A7C"/>
    <w:rsid w:val="00186166"/>
    <w:rsid w:val="001A4E5B"/>
    <w:rsid w:val="001B3CB5"/>
    <w:rsid w:val="001D3BAE"/>
    <w:rsid w:val="001F2CEE"/>
    <w:rsid w:val="00265C16"/>
    <w:rsid w:val="00274D6B"/>
    <w:rsid w:val="002D7769"/>
    <w:rsid w:val="002E65E4"/>
    <w:rsid w:val="00301D91"/>
    <w:rsid w:val="003612F5"/>
    <w:rsid w:val="00372B9E"/>
    <w:rsid w:val="003B58B6"/>
    <w:rsid w:val="003F7B03"/>
    <w:rsid w:val="0041796F"/>
    <w:rsid w:val="005A6727"/>
    <w:rsid w:val="005E01F4"/>
    <w:rsid w:val="005E44AF"/>
    <w:rsid w:val="005F5E1C"/>
    <w:rsid w:val="0064159E"/>
    <w:rsid w:val="00686F67"/>
    <w:rsid w:val="006D0E88"/>
    <w:rsid w:val="006D543C"/>
    <w:rsid w:val="0073004F"/>
    <w:rsid w:val="00750027"/>
    <w:rsid w:val="00782D88"/>
    <w:rsid w:val="007F040D"/>
    <w:rsid w:val="007F4FD9"/>
    <w:rsid w:val="007F6DED"/>
    <w:rsid w:val="008420A3"/>
    <w:rsid w:val="008C09F1"/>
    <w:rsid w:val="008F21FC"/>
    <w:rsid w:val="00916633"/>
    <w:rsid w:val="00962A5B"/>
    <w:rsid w:val="009B5C43"/>
    <w:rsid w:val="009C21B2"/>
    <w:rsid w:val="009D0BD2"/>
    <w:rsid w:val="009E35B8"/>
    <w:rsid w:val="00A044D8"/>
    <w:rsid w:val="00A206FC"/>
    <w:rsid w:val="00A268E7"/>
    <w:rsid w:val="00A861C9"/>
    <w:rsid w:val="00A96DFE"/>
    <w:rsid w:val="00AA00E8"/>
    <w:rsid w:val="00AC3799"/>
    <w:rsid w:val="00AF472D"/>
    <w:rsid w:val="00B3493D"/>
    <w:rsid w:val="00B5329A"/>
    <w:rsid w:val="00B61D70"/>
    <w:rsid w:val="00B90CCF"/>
    <w:rsid w:val="00BA31D2"/>
    <w:rsid w:val="00BE0822"/>
    <w:rsid w:val="00BE0ADE"/>
    <w:rsid w:val="00C1334F"/>
    <w:rsid w:val="00C26170"/>
    <w:rsid w:val="00C278B7"/>
    <w:rsid w:val="00C479FB"/>
    <w:rsid w:val="00C7281A"/>
    <w:rsid w:val="00C93778"/>
    <w:rsid w:val="00D47745"/>
    <w:rsid w:val="00D67358"/>
    <w:rsid w:val="00D7548F"/>
    <w:rsid w:val="00DB6D5D"/>
    <w:rsid w:val="00E13241"/>
    <w:rsid w:val="00E852C5"/>
    <w:rsid w:val="00E87771"/>
    <w:rsid w:val="00EA5BB7"/>
    <w:rsid w:val="00ED270E"/>
    <w:rsid w:val="00EE3BD2"/>
    <w:rsid w:val="00EF0CD7"/>
    <w:rsid w:val="00FC268E"/>
    <w:rsid w:val="00FC7063"/>
    <w:rsid w:val="00FD47F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48F"/>
    <w:pPr>
      <w:bidi/>
    </w:pPr>
    <w:rPr>
      <w:rFonts w:ascii="Times New Roman" w:eastAsia="Times New Roman" w:hAnsi="Times New Roman" w:cs="Times New Roman"/>
      <w:sz w:val="24"/>
      <w:szCs w:val="24"/>
    </w:rPr>
  </w:style>
  <w:style w:type="paragraph" w:styleId="1">
    <w:name w:val="heading 1"/>
    <w:basedOn w:val="a"/>
    <w:next w:val="a"/>
    <w:link w:val="10"/>
    <w:qFormat/>
    <w:rsid w:val="00D7548F"/>
    <w:pPr>
      <w:keepNext/>
      <w:widowControl w:val="0"/>
      <w:jc w:val="center"/>
      <w:outlineLvl w:val="0"/>
    </w:pPr>
    <w:rPr>
      <w:rFonts w:cs="David"/>
      <w:b/>
      <w:bCs/>
      <w:i/>
      <w:iCs/>
      <w:kern w:val="32"/>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D7548F"/>
    <w:rPr>
      <w:rFonts w:ascii="Times New Roman" w:eastAsia="Times New Roman" w:hAnsi="Times New Roman" w:cs="David"/>
      <w:b/>
      <w:bCs/>
      <w:i/>
      <w:iCs/>
      <w:kern w:val="32"/>
      <w:sz w:val="36"/>
      <w:szCs w:val="36"/>
    </w:rPr>
  </w:style>
  <w:style w:type="paragraph" w:styleId="a3">
    <w:name w:val="header"/>
    <w:basedOn w:val="a"/>
    <w:link w:val="a4"/>
    <w:unhideWhenUsed/>
    <w:rsid w:val="00D7548F"/>
    <w:pPr>
      <w:tabs>
        <w:tab w:val="center" w:pos="4153"/>
        <w:tab w:val="right" w:pos="8306"/>
      </w:tabs>
    </w:pPr>
    <w:rPr>
      <w:rFonts w:asciiTheme="minorHAnsi" w:eastAsiaTheme="minorHAnsi" w:hAnsiTheme="minorHAnsi" w:cstheme="minorBidi"/>
      <w:sz w:val="22"/>
      <w:szCs w:val="22"/>
    </w:rPr>
  </w:style>
  <w:style w:type="character" w:customStyle="1" w:styleId="a4">
    <w:name w:val="כותרת עליונה תו"/>
    <w:basedOn w:val="a0"/>
    <w:link w:val="a3"/>
    <w:rsid w:val="00D7548F"/>
  </w:style>
  <w:style w:type="paragraph" w:styleId="a5">
    <w:name w:val="footer"/>
    <w:basedOn w:val="a"/>
    <w:link w:val="a6"/>
    <w:uiPriority w:val="99"/>
    <w:unhideWhenUsed/>
    <w:rsid w:val="00D7548F"/>
    <w:pPr>
      <w:tabs>
        <w:tab w:val="center" w:pos="4153"/>
        <w:tab w:val="right" w:pos="8306"/>
      </w:tabs>
    </w:pPr>
    <w:rPr>
      <w:rFonts w:asciiTheme="minorHAnsi" w:eastAsiaTheme="minorHAnsi" w:hAnsiTheme="minorHAnsi" w:cstheme="minorBidi"/>
      <w:sz w:val="22"/>
      <w:szCs w:val="22"/>
    </w:rPr>
  </w:style>
  <w:style w:type="character" w:customStyle="1" w:styleId="a6">
    <w:name w:val="כותרת תחתונה תו"/>
    <w:basedOn w:val="a0"/>
    <w:link w:val="a5"/>
    <w:uiPriority w:val="99"/>
    <w:rsid w:val="00D7548F"/>
  </w:style>
  <w:style w:type="character" w:customStyle="1" w:styleId="2">
    <w:name w:val="תו תו2"/>
    <w:basedOn w:val="a0"/>
    <w:uiPriority w:val="99"/>
    <w:rsid w:val="00D7548F"/>
    <w:rPr>
      <w:b/>
      <w:bCs/>
      <w:i/>
      <w:iCs/>
      <w:sz w:val="26"/>
      <w:szCs w:val="26"/>
      <w:lang w:val="en-US" w:eastAsia="en-US" w:bidi="he-IL"/>
    </w:rPr>
  </w:style>
  <w:style w:type="paragraph" w:styleId="a7">
    <w:name w:val="Balloon Text"/>
    <w:basedOn w:val="a"/>
    <w:link w:val="a8"/>
    <w:uiPriority w:val="99"/>
    <w:semiHidden/>
    <w:unhideWhenUsed/>
    <w:rsid w:val="00D7548F"/>
    <w:rPr>
      <w:rFonts w:ascii="Tahoma" w:hAnsi="Tahoma" w:cs="Tahoma"/>
      <w:sz w:val="16"/>
      <w:szCs w:val="16"/>
    </w:rPr>
  </w:style>
  <w:style w:type="character" w:customStyle="1" w:styleId="a8">
    <w:name w:val="טקסט בלונים תו"/>
    <w:basedOn w:val="a0"/>
    <w:link w:val="a7"/>
    <w:uiPriority w:val="99"/>
    <w:semiHidden/>
    <w:rsid w:val="00D7548F"/>
    <w:rPr>
      <w:rFonts w:ascii="Tahoma" w:eastAsia="Times New Roman" w:hAnsi="Tahoma" w:cs="Tahoma"/>
      <w:sz w:val="16"/>
      <w:szCs w:val="16"/>
    </w:rPr>
  </w:style>
  <w:style w:type="character" w:styleId="a9">
    <w:name w:val="Placeholder Text"/>
    <w:basedOn w:val="a0"/>
    <w:uiPriority w:val="99"/>
    <w:semiHidden/>
    <w:rsid w:val="00134CFB"/>
    <w:rPr>
      <w:color w:val="808080"/>
    </w:rPr>
  </w:style>
  <w:style w:type="paragraph" w:styleId="aa">
    <w:name w:val="List Paragraph"/>
    <w:basedOn w:val="a"/>
    <w:uiPriority w:val="99"/>
    <w:qFormat/>
    <w:rsid w:val="00134CFB"/>
    <w:pPr>
      <w:ind w:left="720"/>
      <w:contextualSpacing/>
    </w:pPr>
  </w:style>
  <w:style w:type="paragraph" w:styleId="ab">
    <w:name w:val="footnote text"/>
    <w:basedOn w:val="a"/>
    <w:link w:val="ac"/>
    <w:semiHidden/>
    <w:unhideWhenUsed/>
    <w:rsid w:val="00962A5B"/>
    <w:pPr>
      <w:widowControl w:val="0"/>
      <w:spacing w:line="312" w:lineRule="auto"/>
      <w:ind w:left="567" w:hanging="567"/>
      <w:jc w:val="both"/>
    </w:pPr>
    <w:rPr>
      <w:rFonts w:cs="David"/>
      <w:sz w:val="20"/>
      <w:szCs w:val="20"/>
      <w:lang w:eastAsia="he-IL"/>
    </w:rPr>
  </w:style>
  <w:style w:type="character" w:customStyle="1" w:styleId="ac">
    <w:name w:val="טקסט הערת שוליים תו"/>
    <w:basedOn w:val="a0"/>
    <w:link w:val="ab"/>
    <w:semiHidden/>
    <w:rsid w:val="00962A5B"/>
    <w:rPr>
      <w:rFonts w:ascii="Times New Roman" w:eastAsia="Times New Roman" w:hAnsi="Times New Roman" w:cs="David"/>
      <w:sz w:val="20"/>
      <w:szCs w:val="20"/>
      <w:lang w:eastAsia="he-IL"/>
    </w:rPr>
  </w:style>
  <w:style w:type="character" w:styleId="ad">
    <w:name w:val="footnote reference"/>
    <w:basedOn w:val="a0"/>
    <w:semiHidden/>
    <w:unhideWhenUsed/>
    <w:rsid w:val="00962A5B"/>
    <w:rPr>
      <w:vertAlign w:val="superscript"/>
    </w:rPr>
  </w:style>
  <w:style w:type="paragraph" w:customStyle="1" w:styleId="-">
    <w:name w:val="כותרת מאמר-נטוי"/>
    <w:basedOn w:val="a"/>
    <w:uiPriority w:val="99"/>
    <w:rsid w:val="00372B9E"/>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e">
    <w:name w:val="כותרת מאמר"/>
    <w:basedOn w:val="a"/>
    <w:uiPriority w:val="99"/>
    <w:rsid w:val="00372B9E"/>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divs>
    <w:div w:id="214207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E8FC30B55F49D587D952E42D13BDF8"/>
        <w:category>
          <w:name w:val="כללי"/>
          <w:gallery w:val="placeholder"/>
        </w:category>
        <w:types>
          <w:type w:val="bbPlcHdr"/>
        </w:types>
        <w:behaviors>
          <w:behavior w:val="content"/>
        </w:behaviors>
        <w:guid w:val="{06F63C2C-4BA1-42E9-81B8-1439038BE8B2}"/>
      </w:docPartPr>
      <w:docPartBody>
        <w:p w:rsidR="008C6C02" w:rsidRDefault="008C6C02" w:rsidP="008C6C02">
          <w:pPr>
            <w:pStyle w:val="1EE8FC30B55F49D587D952E42D13BDF8"/>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6C02"/>
    <w:rsid w:val="00103380"/>
    <w:rsid w:val="002C3CC9"/>
    <w:rsid w:val="003D33FA"/>
    <w:rsid w:val="004345DB"/>
    <w:rsid w:val="004D36B8"/>
    <w:rsid w:val="007806BE"/>
    <w:rsid w:val="00804682"/>
    <w:rsid w:val="00891394"/>
    <w:rsid w:val="008A42B0"/>
    <w:rsid w:val="008C6C02"/>
    <w:rsid w:val="00900CC8"/>
    <w:rsid w:val="00941DD1"/>
    <w:rsid w:val="00A217B2"/>
    <w:rsid w:val="00A748C7"/>
    <w:rsid w:val="00AA23EB"/>
    <w:rsid w:val="00AC342F"/>
    <w:rsid w:val="00E16C7B"/>
    <w:rsid w:val="00EC1BDD"/>
    <w:rsid w:val="00F021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C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4682"/>
    <w:rPr>
      <w:color w:val="808080"/>
    </w:rPr>
  </w:style>
  <w:style w:type="paragraph" w:customStyle="1" w:styleId="BD18F545378E45B68BCA5E5C956CD1BE">
    <w:name w:val="BD18F545378E45B68BCA5E5C956CD1BE"/>
    <w:rsid w:val="008C6C02"/>
    <w:pPr>
      <w:bidi/>
    </w:pPr>
  </w:style>
  <w:style w:type="paragraph" w:customStyle="1" w:styleId="1973FB4309E042D7949AFB43FA2F4857">
    <w:name w:val="1973FB4309E042D7949AFB43FA2F4857"/>
    <w:rsid w:val="008C6C02"/>
    <w:pPr>
      <w:bidi/>
    </w:pPr>
  </w:style>
  <w:style w:type="paragraph" w:customStyle="1" w:styleId="3A70201D75834D859EA7C5987C51B68A">
    <w:name w:val="3A70201D75834D859EA7C5987C51B68A"/>
    <w:rsid w:val="008C6C02"/>
    <w:pPr>
      <w:bidi/>
    </w:pPr>
  </w:style>
  <w:style w:type="paragraph" w:customStyle="1" w:styleId="57B8A1E4D28D4BC389FFB4A78722F5EA">
    <w:name w:val="57B8A1E4D28D4BC389FFB4A78722F5EA"/>
    <w:rsid w:val="008C6C02"/>
    <w:pPr>
      <w:bidi/>
    </w:pPr>
  </w:style>
  <w:style w:type="paragraph" w:customStyle="1" w:styleId="077F260641634B51AEF25AA5A9BC88F1">
    <w:name w:val="077F260641634B51AEF25AA5A9BC88F1"/>
    <w:rsid w:val="008C6C02"/>
    <w:pPr>
      <w:bidi/>
    </w:pPr>
  </w:style>
  <w:style w:type="paragraph" w:customStyle="1" w:styleId="E7F09BEA4B0E481F851311988F94AFFC">
    <w:name w:val="E7F09BEA4B0E481F851311988F94AFFC"/>
    <w:rsid w:val="008C6C02"/>
    <w:pPr>
      <w:bidi/>
    </w:pPr>
  </w:style>
  <w:style w:type="paragraph" w:customStyle="1" w:styleId="050761F328DF441A8F3F7C99BBDA1CE6">
    <w:name w:val="050761F328DF441A8F3F7C99BBDA1CE6"/>
    <w:rsid w:val="008C6C02"/>
    <w:pPr>
      <w:bidi/>
    </w:pPr>
  </w:style>
  <w:style w:type="paragraph" w:customStyle="1" w:styleId="7E33CB4B3512477DA7A7F32BFCCA5DC0">
    <w:name w:val="7E33CB4B3512477DA7A7F32BFCCA5DC0"/>
    <w:rsid w:val="008C6C02"/>
    <w:pPr>
      <w:bidi/>
    </w:pPr>
  </w:style>
  <w:style w:type="paragraph" w:customStyle="1" w:styleId="33210518E10445409BADDA67DDB3E759">
    <w:name w:val="33210518E10445409BADDA67DDB3E759"/>
    <w:rsid w:val="008C6C02"/>
    <w:pPr>
      <w:bidi/>
    </w:pPr>
  </w:style>
  <w:style w:type="paragraph" w:customStyle="1" w:styleId="D02B8EFAB33C4FF6B8177A5AF35BB455">
    <w:name w:val="D02B8EFAB33C4FF6B8177A5AF35BB455"/>
    <w:rsid w:val="008C6C02"/>
    <w:pPr>
      <w:bidi/>
    </w:pPr>
  </w:style>
  <w:style w:type="paragraph" w:customStyle="1" w:styleId="D7825B1C17C944DDB1814FD9DA99A36C">
    <w:name w:val="D7825B1C17C944DDB1814FD9DA99A36C"/>
    <w:rsid w:val="008C6C02"/>
    <w:pPr>
      <w:bidi/>
    </w:pPr>
  </w:style>
  <w:style w:type="paragraph" w:customStyle="1" w:styleId="B59ED43D2E5B4F5EA42359D7DB6130DF">
    <w:name w:val="B59ED43D2E5B4F5EA42359D7DB6130DF"/>
    <w:rsid w:val="008C6C02"/>
    <w:pPr>
      <w:bidi/>
    </w:pPr>
  </w:style>
  <w:style w:type="paragraph" w:customStyle="1" w:styleId="9875BB3B1AC94D01BA21646DB50B749D">
    <w:name w:val="9875BB3B1AC94D01BA21646DB50B749D"/>
    <w:rsid w:val="008C6C02"/>
    <w:pPr>
      <w:bidi/>
    </w:pPr>
  </w:style>
  <w:style w:type="paragraph" w:customStyle="1" w:styleId="DA906D65D4234BECAA12175863E657DC">
    <w:name w:val="DA906D65D4234BECAA12175863E657DC"/>
    <w:rsid w:val="008C6C02"/>
    <w:pPr>
      <w:bidi/>
    </w:pPr>
  </w:style>
  <w:style w:type="paragraph" w:customStyle="1" w:styleId="1C41AFFF4C3047149058A8B94F5C7C44">
    <w:name w:val="1C41AFFF4C3047149058A8B94F5C7C44"/>
    <w:rsid w:val="008C6C02"/>
    <w:pPr>
      <w:bidi/>
    </w:pPr>
  </w:style>
  <w:style w:type="paragraph" w:customStyle="1" w:styleId="EF72AB4D25B448A5A7611D1BF02119ED">
    <w:name w:val="EF72AB4D25B448A5A7611D1BF02119ED"/>
    <w:rsid w:val="008C6C02"/>
    <w:pPr>
      <w:bidi/>
    </w:pPr>
  </w:style>
  <w:style w:type="paragraph" w:customStyle="1" w:styleId="3F95A712492F466F9733A181633702BA">
    <w:name w:val="3F95A712492F466F9733A181633702BA"/>
    <w:rsid w:val="008C6C02"/>
    <w:pPr>
      <w:bidi/>
    </w:pPr>
  </w:style>
  <w:style w:type="paragraph" w:customStyle="1" w:styleId="E2F458288B7446AEB7B7F9191783B393">
    <w:name w:val="E2F458288B7446AEB7B7F9191783B393"/>
    <w:rsid w:val="008C6C02"/>
    <w:pPr>
      <w:bidi/>
    </w:pPr>
  </w:style>
  <w:style w:type="paragraph" w:customStyle="1" w:styleId="25F16DD6B0BB4D94A1A28E838DF99970">
    <w:name w:val="25F16DD6B0BB4D94A1A28E838DF99970"/>
    <w:rsid w:val="008C6C02"/>
    <w:pPr>
      <w:bidi/>
    </w:pPr>
  </w:style>
  <w:style w:type="paragraph" w:customStyle="1" w:styleId="20DD7B21C15A4A3F8B3904D31A786173">
    <w:name w:val="20DD7B21C15A4A3F8B3904D31A786173"/>
    <w:rsid w:val="008C6C02"/>
    <w:pPr>
      <w:bidi/>
    </w:pPr>
  </w:style>
  <w:style w:type="paragraph" w:customStyle="1" w:styleId="3EECCB3E881C4876B9BA4582B593E1A6">
    <w:name w:val="3EECCB3E881C4876B9BA4582B593E1A6"/>
    <w:rsid w:val="008C6C02"/>
    <w:pPr>
      <w:bidi/>
    </w:pPr>
  </w:style>
  <w:style w:type="paragraph" w:customStyle="1" w:styleId="DD0E3AF2459E41279E27F3B431507FCA">
    <w:name w:val="DD0E3AF2459E41279E27F3B431507FCA"/>
    <w:rsid w:val="008C6C02"/>
    <w:pPr>
      <w:bidi/>
    </w:pPr>
  </w:style>
  <w:style w:type="paragraph" w:customStyle="1" w:styleId="ED76771674454DC2B2A38F6A7CE0BF33">
    <w:name w:val="ED76771674454DC2B2A38F6A7CE0BF33"/>
    <w:rsid w:val="008C6C02"/>
    <w:pPr>
      <w:bidi/>
    </w:pPr>
  </w:style>
  <w:style w:type="paragraph" w:customStyle="1" w:styleId="1FF6B8D1DD61460EA3F34AE58E2E7763">
    <w:name w:val="1FF6B8D1DD61460EA3F34AE58E2E7763"/>
    <w:rsid w:val="008C6C02"/>
    <w:pPr>
      <w:bidi/>
    </w:pPr>
  </w:style>
  <w:style w:type="paragraph" w:customStyle="1" w:styleId="63AB4B2A1AF841579F31664BCF89507C">
    <w:name w:val="63AB4B2A1AF841579F31664BCF89507C"/>
    <w:rsid w:val="008C6C02"/>
    <w:pPr>
      <w:bidi/>
    </w:pPr>
  </w:style>
  <w:style w:type="paragraph" w:customStyle="1" w:styleId="FCC50FE29E854B32A9D176B4F893241F">
    <w:name w:val="FCC50FE29E854B32A9D176B4F893241F"/>
    <w:rsid w:val="008C6C02"/>
    <w:pPr>
      <w:bidi/>
    </w:pPr>
  </w:style>
  <w:style w:type="paragraph" w:customStyle="1" w:styleId="5632977DC8404B95B4F45A8C2B43F459">
    <w:name w:val="5632977DC8404B95B4F45A8C2B43F459"/>
    <w:rsid w:val="008C6C02"/>
    <w:pPr>
      <w:bidi/>
    </w:pPr>
  </w:style>
  <w:style w:type="paragraph" w:customStyle="1" w:styleId="ECC7B815536C4B9FB520D61837C08DCF">
    <w:name w:val="ECC7B815536C4B9FB520D61837C08DCF"/>
    <w:rsid w:val="008C6C02"/>
    <w:pPr>
      <w:bidi/>
    </w:pPr>
  </w:style>
  <w:style w:type="paragraph" w:customStyle="1" w:styleId="B67C6897903E43A28C0CC224AA7411FF">
    <w:name w:val="B67C6897903E43A28C0CC224AA7411FF"/>
    <w:rsid w:val="008C6C02"/>
    <w:pPr>
      <w:bidi/>
    </w:pPr>
  </w:style>
  <w:style w:type="paragraph" w:customStyle="1" w:styleId="542474AEBC074E84A1437256071B9C80">
    <w:name w:val="542474AEBC074E84A1437256071B9C80"/>
    <w:rsid w:val="008C6C02"/>
    <w:pPr>
      <w:bidi/>
    </w:pPr>
  </w:style>
  <w:style w:type="paragraph" w:customStyle="1" w:styleId="65189F0444514776AFB81C4CF3A4FA8C">
    <w:name w:val="65189F0444514776AFB81C4CF3A4FA8C"/>
    <w:rsid w:val="008C6C02"/>
    <w:pPr>
      <w:bidi/>
    </w:pPr>
  </w:style>
  <w:style w:type="paragraph" w:customStyle="1" w:styleId="2C1B120982384C4D8535D739E1179005">
    <w:name w:val="2C1B120982384C4D8535D739E1179005"/>
    <w:rsid w:val="008C6C02"/>
    <w:pPr>
      <w:bidi/>
    </w:pPr>
  </w:style>
  <w:style w:type="paragraph" w:customStyle="1" w:styleId="7BB78823E0B649A09B388D2EFDCE7819">
    <w:name w:val="7BB78823E0B649A09B388D2EFDCE7819"/>
    <w:rsid w:val="008C6C02"/>
    <w:pPr>
      <w:bidi/>
    </w:pPr>
  </w:style>
  <w:style w:type="paragraph" w:customStyle="1" w:styleId="0F048DC5718840CE8114368FF5C0FC38">
    <w:name w:val="0F048DC5718840CE8114368FF5C0FC38"/>
    <w:rsid w:val="008C6C02"/>
    <w:pPr>
      <w:bidi/>
    </w:pPr>
  </w:style>
  <w:style w:type="paragraph" w:customStyle="1" w:styleId="9E8729F6EBFD4BA6B75FBC50E9205843">
    <w:name w:val="9E8729F6EBFD4BA6B75FBC50E9205843"/>
    <w:rsid w:val="008C6C02"/>
    <w:pPr>
      <w:bidi/>
    </w:pPr>
  </w:style>
  <w:style w:type="paragraph" w:customStyle="1" w:styleId="43E9E6C884A2442ABBD9C67E00A4DD6D">
    <w:name w:val="43E9E6C884A2442ABBD9C67E00A4DD6D"/>
    <w:rsid w:val="008C6C02"/>
    <w:pPr>
      <w:bidi/>
    </w:pPr>
  </w:style>
  <w:style w:type="paragraph" w:customStyle="1" w:styleId="17452936547249AD9DD32B4167F7613F">
    <w:name w:val="17452936547249AD9DD32B4167F7613F"/>
    <w:rsid w:val="008C6C02"/>
    <w:pPr>
      <w:bidi/>
    </w:pPr>
  </w:style>
  <w:style w:type="paragraph" w:customStyle="1" w:styleId="D1ABC37CB9EC403D8EC5C00113593983">
    <w:name w:val="D1ABC37CB9EC403D8EC5C00113593983"/>
    <w:rsid w:val="008C6C02"/>
    <w:pPr>
      <w:bidi/>
    </w:pPr>
  </w:style>
  <w:style w:type="paragraph" w:customStyle="1" w:styleId="F62FEAFA6AC444698C5B0BD14AFD03A4">
    <w:name w:val="F62FEAFA6AC444698C5B0BD14AFD03A4"/>
    <w:rsid w:val="008C6C02"/>
    <w:pPr>
      <w:bidi/>
    </w:pPr>
  </w:style>
  <w:style w:type="paragraph" w:customStyle="1" w:styleId="0CC784C12FF34554A35C7DB97C2DA59B">
    <w:name w:val="0CC784C12FF34554A35C7DB97C2DA59B"/>
    <w:rsid w:val="008C6C02"/>
    <w:pPr>
      <w:bidi/>
    </w:pPr>
  </w:style>
  <w:style w:type="paragraph" w:customStyle="1" w:styleId="A03B0D6FCC2E4353878E52C2462CF04D">
    <w:name w:val="A03B0D6FCC2E4353878E52C2462CF04D"/>
    <w:rsid w:val="008C6C02"/>
    <w:pPr>
      <w:bidi/>
    </w:pPr>
  </w:style>
  <w:style w:type="paragraph" w:customStyle="1" w:styleId="BE05303D0D904551ACDB606F63F1F92C">
    <w:name w:val="BE05303D0D904551ACDB606F63F1F92C"/>
    <w:rsid w:val="008C6C02"/>
    <w:pPr>
      <w:bidi/>
    </w:pPr>
  </w:style>
  <w:style w:type="paragraph" w:customStyle="1" w:styleId="41221969FB8148C596E2D9929CB0E61A">
    <w:name w:val="41221969FB8148C596E2D9929CB0E61A"/>
    <w:rsid w:val="008C6C02"/>
    <w:pPr>
      <w:bidi/>
    </w:pPr>
  </w:style>
  <w:style w:type="paragraph" w:customStyle="1" w:styleId="A55C37D359FB4B12A74717C552772924">
    <w:name w:val="A55C37D359FB4B12A74717C552772924"/>
    <w:rsid w:val="008C6C02"/>
    <w:pPr>
      <w:bidi/>
    </w:pPr>
  </w:style>
  <w:style w:type="paragraph" w:customStyle="1" w:styleId="A1954D34083043E7B400365A51EE033F">
    <w:name w:val="A1954D34083043E7B400365A51EE033F"/>
    <w:rsid w:val="008C6C02"/>
    <w:pPr>
      <w:bidi/>
    </w:pPr>
  </w:style>
  <w:style w:type="paragraph" w:customStyle="1" w:styleId="FABC0CB23E3746FFB0D0881EB484EFEB">
    <w:name w:val="FABC0CB23E3746FFB0D0881EB484EFEB"/>
    <w:rsid w:val="008C6C02"/>
    <w:pPr>
      <w:bidi/>
    </w:pPr>
  </w:style>
  <w:style w:type="paragraph" w:customStyle="1" w:styleId="7B3BA5C0E6F94456A80A438B4CF3F632">
    <w:name w:val="7B3BA5C0E6F94456A80A438B4CF3F632"/>
    <w:rsid w:val="008C6C02"/>
    <w:pPr>
      <w:bidi/>
    </w:pPr>
  </w:style>
  <w:style w:type="paragraph" w:customStyle="1" w:styleId="BFEF8424EC9F4DE8857D28FA0F883A23">
    <w:name w:val="BFEF8424EC9F4DE8857D28FA0F883A23"/>
    <w:rsid w:val="008C6C02"/>
    <w:pPr>
      <w:bidi/>
    </w:pPr>
  </w:style>
  <w:style w:type="paragraph" w:customStyle="1" w:styleId="54D371D7ADF442F894FDFE9681CFC2E4">
    <w:name w:val="54D371D7ADF442F894FDFE9681CFC2E4"/>
    <w:rsid w:val="008C6C02"/>
    <w:pPr>
      <w:bidi/>
    </w:pPr>
  </w:style>
  <w:style w:type="paragraph" w:customStyle="1" w:styleId="20003726C9334125BBAAD63FF49FEDCC">
    <w:name w:val="20003726C9334125BBAAD63FF49FEDCC"/>
    <w:rsid w:val="008C6C02"/>
    <w:pPr>
      <w:bidi/>
    </w:pPr>
  </w:style>
  <w:style w:type="paragraph" w:customStyle="1" w:styleId="29B1B153D0CF4CBAAB464DD146EB7FB5">
    <w:name w:val="29B1B153D0CF4CBAAB464DD146EB7FB5"/>
    <w:rsid w:val="008C6C02"/>
    <w:pPr>
      <w:bidi/>
    </w:pPr>
  </w:style>
  <w:style w:type="paragraph" w:customStyle="1" w:styleId="60C23B9143D14C88BE8E32CBF2DFC974">
    <w:name w:val="60C23B9143D14C88BE8E32CBF2DFC974"/>
    <w:rsid w:val="008C6C02"/>
    <w:pPr>
      <w:bidi/>
    </w:pPr>
  </w:style>
  <w:style w:type="paragraph" w:customStyle="1" w:styleId="9219765574F74FD3BB5242C5FA15770D">
    <w:name w:val="9219765574F74FD3BB5242C5FA15770D"/>
    <w:rsid w:val="008C6C02"/>
    <w:pPr>
      <w:bidi/>
    </w:pPr>
  </w:style>
  <w:style w:type="paragraph" w:customStyle="1" w:styleId="CE04778B1D4440178D9A490E35535A34">
    <w:name w:val="CE04778B1D4440178D9A490E35535A34"/>
    <w:rsid w:val="008C6C02"/>
    <w:pPr>
      <w:bidi/>
    </w:pPr>
  </w:style>
  <w:style w:type="paragraph" w:customStyle="1" w:styleId="0A2D44DA0857440DA3A187DB4C3D4854">
    <w:name w:val="0A2D44DA0857440DA3A187DB4C3D4854"/>
    <w:rsid w:val="008C6C02"/>
    <w:pPr>
      <w:bidi/>
    </w:pPr>
  </w:style>
  <w:style w:type="paragraph" w:customStyle="1" w:styleId="F2E79B3C53124DC7A18D4AEAF66E6EE9">
    <w:name w:val="F2E79B3C53124DC7A18D4AEAF66E6EE9"/>
    <w:rsid w:val="008C6C02"/>
    <w:pPr>
      <w:bidi/>
    </w:pPr>
  </w:style>
  <w:style w:type="paragraph" w:customStyle="1" w:styleId="EF47C1AD1747410F9864881E78F05D60">
    <w:name w:val="EF47C1AD1747410F9864881E78F05D60"/>
    <w:rsid w:val="008C6C02"/>
    <w:pPr>
      <w:bidi/>
    </w:pPr>
  </w:style>
  <w:style w:type="paragraph" w:customStyle="1" w:styleId="E9522BD7B8574910B1B32FAE45F97CDD">
    <w:name w:val="E9522BD7B8574910B1B32FAE45F97CDD"/>
    <w:rsid w:val="008C6C02"/>
    <w:pPr>
      <w:bidi/>
    </w:pPr>
  </w:style>
  <w:style w:type="paragraph" w:customStyle="1" w:styleId="B9BA0F216AFD483F8BBFFCE72B7DD990">
    <w:name w:val="B9BA0F216AFD483F8BBFFCE72B7DD990"/>
    <w:rsid w:val="008C6C02"/>
    <w:pPr>
      <w:bidi/>
    </w:pPr>
  </w:style>
  <w:style w:type="paragraph" w:customStyle="1" w:styleId="66105AC66636462FAC24EF2407F53729">
    <w:name w:val="66105AC66636462FAC24EF2407F53729"/>
    <w:rsid w:val="008C6C02"/>
    <w:pPr>
      <w:bidi/>
    </w:pPr>
  </w:style>
  <w:style w:type="paragraph" w:customStyle="1" w:styleId="B9DF658E6C444DFCA84765807E9F92CE">
    <w:name w:val="B9DF658E6C444DFCA84765807E9F92CE"/>
    <w:rsid w:val="008C6C02"/>
    <w:pPr>
      <w:bidi/>
    </w:pPr>
  </w:style>
  <w:style w:type="paragraph" w:customStyle="1" w:styleId="10F59B79A04F48CDA61AFAA2776E7C85">
    <w:name w:val="10F59B79A04F48CDA61AFAA2776E7C85"/>
    <w:rsid w:val="008C6C02"/>
    <w:pPr>
      <w:bidi/>
    </w:pPr>
  </w:style>
  <w:style w:type="paragraph" w:customStyle="1" w:styleId="6C4BE16E9E6E4F48B06739A5B2816615">
    <w:name w:val="6C4BE16E9E6E4F48B06739A5B2816615"/>
    <w:rsid w:val="008C6C02"/>
    <w:pPr>
      <w:bidi/>
    </w:pPr>
  </w:style>
  <w:style w:type="paragraph" w:customStyle="1" w:styleId="D33734B600AF4DCE9E2335B057D3BFB0">
    <w:name w:val="D33734B600AF4DCE9E2335B057D3BFB0"/>
    <w:rsid w:val="008C6C02"/>
    <w:pPr>
      <w:bidi/>
    </w:pPr>
  </w:style>
  <w:style w:type="paragraph" w:customStyle="1" w:styleId="27813D600C58468EAF99C069D8328AEE">
    <w:name w:val="27813D600C58468EAF99C069D8328AEE"/>
    <w:rsid w:val="008C6C02"/>
    <w:pPr>
      <w:bidi/>
    </w:pPr>
  </w:style>
  <w:style w:type="paragraph" w:customStyle="1" w:styleId="7B674CD1339343E0864EDDCDB8492806">
    <w:name w:val="7B674CD1339343E0864EDDCDB8492806"/>
    <w:rsid w:val="008C6C02"/>
    <w:pPr>
      <w:bidi/>
    </w:pPr>
  </w:style>
  <w:style w:type="paragraph" w:customStyle="1" w:styleId="2DE0230D213A4C81B58D42F2D1E2F820">
    <w:name w:val="2DE0230D213A4C81B58D42F2D1E2F820"/>
    <w:rsid w:val="008C6C02"/>
    <w:pPr>
      <w:bidi/>
    </w:pPr>
  </w:style>
  <w:style w:type="paragraph" w:customStyle="1" w:styleId="756F0D7B6E0B446D97E9184705F948C2">
    <w:name w:val="756F0D7B6E0B446D97E9184705F948C2"/>
    <w:rsid w:val="008C6C02"/>
    <w:pPr>
      <w:bidi/>
    </w:pPr>
  </w:style>
  <w:style w:type="paragraph" w:customStyle="1" w:styleId="12D383BC221B41FF8818FC7F4E54F476">
    <w:name w:val="12D383BC221B41FF8818FC7F4E54F476"/>
    <w:rsid w:val="008C6C02"/>
    <w:pPr>
      <w:bidi/>
    </w:pPr>
  </w:style>
  <w:style w:type="paragraph" w:customStyle="1" w:styleId="2E002C954B93488AA979CAF7C0A7729D">
    <w:name w:val="2E002C954B93488AA979CAF7C0A7729D"/>
    <w:rsid w:val="008C6C02"/>
    <w:pPr>
      <w:bidi/>
    </w:pPr>
  </w:style>
  <w:style w:type="paragraph" w:customStyle="1" w:styleId="E96C068B91214B1EAA68B3E633C2F0CD">
    <w:name w:val="E96C068B91214B1EAA68B3E633C2F0CD"/>
    <w:rsid w:val="008C6C02"/>
    <w:pPr>
      <w:bidi/>
    </w:pPr>
  </w:style>
  <w:style w:type="paragraph" w:customStyle="1" w:styleId="8F41F20E64F348289AD83F8EEA3D5C10">
    <w:name w:val="8F41F20E64F348289AD83F8EEA3D5C10"/>
    <w:rsid w:val="008C6C02"/>
    <w:pPr>
      <w:bidi/>
    </w:pPr>
  </w:style>
  <w:style w:type="paragraph" w:customStyle="1" w:styleId="AA3547B954364D2097791D8B88601A15">
    <w:name w:val="AA3547B954364D2097791D8B88601A15"/>
    <w:rsid w:val="008C6C02"/>
    <w:pPr>
      <w:bidi/>
    </w:pPr>
  </w:style>
  <w:style w:type="paragraph" w:customStyle="1" w:styleId="E69B0B14F3CD4D9AA1DD0DC9CB7E1DDD">
    <w:name w:val="E69B0B14F3CD4D9AA1DD0DC9CB7E1DDD"/>
    <w:rsid w:val="008C6C02"/>
    <w:pPr>
      <w:bidi/>
    </w:pPr>
  </w:style>
  <w:style w:type="paragraph" w:customStyle="1" w:styleId="6466C130FC85468CAC7B38671C708076">
    <w:name w:val="6466C130FC85468CAC7B38671C708076"/>
    <w:rsid w:val="008C6C02"/>
    <w:pPr>
      <w:bidi/>
    </w:pPr>
  </w:style>
  <w:style w:type="paragraph" w:customStyle="1" w:styleId="CC79A389215C4A0F86D6B1032025C3D9">
    <w:name w:val="CC79A389215C4A0F86D6B1032025C3D9"/>
    <w:rsid w:val="008C6C02"/>
    <w:pPr>
      <w:bidi/>
    </w:pPr>
  </w:style>
  <w:style w:type="paragraph" w:customStyle="1" w:styleId="8C92F00464B34EE48FE2CA3F902154C8">
    <w:name w:val="8C92F00464B34EE48FE2CA3F902154C8"/>
    <w:rsid w:val="008C6C02"/>
    <w:pPr>
      <w:bidi/>
    </w:pPr>
  </w:style>
  <w:style w:type="paragraph" w:customStyle="1" w:styleId="8530D3B403CF47D4BA5E46765F0DC626">
    <w:name w:val="8530D3B403CF47D4BA5E46765F0DC626"/>
    <w:rsid w:val="008C6C02"/>
    <w:pPr>
      <w:bidi/>
    </w:pPr>
  </w:style>
  <w:style w:type="paragraph" w:customStyle="1" w:styleId="3A9D24022487458989914CD2A9B966A4">
    <w:name w:val="3A9D24022487458989914CD2A9B966A4"/>
    <w:rsid w:val="008C6C02"/>
    <w:pPr>
      <w:bidi/>
    </w:pPr>
  </w:style>
  <w:style w:type="paragraph" w:customStyle="1" w:styleId="698642E255EC4D54992DAC2D9019EB0F">
    <w:name w:val="698642E255EC4D54992DAC2D9019EB0F"/>
    <w:rsid w:val="008C6C02"/>
    <w:pPr>
      <w:bidi/>
    </w:pPr>
  </w:style>
  <w:style w:type="paragraph" w:customStyle="1" w:styleId="0202FC77A9BE47498C4DCFB794358DA2">
    <w:name w:val="0202FC77A9BE47498C4DCFB794358DA2"/>
    <w:rsid w:val="008C6C02"/>
    <w:pPr>
      <w:bidi/>
    </w:pPr>
  </w:style>
  <w:style w:type="paragraph" w:customStyle="1" w:styleId="5BA6185C3BE846569B3DAA4F0F482E03">
    <w:name w:val="5BA6185C3BE846569B3DAA4F0F482E03"/>
    <w:rsid w:val="008C6C02"/>
    <w:pPr>
      <w:bidi/>
    </w:pPr>
  </w:style>
  <w:style w:type="paragraph" w:customStyle="1" w:styleId="E85C2166A97C4D71BDB2831B756A1C8D">
    <w:name w:val="E85C2166A97C4D71BDB2831B756A1C8D"/>
    <w:rsid w:val="008C6C02"/>
    <w:pPr>
      <w:bidi/>
    </w:pPr>
  </w:style>
  <w:style w:type="paragraph" w:customStyle="1" w:styleId="CFEFFB4EF1DA4801B8182B449F0EF041">
    <w:name w:val="CFEFFB4EF1DA4801B8182B449F0EF041"/>
    <w:rsid w:val="008C6C02"/>
    <w:pPr>
      <w:bidi/>
    </w:pPr>
  </w:style>
  <w:style w:type="paragraph" w:customStyle="1" w:styleId="D3F6BF0621204C1EBA24AE342F5E8B3E">
    <w:name w:val="D3F6BF0621204C1EBA24AE342F5E8B3E"/>
    <w:rsid w:val="008C6C02"/>
    <w:pPr>
      <w:bidi/>
    </w:pPr>
  </w:style>
  <w:style w:type="paragraph" w:customStyle="1" w:styleId="36B12DDE1A96475E8BCD697E72B72F26">
    <w:name w:val="36B12DDE1A96475E8BCD697E72B72F26"/>
    <w:rsid w:val="008C6C02"/>
    <w:pPr>
      <w:bidi/>
    </w:pPr>
  </w:style>
  <w:style w:type="paragraph" w:customStyle="1" w:styleId="47654DE6A9AA4360A5AF36A57153D91A">
    <w:name w:val="47654DE6A9AA4360A5AF36A57153D91A"/>
    <w:rsid w:val="008C6C02"/>
    <w:pPr>
      <w:bidi/>
    </w:pPr>
  </w:style>
  <w:style w:type="paragraph" w:customStyle="1" w:styleId="51313230DF164A0FB76711B5B4CFC54D">
    <w:name w:val="51313230DF164A0FB76711B5B4CFC54D"/>
    <w:rsid w:val="008C6C02"/>
    <w:pPr>
      <w:bidi/>
    </w:pPr>
  </w:style>
  <w:style w:type="paragraph" w:customStyle="1" w:styleId="7118DFE89CB1440194196E3C3B77A2F0">
    <w:name w:val="7118DFE89CB1440194196E3C3B77A2F0"/>
    <w:rsid w:val="008C6C02"/>
    <w:pPr>
      <w:bidi/>
    </w:pPr>
  </w:style>
  <w:style w:type="paragraph" w:customStyle="1" w:styleId="0EE738705856446CBEC79A6A5A033A23">
    <w:name w:val="0EE738705856446CBEC79A6A5A033A23"/>
    <w:rsid w:val="008C6C02"/>
    <w:pPr>
      <w:bidi/>
    </w:pPr>
  </w:style>
  <w:style w:type="paragraph" w:customStyle="1" w:styleId="BBF88BF5EEF147DE892BDB7F4F634FF6">
    <w:name w:val="BBF88BF5EEF147DE892BDB7F4F634FF6"/>
    <w:rsid w:val="008C6C02"/>
    <w:pPr>
      <w:bidi/>
    </w:pPr>
  </w:style>
  <w:style w:type="paragraph" w:customStyle="1" w:styleId="84175CBF4BF84F1AAD8050063EC84B01">
    <w:name w:val="84175CBF4BF84F1AAD8050063EC84B01"/>
    <w:rsid w:val="008C6C02"/>
    <w:pPr>
      <w:bidi/>
    </w:pPr>
  </w:style>
  <w:style w:type="paragraph" w:customStyle="1" w:styleId="6E8D6FE92A5043ED967F526A5B1FD5DF">
    <w:name w:val="6E8D6FE92A5043ED967F526A5B1FD5DF"/>
    <w:rsid w:val="008C6C02"/>
    <w:pPr>
      <w:bidi/>
    </w:pPr>
  </w:style>
  <w:style w:type="paragraph" w:customStyle="1" w:styleId="88693D6ACA674FA48ECBF3E21F96111D">
    <w:name w:val="88693D6ACA674FA48ECBF3E21F96111D"/>
    <w:rsid w:val="008C6C02"/>
    <w:pPr>
      <w:bidi/>
    </w:pPr>
  </w:style>
  <w:style w:type="paragraph" w:customStyle="1" w:styleId="3C0EFF1ECD434E328DAD48DC38D0DA1B">
    <w:name w:val="3C0EFF1ECD434E328DAD48DC38D0DA1B"/>
    <w:rsid w:val="008C6C02"/>
    <w:pPr>
      <w:bidi/>
    </w:pPr>
  </w:style>
  <w:style w:type="paragraph" w:customStyle="1" w:styleId="A8F1A7EC1CD646F39DBD1DC7E3F9FD0A">
    <w:name w:val="A8F1A7EC1CD646F39DBD1DC7E3F9FD0A"/>
    <w:rsid w:val="008C6C02"/>
    <w:pPr>
      <w:bidi/>
    </w:pPr>
  </w:style>
  <w:style w:type="paragraph" w:customStyle="1" w:styleId="2ED23021E91345CAA0207C803893781B">
    <w:name w:val="2ED23021E91345CAA0207C803893781B"/>
    <w:rsid w:val="008C6C02"/>
    <w:pPr>
      <w:bidi/>
    </w:pPr>
  </w:style>
  <w:style w:type="paragraph" w:customStyle="1" w:styleId="FA81607C2B814B64AA08691E12252266">
    <w:name w:val="FA81607C2B814B64AA08691E12252266"/>
    <w:rsid w:val="008C6C02"/>
    <w:pPr>
      <w:bidi/>
    </w:pPr>
  </w:style>
  <w:style w:type="paragraph" w:customStyle="1" w:styleId="D70B410D50264E7F94D6EF46FDD33EA0">
    <w:name w:val="D70B410D50264E7F94D6EF46FDD33EA0"/>
    <w:rsid w:val="008C6C02"/>
    <w:pPr>
      <w:bidi/>
    </w:pPr>
  </w:style>
  <w:style w:type="paragraph" w:customStyle="1" w:styleId="FE8EAF67C4F04B5BBF10AB6D6E743D11">
    <w:name w:val="FE8EAF67C4F04B5BBF10AB6D6E743D11"/>
    <w:rsid w:val="008C6C02"/>
    <w:pPr>
      <w:bidi/>
    </w:pPr>
  </w:style>
  <w:style w:type="paragraph" w:customStyle="1" w:styleId="8DBFCB5CAAD84A1C85804B8C04C93161">
    <w:name w:val="8DBFCB5CAAD84A1C85804B8C04C93161"/>
    <w:rsid w:val="008C6C02"/>
    <w:pPr>
      <w:bidi/>
    </w:pPr>
  </w:style>
  <w:style w:type="paragraph" w:customStyle="1" w:styleId="8969B10F364947A0B736923B0C5C7505">
    <w:name w:val="8969B10F364947A0B736923B0C5C7505"/>
    <w:rsid w:val="008C6C02"/>
    <w:pPr>
      <w:bidi/>
    </w:pPr>
  </w:style>
  <w:style w:type="paragraph" w:customStyle="1" w:styleId="1EE8FC30B55F49D587D952E42D13BDF8">
    <w:name w:val="1EE8FC30B55F49D587D952E42D13BDF8"/>
    <w:rsid w:val="008C6C02"/>
    <w:pPr>
      <w:bidi/>
    </w:pPr>
  </w:style>
  <w:style w:type="paragraph" w:customStyle="1" w:styleId="9164ABE390D0431BA3C6688451B196E0">
    <w:name w:val="9164ABE390D0431BA3C6688451B196E0"/>
    <w:rsid w:val="008C6C02"/>
    <w:pPr>
      <w:bidi/>
    </w:pPr>
  </w:style>
  <w:style w:type="paragraph" w:customStyle="1" w:styleId="8634CEB3ADF24DB78EC0C8E53DEC874A">
    <w:name w:val="8634CEB3ADF24DB78EC0C8E53DEC874A"/>
    <w:rsid w:val="008C6C02"/>
    <w:pPr>
      <w:bidi/>
    </w:pPr>
  </w:style>
  <w:style w:type="paragraph" w:customStyle="1" w:styleId="3070DF5973C8425596B38848F36D4F69">
    <w:name w:val="3070DF5973C8425596B38848F36D4F69"/>
    <w:rsid w:val="00804682"/>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52DEA-06A9-46B6-B6C7-63514B7E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1101</Words>
  <Characters>5510</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racehelm</dc:creator>
  <cp:keywords/>
  <dc:description/>
  <cp:lastModifiedBy>AMD1</cp:lastModifiedBy>
  <cp:revision>2</cp:revision>
  <cp:lastPrinted>2010-10-17T10:15:00Z</cp:lastPrinted>
  <dcterms:created xsi:type="dcterms:W3CDTF">2010-12-12T09:45:00Z</dcterms:created>
  <dcterms:modified xsi:type="dcterms:W3CDTF">2010-12-12T09:45:00Z</dcterms:modified>
</cp:coreProperties>
</file>