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276" w:rsidRPr="00396276" w:rsidRDefault="00396276" w:rsidP="00396276">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396276">
        <w:rPr>
          <w:rFonts w:ascii="David" w:eastAsiaTheme="minorHAnsi" w:hAnsiTheme="minorHAnsi" w:cs="David" w:hint="cs"/>
          <w:b/>
          <w:bCs/>
          <w:color w:val="000000"/>
          <w:sz w:val="36"/>
          <w:szCs w:val="36"/>
          <w:rtl/>
        </w:rPr>
        <w:t>רשות ההגבלים העסקיים</w:t>
      </w:r>
    </w:p>
    <w:p w:rsidR="00396276" w:rsidRPr="00396276" w:rsidRDefault="00396276" w:rsidP="00396276">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396276">
        <w:rPr>
          <w:rFonts w:ascii="David" w:eastAsiaTheme="minorHAnsi" w:hAnsiTheme="minorHAnsi" w:cs="David" w:hint="cs"/>
          <w:b/>
          <w:bCs/>
          <w:color w:val="000000"/>
          <w:sz w:val="32"/>
          <w:szCs w:val="32"/>
          <w:rtl/>
        </w:rPr>
        <w:t>פעילות וסדרי מינהל</w:t>
      </w:r>
    </w:p>
    <w:p w:rsidR="00396276" w:rsidRPr="00396276" w:rsidRDefault="00396276" w:rsidP="00396276">
      <w:pPr>
        <w:suppressAutoHyphens/>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הגופים המבוקרים: משרד התעשייה המסחר התעסוקה; נציבות שירות המדינה; משטרת ישראל; הרשות להגבלים עסקיים</w:t>
      </w:r>
    </w:p>
    <w:p w:rsidR="00396276" w:rsidRPr="00396276" w:rsidRDefault="00396276" w:rsidP="00396276">
      <w:pPr>
        <w:autoSpaceDE w:val="0"/>
        <w:autoSpaceDN w:val="0"/>
        <w:adjustRightInd w:val="0"/>
        <w:spacing w:after="0" w:line="288" w:lineRule="auto"/>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 xml:space="preserve">ליקויים 6,9,13 תוקנו. ראה הערות רה"מ </w:t>
      </w:r>
      <w:proofErr w:type="spellStart"/>
      <w:r w:rsidRPr="00396276">
        <w:rPr>
          <w:rFonts w:ascii="David" w:eastAsiaTheme="minorHAnsi" w:hAnsi="Times New Roman" w:cs="David" w:hint="cs"/>
          <w:color w:val="000000"/>
          <w:sz w:val="24"/>
          <w:szCs w:val="24"/>
          <w:rtl/>
        </w:rPr>
        <w:t>60ב</w:t>
      </w:r>
      <w:proofErr w:type="spellEnd"/>
      <w:r w:rsidRPr="00396276">
        <w:rPr>
          <w:rFonts w:ascii="David" w:eastAsiaTheme="minorHAnsi" w:hAnsi="Times New Roman" w:cs="David" w:hint="cs"/>
          <w:color w:val="000000"/>
          <w:sz w:val="24"/>
          <w:szCs w:val="24"/>
          <w:rtl/>
        </w:rPr>
        <w:t xml:space="preserve">' </w:t>
      </w:r>
      <w:proofErr w:type="spellStart"/>
      <w:r w:rsidRPr="00396276">
        <w:rPr>
          <w:rFonts w:ascii="David" w:eastAsiaTheme="minorHAnsi" w:hAnsi="Times New Roman" w:cs="David" w:hint="cs"/>
          <w:color w:val="000000"/>
          <w:sz w:val="24"/>
          <w:szCs w:val="24"/>
          <w:rtl/>
        </w:rPr>
        <w:t>עמ</w:t>
      </w:r>
      <w:proofErr w:type="spellEnd"/>
      <w:r w:rsidRPr="00396276">
        <w:rPr>
          <w:rFonts w:ascii="David" w:eastAsiaTheme="minorHAnsi" w:hAnsi="Times New Roman" w:cs="David" w:hint="cs"/>
          <w:color w:val="000000"/>
          <w:sz w:val="24"/>
          <w:szCs w:val="24"/>
          <w:rtl/>
        </w:rPr>
        <w:t xml:space="preserve">' 324 – 328. </w:t>
      </w:r>
    </w:p>
    <w:p w:rsidR="00396276" w:rsidRPr="00396276" w:rsidRDefault="00396276" w:rsidP="00396276">
      <w:pPr>
        <w:autoSpaceDE w:val="0"/>
        <w:autoSpaceDN w:val="0"/>
        <w:adjustRightInd w:val="0"/>
        <w:spacing w:after="0" w:line="288" w:lineRule="auto"/>
        <w:textAlignment w:val="center"/>
        <w:rPr>
          <w:rFonts w:ascii="David" w:eastAsiaTheme="minorHAnsi" w:hAnsi="Times New Roman" w:cs="David"/>
          <w:b/>
          <w:bCs/>
          <w:color w:val="000000"/>
          <w:sz w:val="24"/>
          <w:szCs w:val="24"/>
          <w:rtl/>
        </w:rPr>
      </w:pPr>
    </w:p>
    <w:p w:rsidR="00396276" w:rsidRPr="00396276" w:rsidRDefault="00396276" w:rsidP="00396276">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ליקוי</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565" w:hanging="565"/>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1.</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לרשות ההגבלים העסקיים (להלן הרשות) אין אמות מידה לקביעת הסכום שישולם לאוצר המדינה לפי צו מוסכם, כאשר הממונה מבקש להטיל על הצדדים המפרים את הוראות חוק ההגבלים העסקיים גם חיוב בתשלום. זאת ועוד, הסכום הממוצע שהוטל עד היום על חברה יחידה הוא כ-1.35 מיליון ש"ח בלבד, סכום שספק אם יש בו להרתיע את רוב החברות. היעדר אמות מידה ברורות בעניין זה עלול ליצור אי-שוויון בטיפולה של הרשות בחברות המפרות. בד בבד עם גיבוש אמות מידה על הרשות להמשיך ולקדם את יזמתה להקנות לה סמכות להטיל עיצום מינהלי, סמכות שאינה תלויה בהסכמת הצדדים המפרים או בבית המשפט.</w:t>
      </w:r>
    </w:p>
    <w:p w:rsidR="00396276" w:rsidRPr="00396276" w:rsidRDefault="00396276" w:rsidP="00396276">
      <w:pPr>
        <w:autoSpaceDE w:val="0"/>
        <w:autoSpaceDN w:val="0"/>
        <w:adjustRightInd w:val="0"/>
        <w:spacing w:after="0" w:line="288" w:lineRule="auto"/>
        <w:ind w:left="565" w:hanging="565"/>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מעקב</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הרשות להגבלים עסקיים</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1.</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נוסח תזכיר חוק בנושא עיצומים מנהליים הועבר על ידי הרשות למשרד המשפטים. במסגרת דיונים שהתקיימו בנושא, הגיעה הרשות להסכמות עקרוניות עם משרד המשפטים אולם בשלב זה טרם ניתן אישור משרד המשפטים לנוסח תזכיר חוק סופי. הואיל וקיימת זיקה ישירה בין אמות המידה בהקשר של עיצומים מנהליים לאמות המידה בהקשר של צווים מוסכמים, ההתקדמות בשני המישורים הללו כפופה לאישורו של משרד המשפטים.</w:t>
      </w:r>
    </w:p>
    <w:p w:rsidR="00396276" w:rsidRPr="00396276" w:rsidRDefault="00396276" w:rsidP="00396276">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ליקוי</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565" w:hanging="565"/>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2.</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לדעת משרד מבקר המדינה, מן הראוי לפרסם בהקדם האפשרי את המסמך המנחה שבו מפורטות אמות המידה לאישור מיזוגים. המסמך יסייע לקהילה העסקית להעריך ביתר קלות את מדיניות הממונה בנוגע לאישור בקשות מיזוג ודחייתן. לעניין ההסדרים הכובלים, לדעת משרד מבקר המדינה, מן הראוי שהרשות תפרסם שאלות ותשובות בנושא, באופן תמציתי, כדי להבהיר את המצב המשפטי ולסייע לקהילה העסקית.</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מעקב</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 xml:space="preserve"> 2.</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הערות הציבור מוטמעות בנוסח הסופי שצפוי להתפרסם עד סוף שנת 2010. בנושא הנחיות בנושא הסדרים כובלים, הרשות פועלת להגברת הוודאות והשקיפות של שיקולי הרשות ומדיניותה בנושאים אלו, באמצעות פרסומן של כל ההחלטות, על נימוקיהן, וגילויי הדעת באתר האינטרנט המתעדכן באופן שוטף ומשמש את הקהילייה העסקית והציבור הרחב.</w:t>
      </w:r>
    </w:p>
    <w:p w:rsidR="00396276" w:rsidRPr="00396276" w:rsidRDefault="00396276" w:rsidP="00396276">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 xml:space="preserve">ראה הערות רה"מ </w:t>
      </w:r>
      <w:proofErr w:type="spellStart"/>
      <w:r w:rsidRPr="00396276">
        <w:rPr>
          <w:rFonts w:ascii="David" w:eastAsiaTheme="minorHAnsi" w:hAnsi="Times New Roman" w:cs="David" w:hint="cs"/>
          <w:color w:val="000000"/>
          <w:sz w:val="24"/>
          <w:szCs w:val="24"/>
          <w:rtl/>
        </w:rPr>
        <w:t>60ב</w:t>
      </w:r>
      <w:proofErr w:type="spellEnd"/>
      <w:r w:rsidRPr="00396276">
        <w:rPr>
          <w:rFonts w:ascii="David" w:eastAsiaTheme="minorHAnsi" w:hAnsi="Times New Roman" w:cs="David" w:hint="cs"/>
          <w:color w:val="000000"/>
          <w:sz w:val="24"/>
          <w:szCs w:val="24"/>
          <w:rtl/>
        </w:rPr>
        <w:t xml:space="preserve">' </w:t>
      </w:r>
      <w:proofErr w:type="spellStart"/>
      <w:r w:rsidRPr="00396276">
        <w:rPr>
          <w:rFonts w:ascii="David" w:eastAsiaTheme="minorHAnsi" w:hAnsi="Times New Roman" w:cs="David" w:hint="cs"/>
          <w:color w:val="000000"/>
          <w:sz w:val="24"/>
          <w:szCs w:val="24"/>
          <w:rtl/>
        </w:rPr>
        <w:t>עמ</w:t>
      </w:r>
      <w:proofErr w:type="spellEnd"/>
      <w:r w:rsidRPr="00396276">
        <w:rPr>
          <w:rFonts w:ascii="David" w:eastAsiaTheme="minorHAnsi" w:hAnsi="Times New Roman" w:cs="David" w:hint="cs"/>
          <w:color w:val="000000"/>
          <w:sz w:val="24"/>
          <w:szCs w:val="24"/>
          <w:rtl/>
        </w:rPr>
        <w:t xml:space="preserve">' 321. </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b/>
          <w:bCs/>
          <w:color w:val="000000"/>
          <w:sz w:val="24"/>
          <w:szCs w:val="24"/>
          <w:rtl/>
        </w:rPr>
        <w:lastRenderedPageBreak/>
        <w:t>ליקוי</w:t>
      </w:r>
      <w:r w:rsidRPr="00396276">
        <w:rPr>
          <w:rFonts w:ascii="David" w:eastAsiaTheme="minorHAnsi" w:hAnsi="Times New Roman" w:cs="David" w:hint="cs"/>
          <w:color w:val="000000"/>
          <w:sz w:val="24"/>
          <w:szCs w:val="24"/>
          <w:rtl/>
        </w:rPr>
        <w:t xml:space="preserve"> </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396276" w:rsidRPr="00396276" w:rsidRDefault="00396276" w:rsidP="00396276">
      <w:pPr>
        <w:suppressAutoHyphens/>
        <w:autoSpaceDE w:val="0"/>
        <w:autoSpaceDN w:val="0"/>
        <w:adjustRightInd w:val="0"/>
        <w:spacing w:after="0" w:line="288" w:lineRule="auto"/>
        <w:ind w:left="567" w:hanging="567"/>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3.</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על הרשות - במסגרת כוח המשימה או במסגרת אחרת - ליזום יותר שיתוף פעולה עם יתר הגופים הקשורים לנושא תיאום הצעות במכרזים ולבחון בהקדם את האפשרות להקים מסד נתונים משותף לגופים ציבוריים שבאמצעותו יוכלו לטפל בבעיית תיאום הצעות במכרזים.</w:t>
      </w:r>
    </w:p>
    <w:p w:rsidR="00396276" w:rsidRPr="00396276" w:rsidRDefault="00396276" w:rsidP="00396276">
      <w:pPr>
        <w:autoSpaceDE w:val="0"/>
        <w:autoSpaceDN w:val="0"/>
        <w:adjustRightInd w:val="0"/>
        <w:spacing w:after="0" w:line="288" w:lineRule="auto"/>
        <w:ind w:left="567" w:hanging="567"/>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מעקב</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3.</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הרשות נקטה בשורה של צעדים לשיפור ההתמודדות עם תופעת תיאום המכרזים. בנוסף, לאחרונה הושלם פיתוח לומדה אינטרנטית ייעודית לצרכי הסברה והורחבה הפעילות במישור ההסברתי בשיתוף מרכז השלטון המקומי, ארגון מבקרי הפנים וגופים נוספים.</w:t>
      </w:r>
    </w:p>
    <w:p w:rsidR="00396276" w:rsidRPr="00396276" w:rsidRDefault="00396276" w:rsidP="00396276">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 xml:space="preserve">ראה הערות רה"מ </w:t>
      </w:r>
      <w:proofErr w:type="spellStart"/>
      <w:r w:rsidRPr="00396276">
        <w:rPr>
          <w:rFonts w:ascii="David" w:eastAsiaTheme="minorHAnsi" w:hAnsi="Times New Roman" w:cs="David" w:hint="cs"/>
          <w:color w:val="000000"/>
          <w:sz w:val="24"/>
          <w:szCs w:val="24"/>
          <w:rtl/>
        </w:rPr>
        <w:t>60ב</w:t>
      </w:r>
      <w:proofErr w:type="spellEnd"/>
      <w:r w:rsidRPr="00396276">
        <w:rPr>
          <w:rFonts w:ascii="David" w:eastAsiaTheme="minorHAnsi" w:hAnsi="Times New Roman" w:cs="David" w:hint="cs"/>
          <w:color w:val="000000"/>
          <w:sz w:val="24"/>
          <w:szCs w:val="24"/>
          <w:rtl/>
        </w:rPr>
        <w:t xml:space="preserve">' </w:t>
      </w:r>
      <w:proofErr w:type="spellStart"/>
      <w:r w:rsidRPr="00396276">
        <w:rPr>
          <w:rFonts w:ascii="David" w:eastAsiaTheme="minorHAnsi" w:hAnsi="Times New Roman" w:cs="David" w:hint="cs"/>
          <w:color w:val="000000"/>
          <w:sz w:val="24"/>
          <w:szCs w:val="24"/>
          <w:rtl/>
        </w:rPr>
        <w:t>עמ</w:t>
      </w:r>
      <w:proofErr w:type="spellEnd"/>
      <w:r w:rsidRPr="00396276">
        <w:rPr>
          <w:rFonts w:ascii="David" w:eastAsiaTheme="minorHAnsi" w:hAnsi="Times New Roman" w:cs="David" w:hint="cs"/>
          <w:color w:val="000000"/>
          <w:sz w:val="24"/>
          <w:szCs w:val="24"/>
          <w:rtl/>
        </w:rPr>
        <w:t>' 322.</w:t>
      </w:r>
    </w:p>
    <w:p w:rsidR="00396276" w:rsidRPr="00396276" w:rsidRDefault="00396276" w:rsidP="00396276">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ליקוי</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565" w:hanging="565"/>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4.</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חלק מנוהלי אגף החקירות והמודיעין במשטרה אינם מתאימים לעבודת הרשות, יש להתאים נהלים אלה לפעילותה, על ידי ביצוע השינויים המחויבים, או לגבש נוהלי חקירה מיוחדים לרשות. זאת כדי להקל ולייעל את עבודת החוקרים ברשות וכדי להסיר כל חשש לפגיעה אפשרית בזכויות יסוד של נחקרים.</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מעקב</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4</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 xml:space="preserve">לא דווח על התקדמות בתיקון הליקוי. ראה הערות רה"מ </w:t>
      </w:r>
      <w:proofErr w:type="spellStart"/>
      <w:r w:rsidRPr="00396276">
        <w:rPr>
          <w:rFonts w:ascii="David" w:eastAsiaTheme="minorHAnsi" w:hAnsi="Times New Roman" w:cs="David" w:hint="cs"/>
          <w:color w:val="000000"/>
          <w:sz w:val="24"/>
          <w:szCs w:val="24"/>
          <w:rtl/>
        </w:rPr>
        <w:t>60ב</w:t>
      </w:r>
      <w:proofErr w:type="spellEnd"/>
      <w:r w:rsidRPr="00396276">
        <w:rPr>
          <w:rFonts w:ascii="David" w:eastAsiaTheme="minorHAnsi" w:hAnsi="Times New Roman" w:cs="David" w:hint="cs"/>
          <w:color w:val="000000"/>
          <w:sz w:val="24"/>
          <w:szCs w:val="24"/>
          <w:rtl/>
        </w:rPr>
        <w:t xml:space="preserve">' </w:t>
      </w:r>
      <w:proofErr w:type="spellStart"/>
      <w:r w:rsidRPr="00396276">
        <w:rPr>
          <w:rFonts w:ascii="David" w:eastAsiaTheme="minorHAnsi" w:hAnsi="Times New Roman" w:cs="David" w:hint="cs"/>
          <w:color w:val="000000"/>
          <w:sz w:val="24"/>
          <w:szCs w:val="24"/>
          <w:rtl/>
        </w:rPr>
        <w:t>עמ</w:t>
      </w:r>
      <w:proofErr w:type="spellEnd"/>
      <w:r w:rsidRPr="00396276">
        <w:rPr>
          <w:rFonts w:ascii="David" w:eastAsiaTheme="minorHAnsi" w:hAnsi="Times New Roman" w:cs="David" w:hint="cs"/>
          <w:color w:val="000000"/>
          <w:sz w:val="24"/>
          <w:szCs w:val="24"/>
          <w:rtl/>
        </w:rPr>
        <w:t xml:space="preserve">' 323. </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 xml:space="preserve">ליקוי </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565" w:hanging="565"/>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5.</w:t>
      </w:r>
      <w:r w:rsidRPr="00396276">
        <w:rPr>
          <w:rFonts w:ascii="David" w:eastAsiaTheme="minorHAnsi" w:hAnsi="Times New Roman" w:cs="David"/>
          <w:b/>
          <w:bCs/>
          <w:color w:val="000000"/>
          <w:sz w:val="24"/>
          <w:szCs w:val="24"/>
          <w:rtl/>
        </w:rPr>
        <w:tab/>
      </w:r>
      <w:r w:rsidRPr="00396276">
        <w:rPr>
          <w:rFonts w:ascii="David" w:eastAsiaTheme="minorHAnsi" w:hAnsi="Times New Roman" w:cs="David" w:hint="cs"/>
          <w:color w:val="000000"/>
          <w:sz w:val="24"/>
          <w:szCs w:val="24"/>
          <w:rtl/>
        </w:rPr>
        <w:t xml:space="preserve">הטיפול בתיק הגבלים עסקיים - מפתיחת חקירה ועד אכיפה באמצעות סמכויות אזרחיות-מנהליות או פליליות - נמשך זמן רב. לדעת משרד מבקר המדינה, התמשכות ההליכים עלולה לפגוע ביכולת ההרתעה של הרשות, והדבר עלול לפגום ביעילות האכיפה ובתועלת לצרכנים. כדי להגביר את כושר ההרתעה ולייעל את האכיפה, על הרשות לבחון אפוא דרכים לקיצור ההליכים נוסף על הדרכים שהיא כבר נוקטת, ולהמשיך ולקדם את יזמתה ליצירת סמכות אכיפה מהירה ויעילה יותר: הסמכות להטיל עיצום מינהלי - קנס כספי - על מפר הוראות החוק, ללא צורך בפנייה לבית המשפט. </w:t>
      </w:r>
    </w:p>
    <w:p w:rsidR="00396276" w:rsidRPr="00396276" w:rsidRDefault="00396276" w:rsidP="00396276">
      <w:pPr>
        <w:autoSpaceDE w:val="0"/>
        <w:autoSpaceDN w:val="0"/>
        <w:adjustRightInd w:val="0"/>
        <w:spacing w:after="0" w:line="288" w:lineRule="auto"/>
        <w:ind w:left="565" w:hanging="565"/>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מעקב</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5.</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הרשות בוחנת דרכים לקיצור משך ההליכים בכל תיק שנמצא בטיפולה. בכל תיק חקירה מתקיים דיון פרטני לגבי האפשרויות לקצר את משך ההליכים ולשפר את מנגנון ההעברה של תיקים בין מחלקת חקירות למחלקה המשפטית, כל זאת מבלי להתפשר על מקצועיות ויסודיות הטיפול בכל תיק לגופו. הרשות סבורה כי הקניית הסמכות להטיל עיצומים מנהליים תחזק את יכולת האכיפה וההרתעה ובד בבד תקצר את משך ההליכים. הנושא - כמפורט במעקב על ליקוי 1 בדוח מעקב זה - ממתין לאישור משרד המשפטים.</w:t>
      </w:r>
    </w:p>
    <w:p w:rsidR="00396276" w:rsidRPr="00396276" w:rsidRDefault="00396276" w:rsidP="00396276">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396276" w:rsidRDefault="00396276" w:rsidP="00396276">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396276" w:rsidRDefault="00396276" w:rsidP="00396276">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396276" w:rsidRDefault="00396276" w:rsidP="00396276">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396276" w:rsidRDefault="00396276" w:rsidP="00396276">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ליקוי</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565" w:hanging="565"/>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7.</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מספר הבקשות הקטן שהוגשו כדי להיכלל בתכנית החסינות מעיד על הצלחה מועטה של התכנית עד כה. הגורם החשוב ביותר להצלחת תכנית חסינות הוא אכיפה יעילה הכוללת חקירות, הגשת כתבי אישום והטלת סנקציות בפרק זמן</w:t>
      </w:r>
      <w:r w:rsidRPr="00396276">
        <w:rPr>
          <w:rFonts w:ascii="David" w:eastAsiaTheme="minorHAnsi" w:hAnsi="Times New Roman" w:cs="David" w:hint="cs"/>
          <w:b/>
          <w:bCs/>
          <w:color w:val="000000"/>
          <w:sz w:val="24"/>
          <w:szCs w:val="24"/>
          <w:rtl/>
        </w:rPr>
        <w:t xml:space="preserve"> </w:t>
      </w:r>
      <w:r w:rsidRPr="00396276">
        <w:rPr>
          <w:rFonts w:ascii="David" w:eastAsiaTheme="minorHAnsi" w:hAnsi="Times New Roman" w:cs="David" w:hint="cs"/>
          <w:color w:val="000000"/>
          <w:sz w:val="24"/>
          <w:szCs w:val="24"/>
          <w:rtl/>
        </w:rPr>
        <w:t>קצר</w:t>
      </w:r>
      <w:r w:rsidRPr="00396276">
        <w:rPr>
          <w:rFonts w:ascii="David" w:eastAsiaTheme="minorHAnsi" w:hAnsi="Times New Roman" w:cs="David" w:hint="cs"/>
          <w:b/>
          <w:bCs/>
          <w:color w:val="000000"/>
          <w:sz w:val="24"/>
          <w:szCs w:val="24"/>
          <w:rtl/>
        </w:rPr>
        <w:t xml:space="preserve">. </w:t>
      </w:r>
      <w:r w:rsidRPr="00396276">
        <w:rPr>
          <w:rFonts w:ascii="David" w:eastAsiaTheme="minorHAnsi" w:hAnsi="Times New Roman" w:cs="David" w:hint="cs"/>
          <w:color w:val="000000"/>
          <w:sz w:val="24"/>
          <w:szCs w:val="24"/>
          <w:rtl/>
        </w:rPr>
        <w:t xml:space="preserve">מן הראוי אפוא כי הרשות והגורמים הנוגעים בדבר יידרשו לסוגיה זו ויבחנו כיצד ניתן לשפר את המצב ולעודד פונים פוטנציאליים לפנות לרשות ולמסור מידע על אודות קרטלים, בהתחשב בהיקפו הקטן של השוק בישראל </w:t>
      </w:r>
      <w:proofErr w:type="spellStart"/>
      <w:r w:rsidRPr="00396276">
        <w:rPr>
          <w:rFonts w:ascii="David" w:eastAsiaTheme="minorHAnsi" w:hAnsi="Times New Roman" w:cs="David" w:hint="cs"/>
          <w:color w:val="000000"/>
          <w:sz w:val="24"/>
          <w:szCs w:val="24"/>
          <w:rtl/>
        </w:rPr>
        <w:t>ובריכוזיותו</w:t>
      </w:r>
      <w:proofErr w:type="spellEnd"/>
      <w:r w:rsidRPr="00396276">
        <w:rPr>
          <w:rFonts w:ascii="David" w:eastAsiaTheme="minorHAnsi" w:hAnsi="Times New Roman" w:cs="David" w:hint="cs"/>
          <w:color w:val="000000"/>
          <w:sz w:val="24"/>
          <w:szCs w:val="24"/>
          <w:rtl/>
        </w:rPr>
        <w:t xml:space="preserve">. </w:t>
      </w:r>
    </w:p>
    <w:p w:rsidR="00396276" w:rsidRDefault="00396276" w:rsidP="00396276">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מעקב</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7.</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 xml:space="preserve">הרשות השלימה קמפיין להגברת המודעות לתכנית החסינות בביצוע לשכת הפרסום הממשלתית. במסגרת הקמפיין פורסמו במהלך יוני 2010 מודעות בעיתונות ובאינטרנט והופק אתר מידע אינטרנטי ייעודי </w:t>
      </w:r>
      <w:r w:rsidRPr="00396276">
        <w:rPr>
          <w:rFonts w:ascii="Arial" w:eastAsiaTheme="minorHAnsi" w:hAnsi="Arial"/>
          <w:color w:val="000000"/>
          <w:sz w:val="24"/>
          <w:szCs w:val="24"/>
        </w:rPr>
        <w:t>(</w:t>
      </w:r>
      <w:r w:rsidRPr="00396276">
        <w:rPr>
          <w:rFonts w:ascii="Arial" w:eastAsiaTheme="minorHAnsi" w:hAnsi="Arial"/>
          <w:color w:val="000000"/>
        </w:rPr>
        <w:t>hasinut.aa.gov.il</w:t>
      </w:r>
      <w:r w:rsidRPr="00396276">
        <w:rPr>
          <w:rFonts w:ascii="Arial" w:eastAsiaTheme="minorHAnsi" w:hAnsi="Arial"/>
          <w:color w:val="000000"/>
          <w:sz w:val="24"/>
          <w:szCs w:val="24"/>
        </w:rPr>
        <w:t>)</w:t>
      </w:r>
      <w:r w:rsidRPr="00396276">
        <w:rPr>
          <w:rFonts w:ascii="David" w:eastAsiaTheme="minorHAnsi" w:hAnsi="Times New Roman" w:cs="David" w:hint="cs"/>
          <w:color w:val="000000"/>
          <w:sz w:val="24"/>
          <w:szCs w:val="24"/>
          <w:rtl/>
        </w:rPr>
        <w:t>. הקמפיין זכה לשיעורי חשיפה משמעותיים, עורר את המודעות לנושא, והוביל לפניות שונות.</w:t>
      </w:r>
    </w:p>
    <w:p w:rsidR="00396276" w:rsidRPr="00396276" w:rsidRDefault="00396276" w:rsidP="00396276">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 xml:space="preserve">ראה הערות רה"מ </w:t>
      </w:r>
      <w:proofErr w:type="spellStart"/>
      <w:r w:rsidRPr="00396276">
        <w:rPr>
          <w:rFonts w:ascii="David" w:eastAsiaTheme="minorHAnsi" w:hAnsi="Times New Roman" w:cs="David" w:hint="cs"/>
          <w:color w:val="000000"/>
          <w:sz w:val="24"/>
          <w:szCs w:val="24"/>
          <w:rtl/>
        </w:rPr>
        <w:t>60ב</w:t>
      </w:r>
      <w:proofErr w:type="spellEnd"/>
      <w:r w:rsidRPr="00396276">
        <w:rPr>
          <w:rFonts w:ascii="David" w:eastAsiaTheme="minorHAnsi" w:hAnsi="Times New Roman" w:cs="David" w:hint="cs"/>
          <w:color w:val="000000"/>
          <w:sz w:val="24"/>
          <w:szCs w:val="24"/>
          <w:rtl/>
        </w:rPr>
        <w:t xml:space="preserve">' </w:t>
      </w:r>
      <w:proofErr w:type="spellStart"/>
      <w:r w:rsidRPr="00396276">
        <w:rPr>
          <w:rFonts w:ascii="David" w:eastAsiaTheme="minorHAnsi" w:hAnsi="Times New Roman" w:cs="David" w:hint="cs"/>
          <w:color w:val="000000"/>
          <w:sz w:val="24"/>
          <w:szCs w:val="24"/>
          <w:rtl/>
        </w:rPr>
        <w:t>עמ</w:t>
      </w:r>
      <w:proofErr w:type="spellEnd"/>
      <w:r w:rsidRPr="00396276">
        <w:rPr>
          <w:rFonts w:ascii="David" w:eastAsiaTheme="minorHAnsi" w:hAnsi="Times New Roman" w:cs="David" w:hint="cs"/>
          <w:color w:val="000000"/>
          <w:sz w:val="24"/>
          <w:szCs w:val="24"/>
          <w:rtl/>
        </w:rPr>
        <w:t>' 324.</w:t>
      </w:r>
    </w:p>
    <w:p w:rsidR="00396276" w:rsidRPr="00396276" w:rsidRDefault="00396276" w:rsidP="00396276">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 xml:space="preserve">ליקוי </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565" w:hanging="565"/>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8.</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לדעת משרד מבקר המדינה, מן הראוי שהליך הבחירה של חברי הוועדה - אשר לה תפקיד ציבורי חשוב למשק - יתועד, ובדרך זו גם ניתן יהיה לבדוק את תקינותו.</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מעקב</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 xml:space="preserve">8. </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 xml:space="preserve">לאחרונה גייסה הרשות לשורותיה עו"ד בתפקיד רשם הגבלים עסקיים. הרשם נמצא כעת בתהליך הכשרה בתוך הרשות בהנחיית היועץ המשפטי והכלכלן הראשי. הטיפול בכל סדרי העבודה מול הוועדה לפטורים ומיזוגים ומשרד התמ"ת, ובכלל זה יישום המלצות המבקר לעניין נהלי העבודה, ירוכזו במסגרת תחומי האחריות של הרשם. עם תום הליך ההכשרה, יפעל הרשם בתיאום עם </w:t>
      </w:r>
      <w:proofErr w:type="spellStart"/>
      <w:r w:rsidRPr="00396276">
        <w:rPr>
          <w:rFonts w:ascii="David" w:eastAsiaTheme="minorHAnsi" w:hAnsi="Times New Roman" w:cs="David" w:hint="cs"/>
          <w:color w:val="000000"/>
          <w:sz w:val="24"/>
          <w:szCs w:val="24"/>
          <w:rtl/>
        </w:rPr>
        <w:t>ממוניו</w:t>
      </w:r>
      <w:proofErr w:type="spellEnd"/>
      <w:r w:rsidRPr="00396276">
        <w:rPr>
          <w:rFonts w:ascii="David" w:eastAsiaTheme="minorHAnsi" w:hAnsi="Times New Roman" w:cs="David" w:hint="cs"/>
          <w:color w:val="000000"/>
          <w:sz w:val="24"/>
          <w:szCs w:val="24"/>
          <w:rtl/>
        </w:rPr>
        <w:t xml:space="preserve"> ליישום ההמלצות.</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ליקוי</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565" w:hanging="565"/>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 xml:space="preserve">10. </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 xml:space="preserve">לדעת משרד מבקר המדינה, מן הראוי כי הרשות תבחן אפשרות להורות לכלל העובדים להצהיר על נושאים שיש בהם חשש לניגוד עניינים ולעדכן את ההצהרות מפעם לפעם. במידת הצורך יש לקבוע הסדר למניעת ניגוד העניינים. הטעם לכך הוא כי העובדים נחשפים בעבודתם למידע רב על חברות ועסקים, חלקו סודי ורגיש. </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מעקב</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 xml:space="preserve">10. </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 xml:space="preserve">בעקבות הביקורת החלה הרשות לבחון דרכים ליישם את ההמלצה ובכלל זה אפשרות להרחיב את הנוהל בעניין הצהרה על ניגוד עניינים גם לעובדים זוטרים בהתאמות </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המתחייבות ותוך התייעצות עם נציבות שירות המדינה. לאור מורכבות הנושא, בחינתו טרם הסתיימה וההמלצה נמצאת בשלבי ישום.</w:t>
      </w:r>
    </w:p>
    <w:p w:rsidR="00396276" w:rsidRPr="00396276" w:rsidRDefault="00396276" w:rsidP="00396276">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 xml:space="preserve">ראה הערות רה"מ </w:t>
      </w:r>
      <w:proofErr w:type="spellStart"/>
      <w:r w:rsidRPr="00396276">
        <w:rPr>
          <w:rFonts w:ascii="David" w:eastAsiaTheme="minorHAnsi" w:hAnsi="Times New Roman" w:cs="David" w:hint="cs"/>
          <w:color w:val="000000"/>
          <w:sz w:val="24"/>
          <w:szCs w:val="24"/>
          <w:rtl/>
        </w:rPr>
        <w:t>60ב</w:t>
      </w:r>
      <w:proofErr w:type="spellEnd"/>
      <w:r w:rsidRPr="00396276">
        <w:rPr>
          <w:rFonts w:ascii="David" w:eastAsiaTheme="minorHAnsi" w:hAnsi="Times New Roman" w:cs="David" w:hint="cs"/>
          <w:color w:val="000000"/>
          <w:sz w:val="24"/>
          <w:szCs w:val="24"/>
          <w:rtl/>
        </w:rPr>
        <w:t xml:space="preserve">' </w:t>
      </w:r>
      <w:proofErr w:type="spellStart"/>
      <w:r w:rsidRPr="00396276">
        <w:rPr>
          <w:rFonts w:ascii="David" w:eastAsiaTheme="minorHAnsi" w:hAnsi="Times New Roman" w:cs="David" w:hint="cs"/>
          <w:color w:val="000000"/>
          <w:sz w:val="24"/>
          <w:szCs w:val="24"/>
          <w:rtl/>
        </w:rPr>
        <w:t>עמ</w:t>
      </w:r>
      <w:proofErr w:type="spellEnd"/>
      <w:r w:rsidRPr="00396276">
        <w:rPr>
          <w:rFonts w:ascii="David" w:eastAsiaTheme="minorHAnsi" w:hAnsi="Times New Roman" w:cs="David" w:hint="cs"/>
          <w:color w:val="000000"/>
          <w:sz w:val="24"/>
          <w:szCs w:val="24"/>
          <w:rtl/>
        </w:rPr>
        <w:t xml:space="preserve">' 326. </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396276" w:rsidRDefault="00396276" w:rsidP="00396276">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396276" w:rsidRDefault="00396276" w:rsidP="00396276">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ליקוי</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565" w:hanging="565"/>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 xml:space="preserve">11. </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 xml:space="preserve">על הרשות או נציבות שירות המדינה להוסיף ל"הצהרה על שמירת ידיעות" איסור על שימוש עצמי בידיעות, ולקבוע כללים לגבי השקעות בחברות או בעסקים שעובד מטפל בעניינם. </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 xml:space="preserve">מעקב </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 xml:space="preserve">11. </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בעקבות הביקורת החלה הרשות לבחון דרכים ליישם את ההמלצה ובכלל זה הרחבת הנוהל בנושא הצהרה על שמירת ידיעות והוספת איסור על שימוש עצמי בידיעות, וכן החלת כללים לגבי השקעות בחברות או בעסקים שעובד מטפל בעניינם. לאור מורכבות הנושא, בחינתו טרם הסתיימה וההמלצה נמצאת בשלבי ישום.</w:t>
      </w:r>
    </w:p>
    <w:p w:rsidR="00396276" w:rsidRPr="00396276" w:rsidRDefault="00396276" w:rsidP="00396276">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 xml:space="preserve">ראה הערות רה"מ </w:t>
      </w:r>
      <w:proofErr w:type="spellStart"/>
      <w:r w:rsidRPr="00396276">
        <w:rPr>
          <w:rFonts w:ascii="David" w:eastAsiaTheme="minorHAnsi" w:hAnsi="Times New Roman" w:cs="David" w:hint="cs"/>
          <w:color w:val="000000"/>
          <w:sz w:val="24"/>
          <w:szCs w:val="24"/>
          <w:rtl/>
        </w:rPr>
        <w:t>60ב</w:t>
      </w:r>
      <w:proofErr w:type="spellEnd"/>
      <w:r w:rsidRPr="00396276">
        <w:rPr>
          <w:rFonts w:ascii="David" w:eastAsiaTheme="minorHAnsi" w:hAnsi="Times New Roman" w:cs="David" w:hint="cs"/>
          <w:color w:val="000000"/>
          <w:sz w:val="24"/>
          <w:szCs w:val="24"/>
          <w:rtl/>
        </w:rPr>
        <w:t xml:space="preserve">' </w:t>
      </w:r>
      <w:proofErr w:type="spellStart"/>
      <w:r w:rsidRPr="00396276">
        <w:rPr>
          <w:rFonts w:ascii="David" w:eastAsiaTheme="minorHAnsi" w:hAnsi="Times New Roman" w:cs="David" w:hint="cs"/>
          <w:color w:val="000000"/>
          <w:sz w:val="24"/>
          <w:szCs w:val="24"/>
          <w:rtl/>
        </w:rPr>
        <w:t>עמ</w:t>
      </w:r>
      <w:proofErr w:type="spellEnd"/>
      <w:r w:rsidRPr="00396276">
        <w:rPr>
          <w:rFonts w:ascii="David" w:eastAsiaTheme="minorHAnsi" w:hAnsi="Times New Roman" w:cs="David" w:hint="cs"/>
          <w:color w:val="000000"/>
          <w:sz w:val="24"/>
          <w:szCs w:val="24"/>
          <w:rtl/>
        </w:rPr>
        <w:t xml:space="preserve">' 327. </w:t>
      </w:r>
    </w:p>
    <w:p w:rsidR="00396276" w:rsidRPr="00396276" w:rsidRDefault="00396276" w:rsidP="00396276">
      <w:pPr>
        <w:autoSpaceDE w:val="0"/>
        <w:autoSpaceDN w:val="0"/>
        <w:adjustRightInd w:val="0"/>
        <w:spacing w:after="0" w:line="288" w:lineRule="auto"/>
        <w:ind w:left="1132" w:hanging="1132"/>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 xml:space="preserve">מעקב </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נציבות שירות המדינה</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1132" w:hanging="1132"/>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 xml:space="preserve">11. </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 xml:space="preserve">נציבות שירות המדינה מדווחת כי רשות ההגבלים העסקיים בוחנת את הסוגיה בשיתוף עם הרשות לניירות ערך, ולכשתשלים עבודתה תפנה לנציבות שירות המדינה לעריכת עדכון בהתאם. </w:t>
      </w:r>
    </w:p>
    <w:p w:rsidR="00396276" w:rsidRPr="00396276" w:rsidRDefault="00396276" w:rsidP="00396276">
      <w:pPr>
        <w:autoSpaceDE w:val="0"/>
        <w:autoSpaceDN w:val="0"/>
        <w:adjustRightInd w:val="0"/>
        <w:spacing w:after="0" w:line="288" w:lineRule="auto"/>
        <w:ind w:left="1132" w:hanging="1132"/>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 xml:space="preserve">ראה הערות רה"מ </w:t>
      </w:r>
      <w:proofErr w:type="spellStart"/>
      <w:r w:rsidRPr="00396276">
        <w:rPr>
          <w:rFonts w:ascii="David" w:eastAsiaTheme="minorHAnsi" w:hAnsi="Times New Roman" w:cs="David" w:hint="cs"/>
          <w:color w:val="000000"/>
          <w:sz w:val="24"/>
          <w:szCs w:val="24"/>
          <w:rtl/>
        </w:rPr>
        <w:t>60ב</w:t>
      </w:r>
      <w:proofErr w:type="spellEnd"/>
      <w:r w:rsidRPr="00396276">
        <w:rPr>
          <w:rFonts w:ascii="David" w:eastAsiaTheme="minorHAnsi" w:hAnsi="Times New Roman" w:cs="David" w:hint="cs"/>
          <w:color w:val="000000"/>
          <w:sz w:val="24"/>
          <w:szCs w:val="24"/>
          <w:rtl/>
        </w:rPr>
        <w:t xml:space="preserve">' </w:t>
      </w:r>
      <w:proofErr w:type="spellStart"/>
      <w:r w:rsidRPr="00396276">
        <w:rPr>
          <w:rFonts w:ascii="David" w:eastAsiaTheme="minorHAnsi" w:hAnsi="Times New Roman" w:cs="David" w:hint="cs"/>
          <w:color w:val="000000"/>
          <w:sz w:val="24"/>
          <w:szCs w:val="24"/>
          <w:rtl/>
        </w:rPr>
        <w:t>עמ</w:t>
      </w:r>
      <w:proofErr w:type="spellEnd"/>
      <w:r w:rsidRPr="00396276">
        <w:rPr>
          <w:rFonts w:ascii="David" w:eastAsiaTheme="minorHAnsi" w:hAnsi="Times New Roman" w:cs="David" w:hint="cs"/>
          <w:color w:val="000000"/>
          <w:sz w:val="24"/>
          <w:szCs w:val="24"/>
          <w:rtl/>
        </w:rPr>
        <w:t>' 327.</w:t>
      </w:r>
    </w:p>
    <w:p w:rsidR="00396276" w:rsidRPr="00396276" w:rsidRDefault="00396276" w:rsidP="00396276">
      <w:pPr>
        <w:autoSpaceDE w:val="0"/>
        <w:autoSpaceDN w:val="0"/>
        <w:adjustRightInd w:val="0"/>
        <w:spacing w:after="0" w:line="288" w:lineRule="auto"/>
        <w:ind w:left="1132" w:hanging="1132"/>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ליקוי</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565" w:hanging="565"/>
        <w:jc w:val="both"/>
        <w:textAlignment w:val="center"/>
        <w:rPr>
          <w:rFonts w:ascii="David" w:eastAsiaTheme="minorHAnsi" w:hAnsi="Times New Roman" w:cs="David"/>
          <w:color w:val="FF0000"/>
          <w:sz w:val="24"/>
          <w:szCs w:val="24"/>
          <w:rtl/>
        </w:rPr>
      </w:pPr>
      <w:r w:rsidRPr="00396276">
        <w:rPr>
          <w:rFonts w:ascii="David" w:eastAsiaTheme="minorHAnsi" w:hAnsi="Times New Roman" w:cs="David" w:hint="cs"/>
          <w:color w:val="000000"/>
          <w:sz w:val="24"/>
          <w:szCs w:val="24"/>
          <w:rtl/>
        </w:rPr>
        <w:t>12.</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 xml:space="preserve">על הרשות להקפיד לפעול על פי כללי התקשי"ר. נוסף על כך מן הראוי </w:t>
      </w:r>
      <w:proofErr w:type="spellStart"/>
      <w:r w:rsidRPr="00396276">
        <w:rPr>
          <w:rFonts w:ascii="David" w:eastAsiaTheme="minorHAnsi" w:hAnsi="Times New Roman" w:cs="David" w:hint="cs"/>
          <w:color w:val="000000"/>
          <w:sz w:val="24"/>
          <w:szCs w:val="24"/>
          <w:rtl/>
        </w:rPr>
        <w:t>שנש"ם</w:t>
      </w:r>
      <w:proofErr w:type="spellEnd"/>
      <w:r w:rsidRPr="00396276">
        <w:rPr>
          <w:rFonts w:ascii="David" w:eastAsiaTheme="minorHAnsi" w:hAnsi="Times New Roman" w:cs="David" w:hint="cs"/>
          <w:color w:val="000000"/>
          <w:sz w:val="24"/>
          <w:szCs w:val="24"/>
          <w:rtl/>
        </w:rPr>
        <w:t xml:space="preserve"> והרשות יבחנו אם יש הצדקה להעסיק את כל העובדים המקצועיים לפי חוזים מיוחדים. כמו כן על </w:t>
      </w:r>
      <w:proofErr w:type="spellStart"/>
      <w:r w:rsidRPr="00396276">
        <w:rPr>
          <w:rFonts w:ascii="David" w:eastAsiaTheme="minorHAnsi" w:hAnsi="Times New Roman" w:cs="David" w:hint="cs"/>
          <w:color w:val="000000"/>
          <w:sz w:val="24"/>
          <w:szCs w:val="24"/>
          <w:rtl/>
        </w:rPr>
        <w:t>נש"ם</w:t>
      </w:r>
      <w:proofErr w:type="spellEnd"/>
      <w:r w:rsidRPr="00396276">
        <w:rPr>
          <w:rFonts w:ascii="David" w:eastAsiaTheme="minorHAnsi" w:hAnsi="Times New Roman" w:cs="David" w:hint="cs"/>
          <w:color w:val="000000"/>
          <w:sz w:val="24"/>
          <w:szCs w:val="24"/>
          <w:rtl/>
        </w:rPr>
        <w:t xml:space="preserve"> לפעול להעסקת העובדים המקצועיים על פי דירוגי השכר המתאימים להשכלתם, לניסיונם ולאופי עבודתם, באופן שיאפשר לרשות למלא את תפקידה</w:t>
      </w:r>
      <w:r w:rsidRPr="00396276">
        <w:rPr>
          <w:rFonts w:ascii="David" w:eastAsiaTheme="minorHAnsi" w:hAnsi="Times New Roman" w:cs="David" w:hint="cs"/>
          <w:color w:val="FF0000"/>
          <w:sz w:val="24"/>
          <w:szCs w:val="24"/>
          <w:rtl/>
        </w:rPr>
        <w:t>.</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color w:val="FF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מעקב</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רשות להגבלים עסקיים</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 xml:space="preserve">12. </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 xml:space="preserve">בחינת הנושא ברשות ומול נציבות שירות המדינה העלתה כי יש מקום להעסיק את כל העובדים המקצועיים בחוזה מיוחד וכי דירוגי השכר הנהוגים כיום תואמים את צרכי הרשות ומקובלים על </w:t>
      </w:r>
      <w:proofErr w:type="spellStart"/>
      <w:r w:rsidRPr="00396276">
        <w:rPr>
          <w:rFonts w:ascii="David" w:eastAsiaTheme="minorHAnsi" w:hAnsi="Times New Roman" w:cs="David" w:hint="cs"/>
          <w:color w:val="000000"/>
          <w:sz w:val="24"/>
          <w:szCs w:val="24"/>
          <w:rtl/>
        </w:rPr>
        <w:t>נש"מ</w:t>
      </w:r>
      <w:proofErr w:type="spellEnd"/>
      <w:r w:rsidRPr="00396276">
        <w:rPr>
          <w:rFonts w:ascii="David" w:eastAsiaTheme="minorHAnsi" w:hAnsi="Times New Roman" w:cs="David" w:hint="cs"/>
          <w:color w:val="000000"/>
          <w:sz w:val="24"/>
          <w:szCs w:val="24"/>
          <w:rtl/>
        </w:rPr>
        <w:t>.</w:t>
      </w:r>
    </w:p>
    <w:p w:rsidR="00396276" w:rsidRPr="00396276" w:rsidRDefault="00396276" w:rsidP="00396276">
      <w:pPr>
        <w:tabs>
          <w:tab w:val="left" w:pos="4146"/>
        </w:tab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 xml:space="preserve">מעקב </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נציבות שירות המדינה</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1132" w:hanging="1132"/>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 xml:space="preserve">12. </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העסקת עובדים בחוזים ברשות להגבלים עסקיים הינה כורח המציאות בשל מאפייני התפקידים, כישורי העובדים והיכולת לשמרם לאורך זמן במערכת המשפטית. כל סוגיית החוזים האישיים הינה סוגיה מורכבת שתבחן במסגרת מבנה ההעסקה, המשותפת לנציבות שירות המדינה, משרד האוצר וההסתדרות.</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396276" w:rsidRDefault="00396276" w:rsidP="00396276">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396276" w:rsidRDefault="00396276" w:rsidP="00396276">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396276" w:rsidRDefault="00396276" w:rsidP="00396276">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396276" w:rsidRDefault="00396276" w:rsidP="00396276">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ליקוי</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suppressAutoHyphens/>
        <w:autoSpaceDE w:val="0"/>
        <w:autoSpaceDN w:val="0"/>
        <w:adjustRightInd w:val="0"/>
        <w:spacing w:after="0" w:line="288" w:lineRule="auto"/>
        <w:ind w:left="565" w:hanging="565"/>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 xml:space="preserve"> 14.</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הרשות אחראית לשמירת התחרות העסקית במשק על פי סמכויותיה בחוק. מהדוח עולה כי יש צורך לשפר את יכולת האכיפה של הרשות ולהעצים את כוח ההרתעה שלה. לשם כך על הרשות לבחון דרכים נוספות לקצר את הליכי החקירה והאכיפה; להמשיך לפעול לקידום יזמתה להקנות לה סמכות אכיפה מהירה יותר - הטלת עיצום מינהלי; לגבש אמות מידה לקביעת סכום התשלום המוטל לפי צו מוסכם; להשלים את גיבושה של תכנית לאכיפת ביצוען של החלטות הממונה; להידרש לסוגיית החסינות ולבחון כיצד ניתן לעודד את הפנייה לרשות לצורך מסירת מידע על אודות קרטלים.</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מעקב</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96276">
        <w:rPr>
          <w:rFonts w:ascii="David" w:eastAsiaTheme="minorHAnsi" w:hAnsi="Times New Roman" w:cs="David" w:hint="cs"/>
          <w:b/>
          <w:bCs/>
          <w:color w:val="000000"/>
          <w:sz w:val="24"/>
          <w:szCs w:val="24"/>
          <w:rtl/>
        </w:rPr>
        <w:t>הרשות להגבלים עסקיים</w:t>
      </w:r>
    </w:p>
    <w:p w:rsidR="00396276" w:rsidRPr="00396276" w:rsidRDefault="00396276" w:rsidP="0039627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96276" w:rsidRPr="00396276" w:rsidRDefault="00396276" w:rsidP="00396276">
      <w:pPr>
        <w:tabs>
          <w:tab w:val="left" w:pos="4146"/>
        </w:tabs>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96276">
        <w:rPr>
          <w:rFonts w:ascii="David" w:eastAsiaTheme="minorHAnsi" w:hAnsi="Times New Roman" w:cs="David" w:hint="cs"/>
          <w:color w:val="000000"/>
          <w:sz w:val="24"/>
          <w:szCs w:val="24"/>
          <w:rtl/>
        </w:rPr>
        <w:t>14.</w:t>
      </w:r>
      <w:r w:rsidRPr="00396276">
        <w:rPr>
          <w:rFonts w:ascii="David" w:eastAsiaTheme="minorHAnsi" w:hAnsi="Times New Roman" w:cs="David"/>
          <w:color w:val="000000"/>
          <w:sz w:val="24"/>
          <w:szCs w:val="24"/>
          <w:rtl/>
        </w:rPr>
        <w:tab/>
      </w:r>
      <w:r w:rsidRPr="00396276">
        <w:rPr>
          <w:rFonts w:ascii="David" w:eastAsiaTheme="minorHAnsi" w:hAnsi="Times New Roman" w:cs="David" w:hint="cs"/>
          <w:color w:val="000000"/>
          <w:sz w:val="24"/>
          <w:szCs w:val="24"/>
          <w:rtl/>
        </w:rPr>
        <w:t xml:space="preserve">הממונה על הרשות להגבלים </w:t>
      </w:r>
      <w:proofErr w:type="spellStart"/>
      <w:r w:rsidRPr="00396276">
        <w:rPr>
          <w:rFonts w:ascii="David" w:eastAsiaTheme="minorHAnsi" w:hAnsi="Times New Roman" w:cs="David" w:hint="cs"/>
          <w:color w:val="000000"/>
          <w:sz w:val="24"/>
          <w:szCs w:val="24"/>
          <w:rtl/>
        </w:rPr>
        <w:t>עיסקיים</w:t>
      </w:r>
      <w:proofErr w:type="spellEnd"/>
      <w:r w:rsidRPr="00396276">
        <w:rPr>
          <w:rFonts w:ascii="David" w:eastAsiaTheme="minorHAnsi" w:hAnsi="Times New Roman" w:cs="David" w:hint="cs"/>
          <w:color w:val="000000"/>
          <w:sz w:val="24"/>
          <w:szCs w:val="24"/>
          <w:rtl/>
        </w:rPr>
        <w:t>, הורתה על הקמת צוות מעקב פנימי לבחינת ממצאי הדו"ח ודרכים ליישום ההמלצות לפי הצורך. הצוות קיים שורה של דיונים לצורך לימוד הממצאים המופיעים בדוח הביקורת והצעת דרכים אופרטיביות ליישומן. הצוות מעדכן את הממונה וחברי ההנהלה בהתקדמות התהליך באופן שוטף. לאור מורכבות חלק מהנושאים, בשלב זה טרם הסתיימה מלאכת הצוות, ודיוניו נמשכים.</w:t>
      </w:r>
    </w:p>
    <w:p w:rsidR="00B941B0" w:rsidRPr="00396276" w:rsidRDefault="00B941B0" w:rsidP="00396276"/>
    <w:sectPr w:rsidR="00B941B0" w:rsidRPr="00396276" w:rsidSect="00A720C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615" w:rsidRDefault="00156615" w:rsidP="00645133">
      <w:pPr>
        <w:spacing w:after="0" w:line="240" w:lineRule="auto"/>
      </w:pPr>
      <w:r>
        <w:separator/>
      </w:r>
    </w:p>
  </w:endnote>
  <w:endnote w:type="continuationSeparator" w:id="1">
    <w:p w:rsidR="00156615" w:rsidRDefault="00156615" w:rsidP="006451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734" w:rsidRDefault="00121734">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734" w:rsidRDefault="00121734">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734" w:rsidRDefault="00121734">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615" w:rsidRDefault="00156615" w:rsidP="00645133">
      <w:pPr>
        <w:spacing w:after="0" w:line="240" w:lineRule="auto"/>
      </w:pPr>
      <w:r>
        <w:separator/>
      </w:r>
    </w:p>
  </w:footnote>
  <w:footnote w:type="continuationSeparator" w:id="1">
    <w:p w:rsidR="00156615" w:rsidRDefault="00156615" w:rsidP="006451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734" w:rsidRDefault="00121734">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615" w:rsidRPr="0015787A" w:rsidRDefault="00232DC7" w:rsidP="00A202ED">
    <w:pPr>
      <w:pStyle w:val="a6"/>
      <w:jc w:val="right"/>
      <w:rPr>
        <w:sz w:val="18"/>
        <w:szCs w:val="18"/>
        <w:rtl/>
      </w:rPr>
    </w:pPr>
    <w:r w:rsidRPr="000C2D7C">
      <w:rPr>
        <w:sz w:val="18"/>
        <w:szCs w:val="18"/>
        <w:rtl/>
      </w:rPr>
      <w:fldChar w:fldCharType="begin"/>
    </w:r>
    <w:r w:rsidR="00156615" w:rsidRPr="000C2D7C">
      <w:rPr>
        <w:sz w:val="18"/>
        <w:szCs w:val="18"/>
        <w:rtl/>
      </w:rPr>
      <w:instrText xml:space="preserve"> </w:instrText>
    </w:r>
    <w:r w:rsidR="00156615" w:rsidRPr="000C2D7C">
      <w:rPr>
        <w:rFonts w:hint="cs"/>
        <w:sz w:val="18"/>
        <w:szCs w:val="18"/>
      </w:rPr>
      <w:instrText>TIME  \@ "HH:mm"  \* MERGEFORMAT</w:instrText>
    </w:r>
    <w:r w:rsidR="00156615" w:rsidRPr="000C2D7C">
      <w:rPr>
        <w:sz w:val="18"/>
        <w:szCs w:val="18"/>
        <w:rtl/>
      </w:rPr>
      <w:instrText xml:space="preserve"> </w:instrText>
    </w:r>
    <w:r w:rsidRPr="000C2D7C">
      <w:rPr>
        <w:sz w:val="18"/>
        <w:szCs w:val="18"/>
        <w:rtl/>
      </w:rPr>
      <w:fldChar w:fldCharType="separate"/>
    </w:r>
    <w:r w:rsidR="00396276">
      <w:rPr>
        <w:noProof/>
        <w:sz w:val="18"/>
        <w:szCs w:val="18"/>
        <w:rtl/>
      </w:rPr>
      <w:t>‏13:13</w:t>
    </w:r>
    <w:r w:rsidRPr="000C2D7C">
      <w:rPr>
        <w:sz w:val="18"/>
        <w:szCs w:val="18"/>
        <w:rtl/>
      </w:rPr>
      <w:fldChar w:fldCharType="end"/>
    </w:r>
    <w:r w:rsidR="00156615" w:rsidRPr="000C2D7C">
      <w:rPr>
        <w:rFonts w:hint="cs"/>
        <w:sz w:val="18"/>
        <w:szCs w:val="18"/>
        <w:rtl/>
      </w:rPr>
      <w:t xml:space="preserve">  </w:t>
    </w:r>
    <w:r w:rsidRPr="000C2D7C">
      <w:rPr>
        <w:sz w:val="18"/>
        <w:szCs w:val="18"/>
        <w:rtl/>
      </w:rPr>
      <w:fldChar w:fldCharType="begin"/>
    </w:r>
    <w:r w:rsidR="00156615" w:rsidRPr="000C2D7C">
      <w:rPr>
        <w:sz w:val="18"/>
        <w:szCs w:val="18"/>
        <w:rtl/>
      </w:rPr>
      <w:instrText xml:space="preserve"> </w:instrText>
    </w:r>
    <w:r w:rsidR="00156615" w:rsidRPr="000C2D7C">
      <w:rPr>
        <w:rFonts w:hint="cs"/>
        <w:sz w:val="18"/>
        <w:szCs w:val="18"/>
      </w:rPr>
      <w:instrText>DATE  \@ "yyyy-MM-dd"  \* MERGEFORMAT</w:instrText>
    </w:r>
    <w:r w:rsidR="00156615" w:rsidRPr="000C2D7C">
      <w:rPr>
        <w:sz w:val="18"/>
        <w:szCs w:val="18"/>
        <w:rtl/>
      </w:rPr>
      <w:instrText xml:space="preserve"> </w:instrText>
    </w:r>
    <w:r w:rsidRPr="000C2D7C">
      <w:rPr>
        <w:sz w:val="18"/>
        <w:szCs w:val="18"/>
        <w:rtl/>
      </w:rPr>
      <w:fldChar w:fldCharType="separate"/>
    </w:r>
    <w:r w:rsidR="00396276">
      <w:rPr>
        <w:noProof/>
        <w:sz w:val="18"/>
        <w:szCs w:val="18"/>
        <w:rtl/>
      </w:rPr>
      <w:t>‏2010–12–12</w:t>
    </w:r>
    <w:r w:rsidRPr="000C2D7C">
      <w:rPr>
        <w:sz w:val="18"/>
        <w:szCs w:val="18"/>
        <w:rtl/>
      </w:rPr>
      <w:fldChar w:fldCharType="end"/>
    </w:r>
    <w:r w:rsidR="00156615" w:rsidRPr="000C2D7C">
      <w:rPr>
        <w:rFonts w:hint="cs"/>
        <w:sz w:val="16"/>
        <w:szCs w:val="16"/>
        <w:rtl/>
      </w:rPr>
      <w:t xml:space="preserve">   </w:t>
    </w:r>
    <w:fldSimple w:instr=" FILENAME  \* FirstCap \p  \* MERGEFORMAT ">
      <w:r w:rsidR="00CB709A" w:rsidRPr="00CB709A">
        <w:rPr>
          <w:noProof/>
          <w:sz w:val="16"/>
          <w:szCs w:val="16"/>
        </w:rPr>
        <w:t>L</w:t>
      </w:r>
      <w:r w:rsidR="00CB709A" w:rsidRPr="00CB709A">
        <w:rPr>
          <w:noProof/>
          <w:sz w:val="22"/>
          <w:szCs w:val="22"/>
        </w:rPr>
        <w:t>:\</w:t>
      </w:r>
      <w:r w:rsidR="00CB709A" w:rsidRPr="00CB709A">
        <w:rPr>
          <w:noProof/>
          <w:sz w:val="22"/>
          <w:szCs w:val="22"/>
          <w:rtl/>
        </w:rPr>
        <w:t>הספר - מעקבים 60ב\סילבי\פעילות וסדרי מינהל</w:t>
      </w:r>
      <w:r w:rsidR="00CB709A" w:rsidRPr="00CB709A">
        <w:rPr>
          <w:noProof/>
          <w:sz w:val="22"/>
          <w:szCs w:val="22"/>
        </w:rPr>
        <w:t>.docx</w:t>
      </w:r>
    </w:fldSimple>
    <w:r w:rsidR="00156615" w:rsidRPr="000C2D7C">
      <w:rPr>
        <w:rFonts w:hint="cs"/>
        <w:sz w:val="16"/>
        <w:szCs w:val="16"/>
        <w:rtl/>
      </w:rPr>
      <w:t xml:space="preserve">    </w:t>
    </w:r>
    <w:r w:rsidR="00156615" w:rsidRPr="00E14CCD">
      <w:rPr>
        <w:rFonts w:hint="cs"/>
        <w:sz w:val="20"/>
        <w:szCs w:val="20"/>
        <w:rtl/>
      </w:rPr>
      <w:t>-</w:t>
    </w:r>
    <w:r w:rsidRPr="00E14CCD">
      <w:rPr>
        <w:sz w:val="20"/>
        <w:szCs w:val="20"/>
        <w:rtl/>
      </w:rPr>
      <w:fldChar w:fldCharType="begin"/>
    </w:r>
    <w:r w:rsidR="00156615" w:rsidRPr="00E14CCD">
      <w:rPr>
        <w:sz w:val="20"/>
        <w:szCs w:val="20"/>
        <w:rtl/>
      </w:rPr>
      <w:instrText xml:space="preserve"> </w:instrText>
    </w:r>
    <w:r w:rsidR="00156615" w:rsidRPr="00E14CCD">
      <w:rPr>
        <w:sz w:val="20"/>
        <w:szCs w:val="20"/>
      </w:rPr>
      <w:instrText>PAGE   \* MERGEFORMAT</w:instrText>
    </w:r>
    <w:r w:rsidR="00156615" w:rsidRPr="00E14CCD">
      <w:rPr>
        <w:sz w:val="20"/>
        <w:szCs w:val="20"/>
        <w:rtl/>
      </w:rPr>
      <w:instrText xml:space="preserve"> </w:instrText>
    </w:r>
    <w:r w:rsidRPr="00E14CCD">
      <w:rPr>
        <w:sz w:val="20"/>
        <w:szCs w:val="20"/>
        <w:rtl/>
      </w:rPr>
      <w:fldChar w:fldCharType="separate"/>
    </w:r>
    <w:r w:rsidR="00396276">
      <w:rPr>
        <w:noProof/>
        <w:sz w:val="20"/>
        <w:szCs w:val="20"/>
        <w:rtl/>
      </w:rPr>
      <w:t>5</w:t>
    </w:r>
    <w:r w:rsidRPr="00E14CCD">
      <w:rPr>
        <w:sz w:val="20"/>
        <w:szCs w:val="20"/>
        <w:rtl/>
      </w:rPr>
      <w:fldChar w:fldCharType="end"/>
    </w:r>
    <w:r w:rsidR="00156615" w:rsidRPr="00E14CCD">
      <w:rPr>
        <w:rFonts w:hint="cs"/>
        <w:sz w:val="20"/>
        <w:szCs w:val="20"/>
        <w:rtl/>
      </w:rPr>
      <w:t>-</w:t>
    </w:r>
  </w:p>
  <w:p w:rsidR="00156615" w:rsidRDefault="00156615" w:rsidP="00645133">
    <w:pPr>
      <w:pStyle w:val="a6"/>
      <w:rPr>
        <w:sz w:val="20"/>
        <w:szCs w:val="20"/>
        <w:u w:val="single"/>
        <w:rtl/>
      </w:rPr>
    </w:pPr>
  </w:p>
  <w:p w:rsidR="00156615" w:rsidRPr="00E14CCD" w:rsidRDefault="00156615" w:rsidP="00C60C4B">
    <w:pPr>
      <w:tabs>
        <w:tab w:val="left" w:pos="1316"/>
        <w:tab w:val="center" w:pos="4153"/>
      </w:tabs>
      <w:rPr>
        <w:rFonts w:cs="David"/>
        <w:sz w:val="20"/>
        <w:szCs w:val="20"/>
        <w:u w:val="single"/>
        <w:rtl/>
      </w:rPr>
    </w:pPr>
    <w:r w:rsidRPr="004A7E3B">
      <w:rPr>
        <w:rFonts w:cs="David" w:hint="cs"/>
        <w:sz w:val="18"/>
        <w:szCs w:val="18"/>
        <w:u w:val="single"/>
        <w:rtl/>
      </w:rPr>
      <w:t xml:space="preserve">מעקב אחר תיקון ליקויים, אגף המפקח הכללי לענייני ביקורת המדינה       </w:t>
    </w:r>
    <w:r w:rsidRPr="004A7E3B">
      <w:rPr>
        <w:rFonts w:hint="cs"/>
        <w:sz w:val="18"/>
        <w:szCs w:val="18"/>
        <w:u w:val="single"/>
        <w:rtl/>
      </w:rPr>
      <w:t xml:space="preserve">  </w:t>
    </w:r>
    <w:r w:rsidRPr="004A7E3B">
      <w:rPr>
        <w:rFonts w:cs="David" w:hint="cs"/>
        <w:sz w:val="18"/>
        <w:szCs w:val="18"/>
        <w:u w:val="single"/>
        <w:rtl/>
      </w:rPr>
      <w:t xml:space="preserve">  </w:t>
    </w:r>
    <w:r w:rsidRPr="004A7E3B">
      <w:rPr>
        <w:rFonts w:cs="David" w:hint="cs"/>
        <w:sz w:val="20"/>
        <w:szCs w:val="20"/>
        <w:u w:val="single"/>
        <w:rtl/>
      </w:rPr>
      <w:t xml:space="preserve">    </w:t>
    </w:r>
    <w:r>
      <w:rPr>
        <w:rFonts w:cs="David" w:hint="cs"/>
        <w:sz w:val="20"/>
        <w:szCs w:val="20"/>
        <w:u w:val="single"/>
        <w:rtl/>
      </w:rPr>
      <w:t xml:space="preserve"> </w:t>
    </w:r>
    <w:r w:rsidRPr="004A7E3B">
      <w:rPr>
        <w:rFonts w:cs="David" w:hint="cs"/>
        <w:sz w:val="20"/>
        <w:szCs w:val="20"/>
        <w:u w:val="single"/>
        <w:rtl/>
      </w:rPr>
      <w:t xml:space="preserve">           </w:t>
    </w:r>
    <w:sdt>
      <w:sdtPr>
        <w:rPr>
          <w:rFonts w:cs="David" w:hint="cs"/>
          <w:sz w:val="20"/>
          <w:szCs w:val="20"/>
          <w:u w:val="single"/>
          <w:rtl/>
        </w:rPr>
        <w:id w:val="605224610"/>
        <w:placeholder>
          <w:docPart w:val="FF7AB4014152406E9142D7D8A08ED1C8"/>
        </w:placeholder>
      </w:sdtPr>
      <w:sdtEndPr>
        <w:rPr>
          <w:rFonts w:hint="default"/>
        </w:rPr>
      </w:sdtEndPr>
      <w:sdtContent>
        <w:r>
          <w:rPr>
            <w:rFonts w:cs="David" w:hint="cs"/>
            <w:sz w:val="20"/>
            <w:szCs w:val="20"/>
            <w:u w:val="single"/>
            <w:rtl/>
          </w:rPr>
          <w:t>משרד התעשייה, המסחר והתעסוקה</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734" w:rsidRDefault="00121734">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45065C3"/>
    <w:multiLevelType w:val="hybridMultilevel"/>
    <w:tmpl w:val="682034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8">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2">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3">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6">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6"/>
  </w:num>
  <w:num w:numId="2">
    <w:abstractNumId w:val="17"/>
  </w:num>
  <w:num w:numId="3">
    <w:abstractNumId w:val="35"/>
  </w:num>
  <w:num w:numId="4">
    <w:abstractNumId w:val="28"/>
  </w:num>
  <w:num w:numId="5">
    <w:abstractNumId w:val="39"/>
  </w:num>
  <w:num w:numId="6">
    <w:abstractNumId w:val="4"/>
  </w:num>
  <w:num w:numId="7">
    <w:abstractNumId w:val="6"/>
  </w:num>
  <w:num w:numId="8">
    <w:abstractNumId w:val="45"/>
  </w:num>
  <w:num w:numId="9">
    <w:abstractNumId w:val="21"/>
  </w:num>
  <w:num w:numId="10">
    <w:abstractNumId w:val="41"/>
  </w:num>
  <w:num w:numId="11">
    <w:abstractNumId w:val="9"/>
  </w:num>
  <w:num w:numId="12">
    <w:abstractNumId w:val="12"/>
  </w:num>
  <w:num w:numId="13">
    <w:abstractNumId w:val="23"/>
  </w:num>
  <w:num w:numId="14">
    <w:abstractNumId w:val="3"/>
  </w:num>
  <w:num w:numId="15">
    <w:abstractNumId w:val="24"/>
  </w:num>
  <w:num w:numId="16">
    <w:abstractNumId w:val="25"/>
  </w:num>
  <w:num w:numId="17">
    <w:abstractNumId w:val="40"/>
  </w:num>
  <w:num w:numId="18">
    <w:abstractNumId w:val="29"/>
  </w:num>
  <w:num w:numId="19">
    <w:abstractNumId w:val="38"/>
  </w:num>
  <w:num w:numId="20">
    <w:abstractNumId w:val="43"/>
  </w:num>
  <w:num w:numId="21">
    <w:abstractNumId w:val="34"/>
  </w:num>
  <w:num w:numId="22">
    <w:abstractNumId w:val="14"/>
  </w:num>
  <w:num w:numId="23">
    <w:abstractNumId w:val="30"/>
  </w:num>
  <w:num w:numId="24">
    <w:abstractNumId w:val="13"/>
  </w:num>
  <w:num w:numId="25">
    <w:abstractNumId w:val="22"/>
  </w:num>
  <w:num w:numId="26">
    <w:abstractNumId w:val="27"/>
  </w:num>
  <w:num w:numId="27">
    <w:abstractNumId w:val="11"/>
  </w:num>
  <w:num w:numId="28">
    <w:abstractNumId w:val="37"/>
  </w:num>
  <w:num w:numId="29">
    <w:abstractNumId w:val="0"/>
  </w:num>
  <w:num w:numId="30">
    <w:abstractNumId w:val="15"/>
  </w:num>
  <w:num w:numId="31">
    <w:abstractNumId w:val="42"/>
  </w:num>
  <w:num w:numId="32">
    <w:abstractNumId w:val="18"/>
  </w:num>
  <w:num w:numId="33">
    <w:abstractNumId w:val="7"/>
  </w:num>
  <w:num w:numId="34">
    <w:abstractNumId w:val="32"/>
  </w:num>
  <w:num w:numId="35">
    <w:abstractNumId w:val="1"/>
  </w:num>
  <w:num w:numId="36">
    <w:abstractNumId w:val="20"/>
  </w:num>
  <w:num w:numId="37">
    <w:abstractNumId w:val="31"/>
  </w:num>
  <w:num w:numId="38">
    <w:abstractNumId w:val="33"/>
  </w:num>
  <w:num w:numId="39">
    <w:abstractNumId w:val="16"/>
  </w:num>
  <w:num w:numId="40">
    <w:abstractNumId w:val="8"/>
  </w:num>
  <w:num w:numId="41">
    <w:abstractNumId w:val="10"/>
  </w:num>
  <w:num w:numId="42">
    <w:abstractNumId w:val="26"/>
  </w:num>
  <w:num w:numId="43">
    <w:abstractNumId w:val="46"/>
  </w:num>
  <w:num w:numId="44">
    <w:abstractNumId w:val="19"/>
  </w:num>
  <w:num w:numId="45">
    <w:abstractNumId w:val="44"/>
  </w:num>
  <w:num w:numId="46">
    <w:abstractNumId w:val="2"/>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645133"/>
    <w:rsid w:val="00023082"/>
    <w:rsid w:val="000517C0"/>
    <w:rsid w:val="000B0363"/>
    <w:rsid w:val="000C2D7C"/>
    <w:rsid w:val="000C73E7"/>
    <w:rsid w:val="00121734"/>
    <w:rsid w:val="00156615"/>
    <w:rsid w:val="00230550"/>
    <w:rsid w:val="00232DC7"/>
    <w:rsid w:val="00270CA0"/>
    <w:rsid w:val="00396276"/>
    <w:rsid w:val="004632F6"/>
    <w:rsid w:val="004767F7"/>
    <w:rsid w:val="004E5F31"/>
    <w:rsid w:val="005012B7"/>
    <w:rsid w:val="00515DA4"/>
    <w:rsid w:val="005F0014"/>
    <w:rsid w:val="00645133"/>
    <w:rsid w:val="00652C1C"/>
    <w:rsid w:val="006C45F9"/>
    <w:rsid w:val="007D1443"/>
    <w:rsid w:val="00855861"/>
    <w:rsid w:val="00896C91"/>
    <w:rsid w:val="008D32D4"/>
    <w:rsid w:val="009A26BD"/>
    <w:rsid w:val="009C0851"/>
    <w:rsid w:val="00A202ED"/>
    <w:rsid w:val="00A720CC"/>
    <w:rsid w:val="00B1497E"/>
    <w:rsid w:val="00B72B44"/>
    <w:rsid w:val="00B83B61"/>
    <w:rsid w:val="00B941B0"/>
    <w:rsid w:val="00C60C4B"/>
    <w:rsid w:val="00C76D8A"/>
    <w:rsid w:val="00C80330"/>
    <w:rsid w:val="00CA535A"/>
    <w:rsid w:val="00CA7B6C"/>
    <w:rsid w:val="00CB1FA8"/>
    <w:rsid w:val="00CB709A"/>
    <w:rsid w:val="00D16A8B"/>
    <w:rsid w:val="00D51E4A"/>
    <w:rsid w:val="00D957C3"/>
    <w:rsid w:val="00E12528"/>
    <w:rsid w:val="00E24FEE"/>
    <w:rsid w:val="00EB793A"/>
    <w:rsid w:val="00F503E5"/>
    <w:rsid w:val="00F6328E"/>
    <w:rsid w:val="00F94BC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133"/>
    <w:pPr>
      <w:bidi/>
    </w:pPr>
    <w:rPr>
      <w:rFonts w:ascii="Calibri" w:eastAsia="Times New Roman" w:hAnsi="Calibri" w:cs="Arial"/>
    </w:rPr>
  </w:style>
  <w:style w:type="paragraph" w:styleId="1">
    <w:name w:val="heading 1"/>
    <w:basedOn w:val="a"/>
    <w:next w:val="a"/>
    <w:link w:val="10"/>
    <w:qFormat/>
    <w:rsid w:val="00645133"/>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645133"/>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645133"/>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645133"/>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645133"/>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645133"/>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645133"/>
    <w:rPr>
      <w:rFonts w:ascii="Times New Roman" w:eastAsia="Calibri" w:hAnsi="Times New Roman" w:cs="David"/>
      <w:b/>
      <w:bCs/>
      <w:kern w:val="32"/>
      <w:sz w:val="32"/>
      <w:szCs w:val="36"/>
      <w:u w:val="single"/>
      <w:lang w:eastAsia="he-IL"/>
    </w:rPr>
  </w:style>
  <w:style w:type="character" w:customStyle="1" w:styleId="20">
    <w:name w:val="כותרת 2 תו"/>
    <w:basedOn w:val="a0"/>
    <w:link w:val="2"/>
    <w:rsid w:val="00645133"/>
    <w:rPr>
      <w:rFonts w:ascii="Cambria" w:eastAsia="Calibri" w:hAnsi="Cambria" w:cs="Times New Roman"/>
      <w:b/>
      <w:bCs/>
      <w:color w:val="4F81BD"/>
      <w:sz w:val="26"/>
      <w:szCs w:val="26"/>
    </w:rPr>
  </w:style>
  <w:style w:type="character" w:customStyle="1" w:styleId="30">
    <w:name w:val="כותרת 3 תו"/>
    <w:basedOn w:val="a0"/>
    <w:link w:val="3"/>
    <w:rsid w:val="00645133"/>
    <w:rPr>
      <w:rFonts w:ascii="Cambria" w:eastAsia="Calibri" w:hAnsi="Cambria" w:cs="Times New Roman"/>
      <w:b/>
      <w:bCs/>
      <w:color w:val="4F81BD"/>
    </w:rPr>
  </w:style>
  <w:style w:type="character" w:customStyle="1" w:styleId="40">
    <w:name w:val="כותרת 4 תו"/>
    <w:basedOn w:val="a0"/>
    <w:link w:val="4"/>
    <w:rsid w:val="00645133"/>
    <w:rPr>
      <w:rFonts w:ascii="Cambria" w:eastAsia="Calibri" w:hAnsi="Cambria" w:cs="Times New Roman"/>
      <w:b/>
      <w:bCs/>
      <w:i/>
      <w:iCs/>
      <w:color w:val="4F81BD"/>
    </w:rPr>
  </w:style>
  <w:style w:type="character" w:customStyle="1" w:styleId="50">
    <w:name w:val="כותרת 5 תו"/>
    <w:basedOn w:val="a0"/>
    <w:link w:val="5"/>
    <w:rsid w:val="00645133"/>
    <w:rPr>
      <w:rFonts w:ascii="Cambria" w:eastAsia="Calibri" w:hAnsi="Cambria" w:cs="Times New Roman"/>
      <w:color w:val="243F60"/>
      <w:sz w:val="20"/>
      <w:szCs w:val="24"/>
      <w:lang w:eastAsia="he-IL"/>
    </w:rPr>
  </w:style>
  <w:style w:type="character" w:customStyle="1" w:styleId="70">
    <w:name w:val="כותרת 7 תו"/>
    <w:basedOn w:val="a0"/>
    <w:link w:val="7"/>
    <w:rsid w:val="00645133"/>
    <w:rPr>
      <w:rFonts w:ascii="Times New Roman" w:eastAsia="Calibri" w:hAnsi="Times New Roman" w:cs="David"/>
      <w:b/>
      <w:bCs/>
      <w:spacing w:val="40"/>
      <w:sz w:val="24"/>
      <w:szCs w:val="24"/>
      <w:lang w:eastAsia="he-IL"/>
    </w:rPr>
  </w:style>
  <w:style w:type="paragraph" w:styleId="a3">
    <w:name w:val="caption"/>
    <w:basedOn w:val="a"/>
    <w:next w:val="a"/>
    <w:qFormat/>
    <w:rsid w:val="00645133"/>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645133"/>
    <w:pPr>
      <w:spacing w:after="0" w:line="240" w:lineRule="auto"/>
    </w:pPr>
    <w:rPr>
      <w:rFonts w:ascii="Tahoma" w:hAnsi="Tahoma" w:cs="Tahoma"/>
      <w:sz w:val="16"/>
      <w:szCs w:val="16"/>
    </w:rPr>
  </w:style>
  <w:style w:type="character" w:customStyle="1" w:styleId="a5">
    <w:name w:val="טקסט בלונים תו"/>
    <w:basedOn w:val="a0"/>
    <w:link w:val="a4"/>
    <w:semiHidden/>
    <w:rsid w:val="00645133"/>
    <w:rPr>
      <w:rFonts w:ascii="Tahoma" w:eastAsia="Times New Roman" w:hAnsi="Tahoma" w:cs="Tahoma"/>
      <w:sz w:val="16"/>
      <w:szCs w:val="16"/>
    </w:rPr>
  </w:style>
  <w:style w:type="paragraph" w:customStyle="1" w:styleId="11">
    <w:name w:val="פיסקת רשימה1"/>
    <w:basedOn w:val="a"/>
    <w:rsid w:val="00645133"/>
    <w:pPr>
      <w:ind w:left="720"/>
      <w:contextualSpacing/>
    </w:pPr>
  </w:style>
  <w:style w:type="paragraph" w:styleId="a6">
    <w:name w:val="header"/>
    <w:basedOn w:val="a"/>
    <w:link w:val="a7"/>
    <w:rsid w:val="00645133"/>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uiPriority w:val="99"/>
    <w:rsid w:val="00645133"/>
    <w:rPr>
      <w:rFonts w:ascii="Times New Roman" w:eastAsia="Calibri" w:hAnsi="Times New Roman" w:cs="David"/>
      <w:iCs/>
      <w:sz w:val="24"/>
      <w:szCs w:val="24"/>
      <w:lang w:eastAsia="he-IL"/>
    </w:rPr>
  </w:style>
  <w:style w:type="paragraph" w:styleId="a8">
    <w:name w:val="footer"/>
    <w:basedOn w:val="a"/>
    <w:link w:val="a9"/>
    <w:semiHidden/>
    <w:rsid w:val="00645133"/>
    <w:pPr>
      <w:tabs>
        <w:tab w:val="center" w:pos="4153"/>
        <w:tab w:val="right" w:pos="8306"/>
      </w:tabs>
      <w:spacing w:after="0" w:line="240" w:lineRule="auto"/>
    </w:pPr>
  </w:style>
  <w:style w:type="character" w:customStyle="1" w:styleId="a9">
    <w:name w:val="כותרת תחתונה תו"/>
    <w:basedOn w:val="a0"/>
    <w:link w:val="a8"/>
    <w:semiHidden/>
    <w:rsid w:val="00645133"/>
    <w:rPr>
      <w:rFonts w:ascii="Calibri" w:eastAsia="Times New Roman" w:hAnsi="Calibri" w:cs="Arial"/>
    </w:rPr>
  </w:style>
  <w:style w:type="character" w:customStyle="1" w:styleId="21">
    <w:name w:val="תו תו2"/>
    <w:basedOn w:val="a0"/>
    <w:rsid w:val="00645133"/>
    <w:rPr>
      <w:rFonts w:cs="David"/>
      <w:b/>
      <w:bCs/>
      <w:spacing w:val="40"/>
      <w:sz w:val="24"/>
      <w:szCs w:val="24"/>
      <w:lang w:val="en-US" w:eastAsia="he-IL" w:bidi="he-IL"/>
    </w:rPr>
  </w:style>
  <w:style w:type="paragraph" w:customStyle="1" w:styleId="aa">
    <w:name w:val="נבנצלים"/>
    <w:basedOn w:val="a"/>
    <w:next w:val="a"/>
    <w:link w:val="ab"/>
    <w:rsid w:val="00645133"/>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rsid w:val="00645133"/>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645133"/>
    <w:rPr>
      <w:rFonts w:ascii="Times New Roman" w:eastAsia="Calibri" w:hAnsi="Times New Roman" w:cs="David"/>
      <w:sz w:val="20"/>
      <w:szCs w:val="20"/>
      <w:lang w:eastAsia="he-IL"/>
    </w:rPr>
  </w:style>
  <w:style w:type="character" w:styleId="ac">
    <w:name w:val="footnote reference"/>
    <w:basedOn w:val="a0"/>
    <w:semiHidden/>
    <w:rsid w:val="00645133"/>
    <w:rPr>
      <w:rFonts w:cs="Times New Roman"/>
      <w:vertAlign w:val="superscript"/>
    </w:rPr>
  </w:style>
  <w:style w:type="paragraph" w:styleId="NormalWeb">
    <w:name w:val="Normal (Web)"/>
    <w:basedOn w:val="a"/>
    <w:semiHidden/>
    <w:rsid w:val="00645133"/>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645133"/>
    <w:rPr>
      <w:rFonts w:ascii="Times New Roman" w:hAnsi="Times New Roman" w:cs="David"/>
      <w:b/>
      <w:bCs/>
      <w:spacing w:val="40"/>
      <w:sz w:val="24"/>
      <w:szCs w:val="24"/>
      <w:lang w:eastAsia="he-IL" w:bidi="he-IL"/>
    </w:rPr>
  </w:style>
  <w:style w:type="paragraph" w:styleId="ad">
    <w:name w:val="footnote text"/>
    <w:basedOn w:val="a"/>
    <w:link w:val="ae"/>
    <w:semiHidden/>
    <w:rsid w:val="00645133"/>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645133"/>
    <w:rPr>
      <w:rFonts w:ascii="Times New Roman" w:eastAsia="Calibri" w:hAnsi="Times New Roman" w:cs="David"/>
      <w:sz w:val="24"/>
      <w:szCs w:val="20"/>
      <w:lang w:eastAsia="he-IL"/>
    </w:rPr>
  </w:style>
  <w:style w:type="character" w:styleId="af">
    <w:name w:val="annotation reference"/>
    <w:basedOn w:val="a0"/>
    <w:semiHidden/>
    <w:rsid w:val="00645133"/>
    <w:rPr>
      <w:rFonts w:ascii="Times New Roman" w:hAnsi="Times New Roman" w:cs="Times New Roman"/>
      <w:sz w:val="16"/>
      <w:szCs w:val="16"/>
    </w:rPr>
  </w:style>
  <w:style w:type="table" w:styleId="af0">
    <w:name w:val="Table Grid"/>
    <w:basedOn w:val="a1"/>
    <w:rsid w:val="00645133"/>
    <w:pPr>
      <w:widowControl w:val="0"/>
      <w:bidi/>
      <w:spacing w:after="0"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כותרת מאמר-נטוי"/>
    <w:basedOn w:val="a"/>
    <w:uiPriority w:val="99"/>
    <w:rsid w:val="00396276"/>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f1">
    <w:name w:val="כותרת מאמר"/>
    <w:basedOn w:val="a"/>
    <w:uiPriority w:val="99"/>
    <w:rsid w:val="00396276"/>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7AB4014152406E9142D7D8A08ED1C8"/>
        <w:category>
          <w:name w:val="כללי"/>
          <w:gallery w:val="placeholder"/>
        </w:category>
        <w:types>
          <w:type w:val="bbPlcHdr"/>
        </w:types>
        <w:behaviors>
          <w:behavior w:val="content"/>
        </w:behaviors>
        <w:guid w:val="{E88C3B76-43F1-4315-90F5-B8052AC9F3B4}"/>
      </w:docPartPr>
      <w:docPartBody>
        <w:p w:rsidR="00E52B59" w:rsidRDefault="0060543F" w:rsidP="0060543F">
          <w:pPr>
            <w:pStyle w:val="FF7AB4014152406E9142D7D8A08ED1C8"/>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543F"/>
    <w:rsid w:val="0013085F"/>
    <w:rsid w:val="003C3849"/>
    <w:rsid w:val="00565A6E"/>
    <w:rsid w:val="0060543F"/>
    <w:rsid w:val="00661B63"/>
    <w:rsid w:val="00A933B5"/>
    <w:rsid w:val="00AA5CB8"/>
    <w:rsid w:val="00B020CB"/>
    <w:rsid w:val="00C1601A"/>
    <w:rsid w:val="00D01978"/>
    <w:rsid w:val="00DF2A60"/>
    <w:rsid w:val="00E52B5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B59"/>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543F"/>
    <w:rPr>
      <w:color w:val="808080"/>
    </w:rPr>
  </w:style>
  <w:style w:type="paragraph" w:customStyle="1" w:styleId="FF7AB4014152406E9142D7D8A08ED1C8">
    <w:name w:val="FF7AB4014152406E9142D7D8A08ED1C8"/>
    <w:rsid w:val="0060543F"/>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1314</Words>
  <Characters>6570</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7869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silviam</dc:creator>
  <cp:keywords/>
  <dc:description/>
  <cp:lastModifiedBy>AMD1</cp:lastModifiedBy>
  <cp:revision>2</cp:revision>
  <cp:lastPrinted>2010-10-17T08:47:00Z</cp:lastPrinted>
  <dcterms:created xsi:type="dcterms:W3CDTF">2010-12-12T11:15:00Z</dcterms:created>
  <dcterms:modified xsi:type="dcterms:W3CDTF">2010-12-12T11:15:00Z</dcterms:modified>
</cp:coreProperties>
</file>