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6C" w:rsidRDefault="008C276C" w:rsidP="008C276C">
      <w:pPr>
        <w:pStyle w:val="aa"/>
        <w:rPr>
          <w:rtl/>
        </w:rPr>
      </w:pPr>
      <w:r>
        <w:rPr>
          <w:rFonts w:hint="cs"/>
          <w:rtl/>
        </w:rPr>
        <w:t>הטיפול באלימות כלפי עובדי ציבור</w:t>
      </w:r>
    </w:p>
    <w:p w:rsidR="008C276C" w:rsidRDefault="008C276C" w:rsidP="008C276C">
      <w:pPr>
        <w:pStyle w:val="60"/>
        <w:rPr>
          <w:rtl/>
        </w:rPr>
      </w:pPr>
      <w:r>
        <w:rPr>
          <w:rFonts w:hint="cs"/>
          <w:rtl/>
        </w:rPr>
        <w:t>דוח 60ב'</w:t>
      </w:r>
    </w:p>
    <w:p w:rsidR="008C276C" w:rsidRDefault="008C276C" w:rsidP="008C276C">
      <w:pPr>
        <w:pStyle w:val="ab"/>
        <w:rPr>
          <w:rtl/>
        </w:rPr>
      </w:pPr>
    </w:p>
    <w:p w:rsidR="008C276C" w:rsidRDefault="008C276C" w:rsidP="008C276C">
      <w:pPr>
        <w:pStyle w:val="ac"/>
        <w:rPr>
          <w:rtl/>
        </w:rPr>
      </w:pPr>
      <w:r>
        <w:rPr>
          <w:rFonts w:hint="cs"/>
          <w:rtl/>
        </w:rPr>
        <w:t>החלטה מספר בק/15 מיום 18.4.2010</w:t>
      </w:r>
    </w:p>
    <w:p w:rsidR="008C276C" w:rsidRDefault="008C276C" w:rsidP="008C276C">
      <w:pPr>
        <w:pStyle w:val="ad"/>
        <w:rPr>
          <w:rtl/>
        </w:rPr>
      </w:pPr>
      <w:r>
        <w:rPr>
          <w:rFonts w:hint="cs"/>
          <w:rtl/>
        </w:rPr>
        <w:t>מחליטים:</w:t>
      </w:r>
    </w:p>
    <w:p w:rsidR="008C276C" w:rsidRDefault="008C276C" w:rsidP="008C276C">
      <w:pPr>
        <w:pStyle w:val="ae"/>
        <w:rPr>
          <w:rtl/>
        </w:rPr>
      </w:pPr>
      <w:r>
        <w:rPr>
          <w:rFonts w:hint="cs"/>
          <w:rtl/>
        </w:rPr>
        <w:t>1. משרדי הבריאות והרווחה ושירותים החברתיים ינקטו בפעולות הבאות:</w:t>
      </w:r>
    </w:p>
    <w:p w:rsidR="008C276C" w:rsidRDefault="008C276C" w:rsidP="008C276C">
      <w:pPr>
        <w:pStyle w:val="ab"/>
        <w:ind w:left="283"/>
        <w:rPr>
          <w:rtl/>
        </w:rPr>
      </w:pPr>
      <w:r>
        <w:rPr>
          <w:rFonts w:hint="cs"/>
          <w:rtl/>
        </w:rPr>
        <w:t>א.</w:t>
      </w:r>
      <w:r>
        <w:rPr>
          <w:rtl/>
        </w:rPr>
        <w:tab/>
      </w:r>
      <w:r>
        <w:rPr>
          <w:rFonts w:hint="cs"/>
          <w:rtl/>
        </w:rPr>
        <w:t>הטמעת חשיבות הדיווח על אירועי אלימות בקרב עובדי הציבור.</w:t>
      </w:r>
    </w:p>
    <w:p w:rsidR="008C276C" w:rsidRDefault="008C276C" w:rsidP="008C276C">
      <w:pPr>
        <w:pStyle w:val="ab"/>
        <w:ind w:left="283"/>
        <w:rPr>
          <w:rtl/>
        </w:rPr>
      </w:pPr>
      <w:r>
        <w:rPr>
          <w:rFonts w:hint="cs"/>
          <w:rtl/>
        </w:rPr>
        <w:t>ב.</w:t>
      </w:r>
      <w:r>
        <w:rPr>
          <w:rtl/>
        </w:rPr>
        <w:tab/>
      </w:r>
      <w:r>
        <w:rPr>
          <w:rFonts w:hint="cs"/>
          <w:rtl/>
        </w:rPr>
        <w:t>יצירת בסיס נתונים מלא ואמין למידע על היקף האלימות ומאפייניה.</w:t>
      </w:r>
    </w:p>
    <w:p w:rsidR="008C276C" w:rsidRDefault="008C276C" w:rsidP="008C276C">
      <w:pPr>
        <w:pStyle w:val="ab"/>
        <w:ind w:left="283"/>
        <w:rPr>
          <w:rtl/>
        </w:rPr>
      </w:pPr>
      <w:r>
        <w:rPr>
          <w:rFonts w:hint="cs"/>
          <w:rtl/>
        </w:rPr>
        <w:t>ג.</w:t>
      </w:r>
      <w:r>
        <w:rPr>
          <w:rtl/>
        </w:rPr>
        <w:tab/>
      </w:r>
      <w:r>
        <w:rPr>
          <w:rFonts w:hint="cs"/>
          <w:rtl/>
        </w:rPr>
        <w:t>בקרת פעילותן של הוועדות המוסדיות והמחוזיות לטיפול באלימות.</w:t>
      </w:r>
    </w:p>
    <w:p w:rsidR="008C276C" w:rsidRDefault="008C276C" w:rsidP="008C276C">
      <w:pPr>
        <w:pStyle w:val="ab"/>
        <w:ind w:left="283"/>
        <w:rPr>
          <w:rtl/>
        </w:rPr>
      </w:pPr>
      <w:r>
        <w:rPr>
          <w:rFonts w:hint="cs"/>
          <w:rtl/>
        </w:rPr>
        <w:t>ד.</w:t>
      </w:r>
      <w:r>
        <w:rPr>
          <w:rtl/>
        </w:rPr>
        <w:tab/>
      </w:r>
      <w:r>
        <w:rPr>
          <w:rFonts w:hint="cs"/>
          <w:rtl/>
        </w:rPr>
        <w:t>הסדרת קיומן של השתלמויות שוטפות, למניעת אלימות המיועדים</w:t>
      </w:r>
      <w:r>
        <w:rPr>
          <w:rtl/>
        </w:rPr>
        <w:tab/>
      </w:r>
      <w:r>
        <w:rPr>
          <w:rtl/>
        </w:rPr>
        <w:tab/>
      </w:r>
      <w:r>
        <w:rPr>
          <w:rtl/>
        </w:rPr>
        <w:tab/>
      </w:r>
      <w:r>
        <w:rPr>
          <w:rFonts w:hint="cs"/>
          <w:rtl/>
        </w:rPr>
        <w:t>לצוותים המקצועיים הנותנים שירות לאוכלוסיה וחשופים לאלימות.</w:t>
      </w:r>
    </w:p>
    <w:p w:rsidR="008C276C" w:rsidRDefault="008C276C" w:rsidP="008C276C">
      <w:pPr>
        <w:pStyle w:val="ae"/>
        <w:rPr>
          <w:rtl/>
        </w:rPr>
      </w:pPr>
      <w:r>
        <w:rPr>
          <w:rFonts w:hint="cs"/>
          <w:rtl/>
        </w:rPr>
        <w:t>2. המשרד לביטחון הפנים, משרד הפנים, משרד הרווחה והשירותים החברתיים, משטרת ישראל ומרכז השלטון המקומי יפעלו להכנסת הרשויות המקומיות לחוק הסדרת  הביטחון. האחריות להסדרת אבטחתם  של העובדים בלשכות לשירותים חברתיים בעיריות, תוטל על הרשויות המקומיות ועל משרד הרווחה והשירותים החברתיים, כגוף רגולטרי.</w:t>
      </w:r>
    </w:p>
    <w:p w:rsidR="008C276C" w:rsidRDefault="008C276C" w:rsidP="008C276C">
      <w:pPr>
        <w:pStyle w:val="ae"/>
        <w:rPr>
          <w:rtl/>
        </w:rPr>
      </w:pPr>
      <w:r>
        <w:rPr>
          <w:rFonts w:hint="cs"/>
          <w:rtl/>
        </w:rPr>
        <w:t>3. התביעה המשטרתית והפרקליטות יחליטו בעניינם של תיקי חקירה בפרקי זמן סבירים.</w:t>
      </w:r>
    </w:p>
    <w:p w:rsidR="008C276C" w:rsidRDefault="008C276C" w:rsidP="008C276C">
      <w:pPr>
        <w:pStyle w:val="ae"/>
        <w:rPr>
          <w:rtl/>
        </w:rPr>
      </w:pPr>
      <w:r>
        <w:rPr>
          <w:rFonts w:hint="cs"/>
          <w:rtl/>
        </w:rPr>
        <w:t>4. הערות מבקר המדינה בדו"ח מספר 60ב יילקחו בחשבון בעת ביצוע ההחלטה.</w:t>
      </w:r>
    </w:p>
    <w:p w:rsidR="008C276C" w:rsidRDefault="008C276C" w:rsidP="008C276C">
      <w:pPr>
        <w:pStyle w:val="ae"/>
        <w:rPr>
          <w:rtl/>
        </w:rPr>
      </w:pPr>
      <w:r>
        <w:rPr>
          <w:rFonts w:hint="cs"/>
          <w:rtl/>
        </w:rPr>
        <w:t>5. משרדי הבריאות, ביטחון הפנים והרווחה והשירותים החברתים ומשטרת ישראל ידווחו בתוך 4 חודשים לוועדת השרים על ההתקדמות בביצוע ההחלטה."</w:t>
      </w:r>
    </w:p>
    <w:p w:rsidR="008C276C" w:rsidRDefault="008C276C" w:rsidP="008C276C">
      <w:pPr>
        <w:pStyle w:val="ad"/>
        <w:rPr>
          <w:rtl/>
        </w:rPr>
      </w:pPr>
      <w:r>
        <w:rPr>
          <w:rFonts w:hint="cs"/>
          <w:rtl/>
        </w:rPr>
        <w:t xml:space="preserve">ביצוע ההחלטה </w:t>
      </w:r>
    </w:p>
    <w:p w:rsidR="008C276C" w:rsidRDefault="008C276C" w:rsidP="008C276C">
      <w:pPr>
        <w:pStyle w:val="af"/>
        <w:rPr>
          <w:rtl/>
        </w:rPr>
      </w:pPr>
      <w:r>
        <w:rPr>
          <w:rFonts w:hint="cs"/>
          <w:rtl/>
        </w:rPr>
        <w:t>משרד הפנים</w:t>
      </w:r>
    </w:p>
    <w:p w:rsidR="008C276C" w:rsidRDefault="008C276C" w:rsidP="008C276C">
      <w:pPr>
        <w:pStyle w:val="ab"/>
        <w:rPr>
          <w:rtl/>
        </w:rPr>
      </w:pPr>
      <w:r>
        <w:rPr>
          <w:rFonts w:hint="cs"/>
          <w:rtl/>
        </w:rPr>
        <w:t>ביום 24.2.10 התקיים דיון בלשכת השר ובו סוכם כי אחת לחודש יתקיים דיון מקצועי בין משרדי שמטרתו להגיש הצעת חוק בנושא אבטחת ראשי רשויות ויו"ר וועדות קרואות.</w:t>
      </w:r>
    </w:p>
    <w:p w:rsidR="008C276C" w:rsidRDefault="008C276C" w:rsidP="008C276C">
      <w:pPr>
        <w:pStyle w:val="ab"/>
        <w:rPr>
          <w:rtl/>
        </w:rPr>
      </w:pPr>
      <w:r>
        <w:rPr>
          <w:rFonts w:hint="cs"/>
          <w:rtl/>
        </w:rPr>
        <w:t xml:space="preserve">ביום 18.3.10 התקיים דיון בנושא זה בראשות סגן רה"מ ושר הפנים, מר אלי ישי ובנוכחות השר לביטחון פנים , מר יצחק אהרונוביץ, מנכ"ל משרד הפנים, פרקליט המדינה ועובדי משרדים הקשורים בנושא. בדיון זה סוכם שלאור חומרת האיומים על נבחרי ציבור והצורך במיגור התופעה, הטיפול חייב להיות כוללני כאשר המשטרה והפרקליטות צריכים לעשות יותר באיתור הראיות ואכיפה אפקטיבית בבתי המשפט. כמו כן הוחלט כי היועצים המשפטיים של שלושת המשרדים: פנים, ביטחון פנים ומשפטים יכינו הצעת מחליטים בנושא באופן מיידי כולל מקורות תקציביים. </w:t>
      </w:r>
    </w:p>
    <w:p w:rsidR="008C276C" w:rsidRDefault="008C276C" w:rsidP="008C276C">
      <w:pPr>
        <w:pStyle w:val="ab"/>
        <w:rPr>
          <w:rtl/>
        </w:rPr>
      </w:pPr>
      <w:r>
        <w:rPr>
          <w:rFonts w:hint="cs"/>
          <w:rtl/>
        </w:rPr>
        <w:t>ביום 14.6.10 התקיים דיון בנושא אבטחת ראשי רשויות במשרד ראש הממשלה בהשתתפות מנכ"ל משרד רה"מ, מנכ"ל המשרד לביטחון פנים, מנכ"ל משרד הפנים, נציגים ממשטרת ישראל וממשרד האוצר, ובו סוכם שמשרדי הפנים וביטחון הפנים יקדמו הליכי חקיקה להכנסת הנושא לחוק הסדרת הביטחון.</w:t>
      </w:r>
    </w:p>
    <w:p w:rsidR="008C276C" w:rsidRDefault="008C276C" w:rsidP="008C276C">
      <w:pPr>
        <w:pStyle w:val="ab"/>
        <w:rPr>
          <w:rtl/>
        </w:rPr>
      </w:pPr>
      <w:r>
        <w:rPr>
          <w:rFonts w:hint="cs"/>
          <w:rtl/>
        </w:rPr>
        <w:t>עוד נקבע, כי עד סוף יוני 2010 יגישו משרדי הביטחון פנים, הפנים ומשטרת ישראל אומדן תקציבי לעלויות אבטחה המתייחסות לשתי חלופות (לראשי רשויות כולל יו"ר וועדות ממונות וחלופה נוספת לראשי רשויות וליו"ר וועדות ממונות וכן לגזבר, לחשב ולמנכ"ל העירייה).</w:t>
      </w:r>
    </w:p>
    <w:p w:rsidR="008C276C" w:rsidRDefault="008C276C" w:rsidP="008C276C">
      <w:pPr>
        <w:pStyle w:val="ab"/>
        <w:rPr>
          <w:rtl/>
        </w:rPr>
      </w:pPr>
      <w:r>
        <w:rPr>
          <w:rFonts w:hint="cs"/>
          <w:rtl/>
        </w:rPr>
        <w:lastRenderedPageBreak/>
        <w:t>כמו כן ביום 7.7.10 התקיים דיון בנושא בכנסת בנוכחות שר המשפטים השר לביטחון פנים, שר הפנים ומפכ"ל המשטרה ובו סוכם להביא לממשלה הצעת מחליטים מתוקנת.</w:t>
      </w:r>
    </w:p>
    <w:p w:rsidR="008C276C" w:rsidRDefault="008C276C" w:rsidP="008C276C">
      <w:pPr>
        <w:pStyle w:val="af"/>
        <w:rPr>
          <w:rtl/>
        </w:rPr>
      </w:pPr>
      <w:r>
        <w:rPr>
          <w:rFonts w:hint="cs"/>
          <w:rtl/>
        </w:rPr>
        <w:t>המשרד לביטחון פנים</w:t>
      </w:r>
    </w:p>
    <w:p w:rsidR="008C276C" w:rsidRDefault="008C276C" w:rsidP="008C276C">
      <w:pPr>
        <w:pStyle w:val="ab"/>
        <w:rPr>
          <w:rtl/>
        </w:rPr>
      </w:pPr>
      <w:r>
        <w:rPr>
          <w:rFonts w:hint="cs"/>
          <w:rtl/>
        </w:rPr>
        <w:t>בדיון שהתקיים בראשות מנכ"ל משרד ראש הממשלה במהלך חודש יוני 2010 סוכם כי נדרש לקדם מענה לאבטחת ראשי רשויות. נציגי משרד הפנים והאוצר התבקשו למצוא מענה תקציבי לסוגיה. כמו-כן, סוכם כי יש לקדם חקיקה בעניין. המשרד לביטחון פנים דרש את הכללת הרשויות בחוק הסדרת הביטחון בגופים ציבוריים. משרד הפנים ממאן לתמוך במהלך.</w:t>
      </w:r>
    </w:p>
    <w:p w:rsidR="00675C70" w:rsidRPr="008C276C" w:rsidRDefault="008C276C" w:rsidP="008C276C">
      <w:pPr>
        <w:jc w:val="both"/>
        <w:rPr>
          <w:rFonts w:eastAsia="Calibri" w:cs="David"/>
        </w:rPr>
      </w:pPr>
      <w:r w:rsidRPr="008C276C">
        <w:rPr>
          <w:rFonts w:cs="David" w:hint="cs"/>
          <w:rtl/>
        </w:rPr>
        <w:t>בדיון שנערך בוועדת הפנים של הכנסת בנושא החלת דין הרציפות על הצעת חוק פרטית בנושא, נעדר נציג משרד האוצר. נציג משרד הפנים מסר כי לא ידוע על מענה תקציבי. לפיכך, ביצוע ההחלטה תלוי כעת בשיתוף הפעולה של משרד הפנים ומשרד האוצר.</w:t>
      </w:r>
    </w:p>
    <w:sectPr w:rsidR="00675C70" w:rsidRPr="008C276C" w:rsidSect="00F03723">
      <w:headerReference w:type="default" r:id="rId6"/>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3F6" w:rsidRDefault="00FA53F6" w:rsidP="002E66D4">
      <w:r>
        <w:separator/>
      </w:r>
    </w:p>
  </w:endnote>
  <w:endnote w:type="continuationSeparator" w:id="1">
    <w:p w:rsidR="00FA53F6" w:rsidRDefault="00FA53F6" w:rsidP="002E66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3F6" w:rsidRDefault="00FA53F6" w:rsidP="002E66D4">
      <w:r>
        <w:separator/>
      </w:r>
    </w:p>
  </w:footnote>
  <w:footnote w:type="continuationSeparator" w:id="1">
    <w:p w:rsidR="00FA53F6" w:rsidRDefault="00FA53F6" w:rsidP="002E6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3F6" w:rsidRPr="0015787A" w:rsidRDefault="00FA53F6" w:rsidP="00FA53F6">
    <w:pPr>
      <w:pStyle w:val="a3"/>
      <w:tabs>
        <w:tab w:val="left" w:pos="806"/>
      </w:tabs>
      <w:rPr>
        <w:rFonts w:cs="David"/>
        <w:sz w:val="18"/>
        <w:szCs w:val="18"/>
        <w:rtl/>
      </w:rPr>
    </w:pPr>
    <w:r>
      <w:rPr>
        <w:rFonts w:cs="David"/>
        <w:sz w:val="16"/>
        <w:szCs w:val="16"/>
        <w:rtl/>
      </w:rPr>
      <w:tab/>
    </w:r>
    <w:r>
      <w:rPr>
        <w:rFonts w:cs="David"/>
        <w:sz w:val="16"/>
        <w:szCs w:val="16"/>
        <w:rtl/>
      </w:rPr>
      <w:tab/>
    </w:r>
    <w:r w:rsidR="00160D2A" w:rsidRPr="002E66D4">
      <w:rPr>
        <w:rFonts w:cs="David"/>
        <w:sz w:val="16"/>
        <w:szCs w:val="16"/>
        <w:rtl/>
      </w:rPr>
      <w:fldChar w:fldCharType="begin"/>
    </w:r>
    <w:r w:rsidRPr="002E66D4">
      <w:rPr>
        <w:rFonts w:cs="David"/>
        <w:sz w:val="16"/>
        <w:szCs w:val="16"/>
        <w:rtl/>
      </w:rPr>
      <w:instrText xml:space="preserve"> </w:instrText>
    </w:r>
    <w:r w:rsidRPr="002E66D4">
      <w:rPr>
        <w:rFonts w:cs="David" w:hint="cs"/>
        <w:sz w:val="16"/>
        <w:szCs w:val="16"/>
      </w:rPr>
      <w:instrText>TIME  \@ "HH:mm"  \* MERGEFORMAT</w:instrText>
    </w:r>
    <w:r w:rsidRPr="002E66D4">
      <w:rPr>
        <w:rFonts w:cs="David"/>
        <w:sz w:val="16"/>
        <w:szCs w:val="16"/>
        <w:rtl/>
      </w:rPr>
      <w:instrText xml:space="preserve"> </w:instrText>
    </w:r>
    <w:r w:rsidR="00160D2A" w:rsidRPr="002E66D4">
      <w:rPr>
        <w:rFonts w:cs="David"/>
        <w:sz w:val="16"/>
        <w:szCs w:val="16"/>
        <w:rtl/>
      </w:rPr>
      <w:fldChar w:fldCharType="separate"/>
    </w:r>
    <w:r w:rsidR="008C276C">
      <w:rPr>
        <w:rFonts w:cs="David" w:hint="cs"/>
        <w:noProof/>
        <w:sz w:val="16"/>
        <w:szCs w:val="16"/>
        <w:rtl/>
      </w:rPr>
      <w:t>‏</w:t>
    </w:r>
    <w:r w:rsidR="008C276C">
      <w:rPr>
        <w:rFonts w:cs="David"/>
        <w:noProof/>
        <w:sz w:val="16"/>
        <w:szCs w:val="16"/>
        <w:rtl/>
      </w:rPr>
      <w:t>17:15</w:t>
    </w:r>
    <w:r w:rsidR="00160D2A" w:rsidRPr="002E66D4">
      <w:rPr>
        <w:rFonts w:cs="David"/>
        <w:sz w:val="16"/>
        <w:szCs w:val="16"/>
        <w:rtl/>
      </w:rPr>
      <w:fldChar w:fldCharType="end"/>
    </w:r>
    <w:r w:rsidRPr="002E66D4">
      <w:rPr>
        <w:rFonts w:cs="David" w:hint="cs"/>
        <w:sz w:val="16"/>
        <w:szCs w:val="16"/>
        <w:rtl/>
      </w:rPr>
      <w:t xml:space="preserve">  </w:t>
    </w:r>
    <w:r w:rsidR="00160D2A" w:rsidRPr="002E66D4">
      <w:rPr>
        <w:rFonts w:cs="David"/>
        <w:sz w:val="16"/>
        <w:szCs w:val="16"/>
        <w:rtl/>
      </w:rPr>
      <w:fldChar w:fldCharType="begin"/>
    </w:r>
    <w:r w:rsidRPr="002E66D4">
      <w:rPr>
        <w:rFonts w:cs="David"/>
        <w:sz w:val="16"/>
        <w:szCs w:val="16"/>
        <w:rtl/>
      </w:rPr>
      <w:instrText xml:space="preserve"> </w:instrText>
    </w:r>
    <w:r w:rsidRPr="002E66D4">
      <w:rPr>
        <w:rFonts w:cs="David" w:hint="cs"/>
        <w:sz w:val="16"/>
        <w:szCs w:val="16"/>
      </w:rPr>
      <w:instrText>DATE  \@ "yyyy-MM-dd"  \* MERGEFORMAT</w:instrText>
    </w:r>
    <w:r w:rsidRPr="002E66D4">
      <w:rPr>
        <w:rFonts w:cs="David"/>
        <w:sz w:val="16"/>
        <w:szCs w:val="16"/>
        <w:rtl/>
      </w:rPr>
      <w:instrText xml:space="preserve"> </w:instrText>
    </w:r>
    <w:r w:rsidR="00160D2A" w:rsidRPr="002E66D4">
      <w:rPr>
        <w:rFonts w:cs="David"/>
        <w:sz w:val="16"/>
        <w:szCs w:val="16"/>
        <w:rtl/>
      </w:rPr>
      <w:fldChar w:fldCharType="separate"/>
    </w:r>
    <w:r w:rsidR="008C276C">
      <w:rPr>
        <w:rFonts w:cs="David" w:hint="cs"/>
        <w:noProof/>
        <w:sz w:val="16"/>
        <w:szCs w:val="16"/>
        <w:rtl/>
      </w:rPr>
      <w:t>‏</w:t>
    </w:r>
    <w:r w:rsidR="008C276C">
      <w:rPr>
        <w:rFonts w:cs="David"/>
        <w:noProof/>
        <w:sz w:val="16"/>
        <w:szCs w:val="16"/>
        <w:rtl/>
      </w:rPr>
      <w:t>2010–12–09</w:t>
    </w:r>
    <w:r w:rsidR="00160D2A" w:rsidRPr="002E66D4">
      <w:rPr>
        <w:rFonts w:cs="David"/>
        <w:sz w:val="16"/>
        <w:szCs w:val="16"/>
        <w:rtl/>
      </w:rPr>
      <w:fldChar w:fldCharType="end"/>
    </w:r>
    <w:r w:rsidRPr="002E66D4">
      <w:rPr>
        <w:rFonts w:hint="cs"/>
        <w:sz w:val="16"/>
        <w:szCs w:val="16"/>
        <w:rtl/>
      </w:rPr>
      <w:t xml:space="preserve">   </w:t>
    </w:r>
    <w:fldSimple w:instr=" FILENAME  \* FirstCap \p  \* MERGEFORMAT ">
      <w:r w:rsidR="00737810" w:rsidRPr="00737810">
        <w:rPr>
          <w:noProof/>
          <w:sz w:val="16"/>
          <w:szCs w:val="16"/>
        </w:rPr>
        <w:t>L:\</w:t>
      </w:r>
      <w:r w:rsidR="00737810" w:rsidRPr="00737810">
        <w:rPr>
          <w:rFonts w:hint="cs"/>
          <w:noProof/>
          <w:sz w:val="16"/>
          <w:szCs w:val="16"/>
          <w:rtl/>
        </w:rPr>
        <w:t>הספר</w:t>
      </w:r>
      <w:r w:rsidR="00737810" w:rsidRPr="00737810">
        <w:rPr>
          <w:noProof/>
          <w:sz w:val="16"/>
          <w:szCs w:val="16"/>
          <w:rtl/>
        </w:rPr>
        <w:t xml:space="preserve"> - </w:t>
      </w:r>
      <w:r w:rsidR="00737810" w:rsidRPr="00737810">
        <w:rPr>
          <w:rFonts w:hint="cs"/>
          <w:noProof/>
          <w:sz w:val="16"/>
          <w:szCs w:val="16"/>
          <w:rtl/>
        </w:rPr>
        <w:t>מעקבים</w:t>
      </w:r>
      <w:r w:rsidR="00737810" w:rsidRPr="00737810">
        <w:rPr>
          <w:noProof/>
          <w:sz w:val="16"/>
          <w:szCs w:val="16"/>
          <w:rtl/>
        </w:rPr>
        <w:t xml:space="preserve"> 60</w:t>
      </w:r>
      <w:r w:rsidR="00737810" w:rsidRPr="00737810">
        <w:rPr>
          <w:rFonts w:hint="cs"/>
          <w:noProof/>
          <w:sz w:val="16"/>
          <w:szCs w:val="16"/>
          <w:rtl/>
        </w:rPr>
        <w:t>ב</w:t>
      </w:r>
      <w:r w:rsidR="00737810" w:rsidRPr="00737810">
        <w:rPr>
          <w:noProof/>
          <w:sz w:val="16"/>
          <w:szCs w:val="16"/>
          <w:rtl/>
        </w:rPr>
        <w:t>\</w:t>
      </w:r>
      <w:r w:rsidR="00737810" w:rsidRPr="00737810">
        <w:rPr>
          <w:rFonts w:hint="cs"/>
          <w:noProof/>
          <w:sz w:val="16"/>
          <w:szCs w:val="16"/>
          <w:rtl/>
        </w:rPr>
        <w:t>עקיבא</w:t>
      </w:r>
      <w:r w:rsidR="00737810" w:rsidRPr="00737810">
        <w:rPr>
          <w:noProof/>
          <w:sz w:val="16"/>
          <w:szCs w:val="16"/>
          <w:rtl/>
        </w:rPr>
        <w:t>\</w:t>
      </w:r>
      <w:r w:rsidR="00737810" w:rsidRPr="00737810">
        <w:rPr>
          <w:rFonts w:hint="cs"/>
          <w:noProof/>
          <w:sz w:val="16"/>
          <w:szCs w:val="16"/>
          <w:rtl/>
        </w:rPr>
        <w:t>ועדות</w:t>
      </w:r>
      <w:r w:rsidR="00737810" w:rsidRPr="00737810">
        <w:rPr>
          <w:noProof/>
          <w:sz w:val="16"/>
          <w:szCs w:val="16"/>
          <w:rtl/>
        </w:rPr>
        <w:t xml:space="preserve"> </w:t>
      </w:r>
      <w:r w:rsidR="00737810" w:rsidRPr="00737810">
        <w:rPr>
          <w:rFonts w:hint="cs"/>
          <w:noProof/>
          <w:sz w:val="16"/>
          <w:szCs w:val="16"/>
          <w:rtl/>
        </w:rPr>
        <w:t>שרים</w:t>
      </w:r>
      <w:r w:rsidR="00737810" w:rsidRPr="00737810">
        <w:rPr>
          <w:noProof/>
          <w:sz w:val="16"/>
          <w:szCs w:val="16"/>
          <w:rtl/>
        </w:rPr>
        <w:t>\</w:t>
      </w:r>
      <w:r w:rsidR="00737810" w:rsidRPr="00737810">
        <w:rPr>
          <w:rFonts w:hint="cs"/>
          <w:noProof/>
          <w:sz w:val="16"/>
          <w:szCs w:val="16"/>
          <w:rtl/>
        </w:rPr>
        <w:t>הטיפול</w:t>
      </w:r>
      <w:r w:rsidR="00737810" w:rsidRPr="00737810">
        <w:rPr>
          <w:noProof/>
          <w:sz w:val="16"/>
          <w:szCs w:val="16"/>
          <w:rtl/>
        </w:rPr>
        <w:t xml:space="preserve"> </w:t>
      </w:r>
      <w:r w:rsidR="00737810" w:rsidRPr="00737810">
        <w:rPr>
          <w:rFonts w:hint="cs"/>
          <w:noProof/>
          <w:sz w:val="16"/>
          <w:szCs w:val="16"/>
          <w:rtl/>
        </w:rPr>
        <w:t>באלימות</w:t>
      </w:r>
      <w:r w:rsidR="00737810" w:rsidRPr="00737810">
        <w:rPr>
          <w:noProof/>
          <w:sz w:val="16"/>
          <w:szCs w:val="16"/>
          <w:rtl/>
        </w:rPr>
        <w:t xml:space="preserve"> </w:t>
      </w:r>
      <w:r w:rsidR="00737810" w:rsidRPr="00737810">
        <w:rPr>
          <w:rFonts w:hint="cs"/>
          <w:noProof/>
          <w:sz w:val="16"/>
          <w:szCs w:val="16"/>
          <w:rtl/>
        </w:rPr>
        <w:t>כלפי</w:t>
      </w:r>
      <w:r w:rsidR="00737810" w:rsidRPr="00737810">
        <w:rPr>
          <w:noProof/>
          <w:sz w:val="16"/>
          <w:szCs w:val="16"/>
          <w:rtl/>
        </w:rPr>
        <w:t xml:space="preserve"> </w:t>
      </w:r>
      <w:r w:rsidR="00737810" w:rsidRPr="00737810">
        <w:rPr>
          <w:rFonts w:hint="cs"/>
          <w:noProof/>
          <w:sz w:val="16"/>
          <w:szCs w:val="16"/>
          <w:rtl/>
        </w:rPr>
        <w:t>עובדי</w:t>
      </w:r>
      <w:r w:rsidR="00737810" w:rsidRPr="00737810">
        <w:rPr>
          <w:noProof/>
          <w:sz w:val="16"/>
          <w:szCs w:val="16"/>
          <w:rtl/>
        </w:rPr>
        <w:t xml:space="preserve"> </w:t>
      </w:r>
      <w:r w:rsidR="00737810" w:rsidRPr="00737810">
        <w:rPr>
          <w:rFonts w:hint="cs"/>
          <w:noProof/>
          <w:sz w:val="16"/>
          <w:szCs w:val="16"/>
          <w:rtl/>
        </w:rPr>
        <w:t>ציבור</w:t>
      </w:r>
      <w:r w:rsidR="00737810" w:rsidRPr="00737810">
        <w:rPr>
          <w:noProof/>
          <w:sz w:val="16"/>
          <w:szCs w:val="16"/>
          <w:rtl/>
        </w:rPr>
        <w:t xml:space="preserve"> </w:t>
      </w:r>
      <w:r w:rsidR="00737810" w:rsidRPr="00737810">
        <w:rPr>
          <w:rFonts w:hint="cs"/>
          <w:noProof/>
          <w:sz w:val="16"/>
          <w:szCs w:val="16"/>
          <w:rtl/>
        </w:rPr>
        <w:t>בק</w:t>
      </w:r>
      <w:r w:rsidR="00737810" w:rsidRPr="00737810">
        <w:rPr>
          <w:noProof/>
          <w:sz w:val="16"/>
          <w:szCs w:val="16"/>
          <w:rtl/>
        </w:rPr>
        <w:t>15</w:t>
      </w:r>
      <w:r w:rsidR="00737810" w:rsidRPr="00737810">
        <w:rPr>
          <w:noProof/>
          <w:sz w:val="16"/>
          <w:szCs w:val="16"/>
        </w:rPr>
        <w:t>.docx</w:t>
      </w:r>
    </w:fldSimple>
    <w:r w:rsidRPr="0015787A">
      <w:rPr>
        <w:rFonts w:hint="cs"/>
        <w:sz w:val="18"/>
        <w:szCs w:val="18"/>
        <w:rtl/>
      </w:rPr>
      <w:t xml:space="preserve">    </w:t>
    </w:r>
    <w:r w:rsidRPr="00E14CCD">
      <w:rPr>
        <w:rFonts w:cs="David" w:hint="cs"/>
        <w:sz w:val="20"/>
        <w:szCs w:val="20"/>
        <w:rtl/>
      </w:rPr>
      <w:t>-</w:t>
    </w:r>
    <w:r w:rsidR="00160D2A" w:rsidRPr="00E14CCD">
      <w:rPr>
        <w:rFonts w:cs="David"/>
        <w:sz w:val="20"/>
        <w:szCs w:val="20"/>
        <w:rtl/>
      </w:rPr>
      <w:fldChar w:fldCharType="begin"/>
    </w:r>
    <w:r w:rsidRPr="00E14CCD">
      <w:rPr>
        <w:rFonts w:cs="David"/>
        <w:sz w:val="20"/>
        <w:szCs w:val="20"/>
        <w:rtl/>
      </w:rPr>
      <w:instrText xml:space="preserve"> </w:instrText>
    </w:r>
    <w:r w:rsidRPr="00E14CCD">
      <w:rPr>
        <w:rFonts w:cs="David"/>
        <w:sz w:val="20"/>
        <w:szCs w:val="20"/>
      </w:rPr>
      <w:instrText>PAGE   \* MERGEFORMAT</w:instrText>
    </w:r>
    <w:r w:rsidRPr="00E14CCD">
      <w:rPr>
        <w:rFonts w:cs="David"/>
        <w:sz w:val="20"/>
        <w:szCs w:val="20"/>
        <w:rtl/>
      </w:rPr>
      <w:instrText xml:space="preserve"> </w:instrText>
    </w:r>
    <w:r w:rsidR="00160D2A" w:rsidRPr="00E14CCD">
      <w:rPr>
        <w:rFonts w:cs="David"/>
        <w:sz w:val="20"/>
        <w:szCs w:val="20"/>
        <w:rtl/>
      </w:rPr>
      <w:fldChar w:fldCharType="separate"/>
    </w:r>
    <w:r w:rsidR="00BF6F39">
      <w:rPr>
        <w:rFonts w:cs="David"/>
        <w:noProof/>
        <w:sz w:val="20"/>
        <w:szCs w:val="20"/>
        <w:rtl/>
      </w:rPr>
      <w:t>1</w:t>
    </w:r>
    <w:r w:rsidR="00160D2A" w:rsidRPr="00E14CCD">
      <w:rPr>
        <w:rFonts w:cs="David"/>
        <w:sz w:val="20"/>
        <w:szCs w:val="20"/>
        <w:rtl/>
      </w:rPr>
      <w:fldChar w:fldCharType="end"/>
    </w:r>
    <w:r w:rsidRPr="00E14CCD">
      <w:rPr>
        <w:rFonts w:cs="David" w:hint="cs"/>
        <w:sz w:val="20"/>
        <w:szCs w:val="20"/>
        <w:rtl/>
      </w:rPr>
      <w:t>-</w:t>
    </w:r>
  </w:p>
  <w:p w:rsidR="00FA53F6" w:rsidRDefault="00FA53F6" w:rsidP="00F03723">
    <w:pPr>
      <w:pStyle w:val="a3"/>
      <w:rPr>
        <w:rFonts w:cs="David"/>
        <w:sz w:val="20"/>
        <w:szCs w:val="20"/>
        <w:u w:val="single"/>
        <w:rtl/>
      </w:rPr>
    </w:pPr>
  </w:p>
  <w:p w:rsidR="00FA53F6" w:rsidRPr="00E14CCD" w:rsidRDefault="00FA53F6" w:rsidP="00F03723">
    <w:pPr>
      <w:pStyle w:val="a3"/>
      <w:jc w:val="both"/>
      <w:rPr>
        <w:rFonts w:cs="David"/>
        <w:sz w:val="20"/>
        <w:szCs w:val="20"/>
        <w:u w:val="single"/>
        <w:rtl/>
      </w:rPr>
    </w:pPr>
    <w:r>
      <w:rPr>
        <w:rFonts w:cs="David" w:hint="cs"/>
        <w:szCs w:val="20"/>
        <w:u w:val="single"/>
        <w:rtl/>
      </w:rPr>
      <w:t>מעקב אחר תיקון ליקויים, אגף המפקח הכללי לענייני ביקורת המדינה</w:t>
    </w:r>
    <w:r>
      <w:rPr>
        <w:rFonts w:cs="David" w:hint="cs"/>
        <w:sz w:val="20"/>
        <w:szCs w:val="20"/>
        <w:u w:val="single"/>
        <w:rtl/>
      </w:rPr>
      <w:t xml:space="preserve">                                         החלטות ועדת שרים</w:t>
    </w:r>
  </w:p>
  <w:p w:rsidR="00FA53F6" w:rsidRPr="0070082B" w:rsidRDefault="00FA53F6" w:rsidP="00F03723">
    <w:pPr>
      <w:pStyle w:val="a3"/>
      <w:jc w:val="both"/>
      <w:rPr>
        <w:rFonts w:cs="David"/>
        <w:sz w:val="20"/>
        <w:szCs w:val="20"/>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6D8E"/>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0D2A"/>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6D4"/>
    <w:rsid w:val="002E6760"/>
    <w:rsid w:val="002E6B4E"/>
    <w:rsid w:val="0030735E"/>
    <w:rsid w:val="00310136"/>
    <w:rsid w:val="00314249"/>
    <w:rsid w:val="003245D9"/>
    <w:rsid w:val="0033198C"/>
    <w:rsid w:val="003344B0"/>
    <w:rsid w:val="00337EC9"/>
    <w:rsid w:val="00346AB7"/>
    <w:rsid w:val="00354067"/>
    <w:rsid w:val="00360A13"/>
    <w:rsid w:val="0037478F"/>
    <w:rsid w:val="00377C35"/>
    <w:rsid w:val="003A6D84"/>
    <w:rsid w:val="003A7C4A"/>
    <w:rsid w:val="003C75F5"/>
    <w:rsid w:val="003D0B7B"/>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E6D8E"/>
    <w:rsid w:val="004F2791"/>
    <w:rsid w:val="00510929"/>
    <w:rsid w:val="005139D8"/>
    <w:rsid w:val="00514843"/>
    <w:rsid w:val="005219B4"/>
    <w:rsid w:val="00533C78"/>
    <w:rsid w:val="00537BD2"/>
    <w:rsid w:val="00547425"/>
    <w:rsid w:val="0055111F"/>
    <w:rsid w:val="005578C3"/>
    <w:rsid w:val="00563607"/>
    <w:rsid w:val="005A548B"/>
    <w:rsid w:val="005A6E05"/>
    <w:rsid w:val="005C1CE2"/>
    <w:rsid w:val="005D57C1"/>
    <w:rsid w:val="0060499E"/>
    <w:rsid w:val="00606B34"/>
    <w:rsid w:val="00606CCF"/>
    <w:rsid w:val="00624861"/>
    <w:rsid w:val="00632551"/>
    <w:rsid w:val="00642830"/>
    <w:rsid w:val="00646F69"/>
    <w:rsid w:val="006643DF"/>
    <w:rsid w:val="006653A5"/>
    <w:rsid w:val="00675C70"/>
    <w:rsid w:val="0067780E"/>
    <w:rsid w:val="006807A6"/>
    <w:rsid w:val="006942D9"/>
    <w:rsid w:val="006A67BA"/>
    <w:rsid w:val="006E0566"/>
    <w:rsid w:val="006E7ED9"/>
    <w:rsid w:val="006F4766"/>
    <w:rsid w:val="0073050A"/>
    <w:rsid w:val="00733D53"/>
    <w:rsid w:val="00737810"/>
    <w:rsid w:val="00753962"/>
    <w:rsid w:val="007629F8"/>
    <w:rsid w:val="00762B5D"/>
    <w:rsid w:val="00772A72"/>
    <w:rsid w:val="007736D0"/>
    <w:rsid w:val="007827A7"/>
    <w:rsid w:val="00783E86"/>
    <w:rsid w:val="00787AB8"/>
    <w:rsid w:val="007A22BA"/>
    <w:rsid w:val="007B0C4D"/>
    <w:rsid w:val="007B2F7E"/>
    <w:rsid w:val="007B4AAF"/>
    <w:rsid w:val="007D1079"/>
    <w:rsid w:val="007D4675"/>
    <w:rsid w:val="00810E64"/>
    <w:rsid w:val="0081406C"/>
    <w:rsid w:val="00817201"/>
    <w:rsid w:val="00867F44"/>
    <w:rsid w:val="0088076B"/>
    <w:rsid w:val="008A1154"/>
    <w:rsid w:val="008A3C6F"/>
    <w:rsid w:val="008B1C1D"/>
    <w:rsid w:val="008B5AD7"/>
    <w:rsid w:val="008C276C"/>
    <w:rsid w:val="008D6336"/>
    <w:rsid w:val="008F2398"/>
    <w:rsid w:val="008F498E"/>
    <w:rsid w:val="009021C2"/>
    <w:rsid w:val="00916EC1"/>
    <w:rsid w:val="00917859"/>
    <w:rsid w:val="00922D8C"/>
    <w:rsid w:val="009409FE"/>
    <w:rsid w:val="00963FFB"/>
    <w:rsid w:val="00973104"/>
    <w:rsid w:val="00984194"/>
    <w:rsid w:val="00993D03"/>
    <w:rsid w:val="00996DB6"/>
    <w:rsid w:val="009A62C4"/>
    <w:rsid w:val="009B1770"/>
    <w:rsid w:val="009B7779"/>
    <w:rsid w:val="009D6F86"/>
    <w:rsid w:val="009E5072"/>
    <w:rsid w:val="009E6EFD"/>
    <w:rsid w:val="009E732F"/>
    <w:rsid w:val="009F7865"/>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6F39"/>
    <w:rsid w:val="00BF7A7D"/>
    <w:rsid w:val="00C038DE"/>
    <w:rsid w:val="00C03A0E"/>
    <w:rsid w:val="00C3301D"/>
    <w:rsid w:val="00C34195"/>
    <w:rsid w:val="00C366AF"/>
    <w:rsid w:val="00C41FFA"/>
    <w:rsid w:val="00C51C1D"/>
    <w:rsid w:val="00C6659C"/>
    <w:rsid w:val="00C723C0"/>
    <w:rsid w:val="00CA2206"/>
    <w:rsid w:val="00CB6CA1"/>
    <w:rsid w:val="00CC3E2F"/>
    <w:rsid w:val="00CC683F"/>
    <w:rsid w:val="00CD0265"/>
    <w:rsid w:val="00CE2D49"/>
    <w:rsid w:val="00D02568"/>
    <w:rsid w:val="00D038BA"/>
    <w:rsid w:val="00D04CE8"/>
    <w:rsid w:val="00D1371C"/>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B3C56"/>
    <w:rsid w:val="00EC33CF"/>
    <w:rsid w:val="00EF3EE3"/>
    <w:rsid w:val="00EF6F1E"/>
    <w:rsid w:val="00F03723"/>
    <w:rsid w:val="00F17E20"/>
    <w:rsid w:val="00F24A00"/>
    <w:rsid w:val="00F471BF"/>
    <w:rsid w:val="00F532A4"/>
    <w:rsid w:val="00F53CF2"/>
    <w:rsid w:val="00F61368"/>
    <w:rsid w:val="00F61BE5"/>
    <w:rsid w:val="00F73C50"/>
    <w:rsid w:val="00F76F5F"/>
    <w:rsid w:val="00F7757F"/>
    <w:rsid w:val="00F80D9F"/>
    <w:rsid w:val="00F82663"/>
    <w:rsid w:val="00F95696"/>
    <w:rsid w:val="00FA53F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D8E"/>
    <w:pPr>
      <w:bidi/>
      <w:spacing w:line="240" w:lineRule="auto"/>
    </w:pPr>
    <w:rPr>
      <w:rFonts w:ascii="Times New Roman" w:eastAsia="Times New Roman" w:hAnsi="Times New Roman" w:cs="Times New Roman"/>
    </w:rPr>
  </w:style>
  <w:style w:type="paragraph" w:styleId="1">
    <w:name w:val="heading 1"/>
    <w:basedOn w:val="a"/>
    <w:next w:val="a"/>
    <w:link w:val="10"/>
    <w:uiPriority w:val="9"/>
    <w:qFormat/>
    <w:rsid w:val="004E6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E6D8E"/>
    <w:pPr>
      <w:tabs>
        <w:tab w:val="center" w:pos="4153"/>
        <w:tab w:val="right" w:pos="8306"/>
      </w:tabs>
    </w:pPr>
    <w:rPr>
      <w:rFonts w:asciiTheme="minorHAnsi" w:eastAsiaTheme="minorHAnsi" w:hAnsiTheme="minorHAnsi" w:cstheme="minorBidi"/>
      <w:sz w:val="22"/>
      <w:szCs w:val="22"/>
    </w:rPr>
  </w:style>
  <w:style w:type="character" w:customStyle="1" w:styleId="a4">
    <w:name w:val="כותרת עליונה תו"/>
    <w:basedOn w:val="a0"/>
    <w:link w:val="a3"/>
    <w:rsid w:val="004E6D8E"/>
    <w:rPr>
      <w:rFonts w:cstheme="minorBidi"/>
      <w:sz w:val="22"/>
      <w:szCs w:val="22"/>
    </w:rPr>
  </w:style>
  <w:style w:type="paragraph" w:styleId="a5">
    <w:name w:val="Balloon Text"/>
    <w:basedOn w:val="a"/>
    <w:link w:val="a6"/>
    <w:uiPriority w:val="99"/>
    <w:semiHidden/>
    <w:unhideWhenUsed/>
    <w:rsid w:val="004E6D8E"/>
    <w:rPr>
      <w:rFonts w:ascii="Tahoma" w:hAnsi="Tahoma" w:cs="Tahoma"/>
      <w:sz w:val="16"/>
      <w:szCs w:val="16"/>
    </w:rPr>
  </w:style>
  <w:style w:type="character" w:customStyle="1" w:styleId="a6">
    <w:name w:val="טקסט בלונים תו"/>
    <w:basedOn w:val="a0"/>
    <w:link w:val="a5"/>
    <w:uiPriority w:val="99"/>
    <w:semiHidden/>
    <w:rsid w:val="004E6D8E"/>
    <w:rPr>
      <w:rFonts w:ascii="Tahoma" w:eastAsia="Times New Roman" w:hAnsi="Tahoma" w:cs="Tahoma"/>
      <w:sz w:val="16"/>
      <w:szCs w:val="16"/>
    </w:rPr>
  </w:style>
  <w:style w:type="paragraph" w:styleId="a7">
    <w:name w:val="No Spacing"/>
    <w:uiPriority w:val="1"/>
    <w:qFormat/>
    <w:rsid w:val="004E6D8E"/>
    <w:pPr>
      <w:bidi/>
      <w:spacing w:line="240" w:lineRule="auto"/>
    </w:pPr>
    <w:rPr>
      <w:rFonts w:ascii="Times New Roman" w:eastAsia="Times New Roman" w:hAnsi="Times New Roman" w:cs="Times New Roman"/>
    </w:rPr>
  </w:style>
  <w:style w:type="character" w:customStyle="1" w:styleId="10">
    <w:name w:val="כותרת 1 תו"/>
    <w:basedOn w:val="a0"/>
    <w:link w:val="1"/>
    <w:uiPriority w:val="9"/>
    <w:rsid w:val="004E6D8E"/>
    <w:rPr>
      <w:rFonts w:asciiTheme="majorHAnsi" w:eastAsiaTheme="majorEastAsia" w:hAnsiTheme="majorHAnsi" w:cstheme="majorBidi"/>
      <w:b/>
      <w:bCs/>
      <w:color w:val="365F91" w:themeColor="accent1" w:themeShade="BF"/>
      <w:sz w:val="28"/>
      <w:szCs w:val="28"/>
    </w:rPr>
  </w:style>
  <w:style w:type="paragraph" w:styleId="a8">
    <w:name w:val="footer"/>
    <w:basedOn w:val="a"/>
    <w:link w:val="a9"/>
    <w:uiPriority w:val="99"/>
    <w:semiHidden/>
    <w:unhideWhenUsed/>
    <w:rsid w:val="002E66D4"/>
    <w:pPr>
      <w:tabs>
        <w:tab w:val="center" w:pos="4153"/>
        <w:tab w:val="right" w:pos="8306"/>
      </w:tabs>
    </w:pPr>
  </w:style>
  <w:style w:type="character" w:customStyle="1" w:styleId="a9">
    <w:name w:val="כותרת תחתונה תו"/>
    <w:basedOn w:val="a0"/>
    <w:link w:val="a8"/>
    <w:uiPriority w:val="99"/>
    <w:semiHidden/>
    <w:rsid w:val="002E66D4"/>
    <w:rPr>
      <w:rFonts w:ascii="Times New Roman" w:eastAsia="Times New Roman" w:hAnsi="Times New Roman" w:cs="Times New Roman"/>
    </w:rPr>
  </w:style>
  <w:style w:type="paragraph" w:customStyle="1" w:styleId="aa">
    <w:name w:val="כותרת מאמר"/>
    <w:basedOn w:val="a"/>
    <w:uiPriority w:val="99"/>
    <w:rsid w:val="008C276C"/>
    <w:pPr>
      <w:suppressAutoHyphens/>
      <w:autoSpaceDE w:val="0"/>
      <w:autoSpaceDN w:val="0"/>
      <w:adjustRightInd w:val="0"/>
      <w:spacing w:line="340" w:lineRule="atLeast"/>
      <w:jc w:val="center"/>
      <w:textAlignment w:val="center"/>
    </w:pPr>
    <w:rPr>
      <w:rFonts w:ascii="David" w:eastAsiaTheme="minorHAnsi" w:hAnsiTheme="minorHAnsi" w:cs="David"/>
      <w:b/>
      <w:bCs/>
      <w:color w:val="000000"/>
      <w:sz w:val="36"/>
      <w:szCs w:val="36"/>
    </w:rPr>
  </w:style>
  <w:style w:type="paragraph" w:customStyle="1" w:styleId="60">
    <w:name w:val="דוח 60א"/>
    <w:basedOn w:val="a"/>
    <w:uiPriority w:val="99"/>
    <w:rsid w:val="008C276C"/>
    <w:pPr>
      <w:suppressAutoHyphens/>
      <w:autoSpaceDE w:val="0"/>
      <w:autoSpaceDN w:val="0"/>
      <w:adjustRightInd w:val="0"/>
      <w:spacing w:line="288" w:lineRule="auto"/>
      <w:jc w:val="center"/>
      <w:textAlignment w:val="center"/>
    </w:pPr>
    <w:rPr>
      <w:rFonts w:ascii="David" w:eastAsiaTheme="minorHAnsi" w:hAnsiTheme="minorHAnsi" w:cs="David"/>
      <w:b/>
      <w:bCs/>
      <w:color w:val="000000"/>
      <w:sz w:val="28"/>
      <w:szCs w:val="28"/>
    </w:rPr>
  </w:style>
  <w:style w:type="paragraph" w:customStyle="1" w:styleId="ab">
    <w:name w:val="טקסט רץ"/>
    <w:basedOn w:val="a"/>
    <w:next w:val="a"/>
    <w:uiPriority w:val="99"/>
    <w:rsid w:val="008C276C"/>
    <w:pPr>
      <w:suppressAutoHyphens/>
      <w:autoSpaceDE w:val="0"/>
      <w:autoSpaceDN w:val="0"/>
      <w:adjustRightInd w:val="0"/>
      <w:spacing w:after="170" w:line="260" w:lineRule="atLeast"/>
      <w:jc w:val="both"/>
      <w:textAlignment w:val="center"/>
    </w:pPr>
    <w:rPr>
      <w:rFonts w:ascii="David" w:eastAsiaTheme="minorHAnsi" w:hAnsiTheme="minorHAnsi" w:cs="David"/>
      <w:color w:val="000000"/>
    </w:rPr>
  </w:style>
  <w:style w:type="paragraph" w:customStyle="1" w:styleId="ac">
    <w:name w:val="החלטה מס'"/>
    <w:basedOn w:val="a"/>
    <w:uiPriority w:val="99"/>
    <w:rsid w:val="008C276C"/>
    <w:pPr>
      <w:autoSpaceDE w:val="0"/>
      <w:autoSpaceDN w:val="0"/>
      <w:adjustRightInd w:val="0"/>
      <w:spacing w:after="283" w:line="288" w:lineRule="auto"/>
      <w:textAlignment w:val="center"/>
    </w:pPr>
    <w:rPr>
      <w:rFonts w:ascii="David" w:eastAsiaTheme="minorHAnsi" w:hAnsiTheme="minorHAnsi" w:cs="David"/>
      <w:b/>
      <w:bCs/>
      <w:color w:val="000000"/>
      <w:sz w:val="32"/>
      <w:szCs w:val="32"/>
    </w:rPr>
  </w:style>
  <w:style w:type="paragraph" w:customStyle="1" w:styleId="ad">
    <w:name w:val="מחליטים"/>
    <w:basedOn w:val="a"/>
    <w:uiPriority w:val="99"/>
    <w:rsid w:val="008C276C"/>
    <w:pPr>
      <w:autoSpaceDE w:val="0"/>
      <w:autoSpaceDN w:val="0"/>
      <w:adjustRightInd w:val="0"/>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e">
    <w:name w:val="טקסט רץ מספרים"/>
    <w:basedOn w:val="a"/>
    <w:uiPriority w:val="99"/>
    <w:rsid w:val="008C276C"/>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rPr>
  </w:style>
  <w:style w:type="paragraph" w:customStyle="1" w:styleId="af">
    <w:name w:val="המשרד לבטחון פנים"/>
    <w:basedOn w:val="a"/>
    <w:next w:val="a"/>
    <w:uiPriority w:val="99"/>
    <w:rsid w:val="008C276C"/>
    <w:pPr>
      <w:suppressAutoHyphens/>
      <w:autoSpaceDE w:val="0"/>
      <w:autoSpaceDN w:val="0"/>
      <w:adjustRightInd w:val="0"/>
      <w:spacing w:after="113" w:line="288" w:lineRule="auto"/>
      <w:jc w:val="both"/>
      <w:textAlignment w:val="center"/>
    </w:pPr>
    <w:rPr>
      <w:rFonts w:ascii="David" w:eastAsiaTheme="minorHAnsi" w:hAnsiTheme="minorHAnsi" w:cs="David"/>
      <w:b/>
      <w:bC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2408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2010-10-14T12:03:00Z</cp:lastPrinted>
  <dcterms:created xsi:type="dcterms:W3CDTF">2010-12-09T15:17:00Z</dcterms:created>
  <dcterms:modified xsi:type="dcterms:W3CDTF">2010-12-09T15:17:00Z</dcterms:modified>
</cp:coreProperties>
</file>