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98B" w:rsidRPr="00C9498B" w:rsidRDefault="00C9498B" w:rsidP="00C9498B">
      <w:pPr>
        <w:suppressAutoHyphens/>
        <w:autoSpaceDE w:val="0"/>
        <w:autoSpaceDN w:val="0"/>
        <w:adjustRightInd w:val="0"/>
        <w:spacing w:line="340" w:lineRule="atLeast"/>
        <w:jc w:val="center"/>
        <w:textAlignment w:val="center"/>
        <w:rPr>
          <w:rFonts w:ascii="David" w:eastAsiaTheme="minorHAnsi" w:hAnsiTheme="minorHAnsi" w:cs="David"/>
          <w:b/>
          <w:bCs/>
          <w:color w:val="000000"/>
          <w:sz w:val="36"/>
          <w:szCs w:val="36"/>
          <w:rtl/>
        </w:rPr>
      </w:pPr>
      <w:r w:rsidRPr="00C9498B">
        <w:rPr>
          <w:rFonts w:ascii="David" w:eastAsiaTheme="minorHAnsi" w:hAnsiTheme="minorHAnsi" w:cs="David" w:hint="cs"/>
          <w:b/>
          <w:bCs/>
          <w:color w:val="000000"/>
          <w:sz w:val="36"/>
          <w:szCs w:val="36"/>
          <w:rtl/>
        </w:rPr>
        <w:t>היערכות משרד התחבורה והבטיחות בדרכים למתן שירותי תובלה למשק האזרחי והיערכות צה"ל לגיוס כלי רכב בשעת חירום</w:t>
      </w:r>
    </w:p>
    <w:p w:rsidR="00C9498B" w:rsidRPr="00C9498B" w:rsidRDefault="00C9498B" w:rsidP="00C9498B">
      <w:pPr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David" w:eastAsiaTheme="minorHAnsi" w:hAnsiTheme="minorHAnsi" w:cs="David"/>
          <w:b/>
          <w:bCs/>
          <w:color w:val="000000"/>
          <w:sz w:val="28"/>
          <w:szCs w:val="28"/>
          <w:rtl/>
        </w:rPr>
      </w:pPr>
      <w:r w:rsidRPr="00C9498B">
        <w:rPr>
          <w:rFonts w:ascii="David" w:eastAsiaTheme="minorHAnsi" w:hAnsiTheme="minorHAnsi" w:cs="David" w:hint="cs"/>
          <w:b/>
          <w:bCs/>
          <w:color w:val="000000"/>
          <w:sz w:val="28"/>
          <w:szCs w:val="28"/>
          <w:rtl/>
        </w:rPr>
        <w:t xml:space="preserve">דוח </w:t>
      </w:r>
      <w:proofErr w:type="spellStart"/>
      <w:r w:rsidRPr="00C9498B">
        <w:rPr>
          <w:rFonts w:ascii="David" w:eastAsiaTheme="minorHAnsi" w:hAnsiTheme="minorHAnsi" w:cs="David" w:hint="cs"/>
          <w:b/>
          <w:bCs/>
          <w:color w:val="000000"/>
          <w:sz w:val="28"/>
          <w:szCs w:val="28"/>
          <w:rtl/>
        </w:rPr>
        <w:t>60א</w:t>
      </w:r>
      <w:proofErr w:type="spellEnd"/>
      <w:r w:rsidRPr="00C9498B">
        <w:rPr>
          <w:rFonts w:ascii="David" w:eastAsiaTheme="minorHAnsi" w:hAnsiTheme="minorHAnsi" w:cs="David" w:hint="cs"/>
          <w:b/>
          <w:bCs/>
          <w:color w:val="000000"/>
          <w:sz w:val="28"/>
          <w:szCs w:val="28"/>
          <w:rtl/>
        </w:rPr>
        <w:t>'</w:t>
      </w:r>
    </w:p>
    <w:p w:rsidR="00C9498B" w:rsidRPr="00C9498B" w:rsidRDefault="00C9498B" w:rsidP="00C9498B">
      <w:pPr>
        <w:autoSpaceDE w:val="0"/>
        <w:autoSpaceDN w:val="0"/>
        <w:adjustRightInd w:val="0"/>
        <w:spacing w:after="200" w:line="276" w:lineRule="auto"/>
        <w:ind w:right="575"/>
        <w:jc w:val="center"/>
        <w:textAlignment w:val="center"/>
        <w:rPr>
          <w:rFonts w:ascii="David" w:eastAsiaTheme="minorHAnsi" w:hAnsi="Calibri" w:cs="David"/>
          <w:color w:val="000000"/>
          <w:sz w:val="28"/>
          <w:szCs w:val="28"/>
          <w:rtl/>
        </w:rPr>
      </w:pPr>
    </w:p>
    <w:p w:rsidR="00C9498B" w:rsidRPr="00C9498B" w:rsidRDefault="00C9498B" w:rsidP="00C9498B">
      <w:pPr>
        <w:autoSpaceDE w:val="0"/>
        <w:autoSpaceDN w:val="0"/>
        <w:adjustRightInd w:val="0"/>
        <w:spacing w:after="283" w:line="288" w:lineRule="auto"/>
        <w:textAlignment w:val="center"/>
        <w:rPr>
          <w:rFonts w:ascii="David" w:eastAsiaTheme="minorHAnsi" w:hAnsiTheme="minorHAnsi" w:cs="David"/>
          <w:b/>
          <w:bCs/>
          <w:color w:val="000000"/>
          <w:sz w:val="32"/>
          <w:szCs w:val="32"/>
          <w:rtl/>
        </w:rPr>
      </w:pPr>
      <w:r w:rsidRPr="00C9498B">
        <w:rPr>
          <w:rFonts w:ascii="David" w:eastAsiaTheme="minorHAnsi" w:hAnsiTheme="minorHAnsi" w:cs="David" w:hint="cs"/>
          <w:b/>
          <w:bCs/>
          <w:color w:val="000000"/>
          <w:sz w:val="32"/>
          <w:szCs w:val="32"/>
          <w:rtl/>
        </w:rPr>
        <w:t>החלטה מספר בק/11 מיום 16.3.2010</w:t>
      </w:r>
    </w:p>
    <w:p w:rsidR="00C9498B" w:rsidRPr="00C9498B" w:rsidRDefault="00C9498B" w:rsidP="00C9498B">
      <w:pPr>
        <w:autoSpaceDE w:val="0"/>
        <w:autoSpaceDN w:val="0"/>
        <w:adjustRightInd w:val="0"/>
        <w:spacing w:before="113" w:after="283" w:line="288" w:lineRule="auto"/>
        <w:jc w:val="both"/>
        <w:textAlignment w:val="center"/>
        <w:rPr>
          <w:rFonts w:ascii="David" w:eastAsiaTheme="minorHAnsi" w:hAnsiTheme="minorHAnsi" w:cs="David"/>
          <w:b/>
          <w:bCs/>
          <w:color w:val="000000"/>
          <w:sz w:val="18"/>
          <w:szCs w:val="18"/>
          <w:rtl/>
        </w:rPr>
      </w:pPr>
      <w:r w:rsidRPr="00C9498B">
        <w:rPr>
          <w:rFonts w:ascii="David" w:eastAsiaTheme="minorHAnsi" w:hAnsiTheme="minorHAnsi" w:cs="David" w:hint="cs"/>
          <w:b/>
          <w:bCs/>
          <w:color w:val="000000"/>
          <w:sz w:val="28"/>
          <w:szCs w:val="28"/>
          <w:rtl/>
        </w:rPr>
        <w:t>מחליטים</w:t>
      </w:r>
      <w:r w:rsidRPr="00C9498B">
        <w:rPr>
          <w:rFonts w:ascii="David" w:eastAsiaTheme="minorHAnsi" w:hAnsiTheme="minorHAnsi" w:cs="David" w:hint="cs"/>
          <w:b/>
          <w:bCs/>
          <w:color w:val="000000"/>
          <w:sz w:val="18"/>
          <w:szCs w:val="18"/>
          <w:rtl/>
        </w:rPr>
        <w:t>:</w:t>
      </w:r>
    </w:p>
    <w:p w:rsidR="00C9498B" w:rsidRPr="00C9498B" w:rsidRDefault="00C9498B" w:rsidP="00C9498B">
      <w:pPr>
        <w:pStyle w:val="a8"/>
        <w:numPr>
          <w:ilvl w:val="0"/>
          <w:numId w:val="3"/>
        </w:numPr>
        <w:suppressAutoHyphens/>
        <w:autoSpaceDE w:val="0"/>
        <w:autoSpaceDN w:val="0"/>
        <w:adjustRightInd w:val="0"/>
        <w:spacing w:after="170" w:line="260" w:lineRule="atLeast"/>
        <w:jc w:val="both"/>
        <w:textAlignment w:val="center"/>
        <w:rPr>
          <w:rFonts w:ascii="David" w:eastAsiaTheme="minorHAnsi" w:hAnsiTheme="minorHAnsi" w:cs="David"/>
          <w:color w:val="000000"/>
          <w:rtl/>
        </w:rPr>
      </w:pPr>
      <w:r w:rsidRPr="00C9498B">
        <w:rPr>
          <w:rFonts w:ascii="David" w:eastAsiaTheme="minorHAnsi" w:hAnsiTheme="minorHAnsi" w:cs="David" w:hint="cs"/>
          <w:color w:val="000000"/>
          <w:rtl/>
        </w:rPr>
        <w:t>תוקם ועדה בראשות הרשות לחירום הלאומית (</w:t>
      </w:r>
      <w:proofErr w:type="spellStart"/>
      <w:r w:rsidRPr="00C9498B">
        <w:rPr>
          <w:rFonts w:ascii="David" w:eastAsiaTheme="minorHAnsi" w:hAnsiTheme="minorHAnsi" w:cs="David" w:hint="cs"/>
          <w:color w:val="000000"/>
          <w:rtl/>
        </w:rPr>
        <w:t>רח"ל</w:t>
      </w:r>
      <w:proofErr w:type="spellEnd"/>
      <w:r w:rsidRPr="00C9498B">
        <w:rPr>
          <w:rFonts w:ascii="David" w:eastAsiaTheme="minorHAnsi" w:hAnsiTheme="minorHAnsi" w:cs="David" w:hint="cs"/>
          <w:color w:val="000000"/>
          <w:rtl/>
        </w:rPr>
        <w:t>) שבמשרד הביטחון בהשתתפות משרד התחבורה והבטיחות בדרכים, משרד התעשייה, המסחר והתעסוקה וצה"ל.</w:t>
      </w:r>
    </w:p>
    <w:p w:rsidR="00C9498B" w:rsidRPr="00C9498B" w:rsidRDefault="00C9498B" w:rsidP="00C9498B">
      <w:pPr>
        <w:pStyle w:val="a8"/>
        <w:numPr>
          <w:ilvl w:val="0"/>
          <w:numId w:val="3"/>
        </w:numPr>
        <w:suppressAutoHyphens/>
        <w:autoSpaceDE w:val="0"/>
        <w:autoSpaceDN w:val="0"/>
        <w:adjustRightInd w:val="0"/>
        <w:spacing w:after="170" w:line="260" w:lineRule="atLeast"/>
        <w:jc w:val="both"/>
        <w:textAlignment w:val="center"/>
        <w:rPr>
          <w:rFonts w:ascii="David" w:eastAsiaTheme="minorHAnsi" w:hAnsiTheme="minorHAnsi" w:cs="David"/>
          <w:color w:val="000000"/>
          <w:rtl/>
        </w:rPr>
      </w:pPr>
      <w:r w:rsidRPr="00C9498B">
        <w:rPr>
          <w:rFonts w:ascii="David" w:eastAsiaTheme="minorHAnsi" w:hAnsiTheme="minorHAnsi" w:cs="David" w:hint="cs"/>
          <w:color w:val="000000"/>
          <w:rtl/>
        </w:rPr>
        <w:t>הוועדה תבחן את סדרי העבודה הקיימים ואת הצעדים הדרושים להביא למיצוי של פוטנציאל כלי הרכב במשק לצורך היערכותו ותפקודו המלא בשעת חירום, ואת התקנים למספר הנהגים הדרוש והכשרתם.</w:t>
      </w:r>
    </w:p>
    <w:p w:rsidR="00C9498B" w:rsidRPr="00C9498B" w:rsidRDefault="00C9498B" w:rsidP="00C9498B">
      <w:pPr>
        <w:pStyle w:val="a8"/>
        <w:numPr>
          <w:ilvl w:val="0"/>
          <w:numId w:val="3"/>
        </w:numPr>
        <w:suppressAutoHyphens/>
        <w:autoSpaceDE w:val="0"/>
        <w:autoSpaceDN w:val="0"/>
        <w:adjustRightInd w:val="0"/>
        <w:spacing w:after="170" w:line="260" w:lineRule="atLeast"/>
        <w:jc w:val="both"/>
        <w:textAlignment w:val="center"/>
        <w:rPr>
          <w:rFonts w:ascii="David" w:eastAsiaTheme="minorHAnsi" w:hAnsiTheme="minorHAnsi" w:cs="David"/>
          <w:color w:val="000000"/>
          <w:rtl/>
        </w:rPr>
      </w:pPr>
      <w:r w:rsidRPr="00C9498B">
        <w:rPr>
          <w:rFonts w:ascii="David" w:eastAsiaTheme="minorHAnsi" w:hAnsiTheme="minorHAnsi" w:cs="David" w:hint="cs"/>
          <w:color w:val="000000"/>
          <w:rtl/>
        </w:rPr>
        <w:t xml:space="preserve">הערות מבקר המדינה בדוח מספר </w:t>
      </w:r>
      <w:proofErr w:type="spellStart"/>
      <w:r w:rsidRPr="00C9498B">
        <w:rPr>
          <w:rFonts w:ascii="David" w:eastAsiaTheme="minorHAnsi" w:hAnsiTheme="minorHAnsi" w:cs="David" w:hint="cs"/>
          <w:color w:val="000000"/>
          <w:rtl/>
        </w:rPr>
        <w:t>60א</w:t>
      </w:r>
      <w:proofErr w:type="spellEnd"/>
      <w:r w:rsidRPr="00C9498B">
        <w:rPr>
          <w:rFonts w:ascii="David" w:eastAsiaTheme="minorHAnsi" w:hAnsiTheme="minorHAnsi" w:cs="David" w:hint="cs"/>
          <w:color w:val="000000"/>
          <w:rtl/>
        </w:rPr>
        <w:t>' יילקחו בחשבון במהלך ביצוע ההחלטה.</w:t>
      </w:r>
    </w:p>
    <w:p w:rsidR="00C9498B" w:rsidRPr="00C9498B" w:rsidRDefault="00C9498B" w:rsidP="00C9498B">
      <w:pPr>
        <w:pStyle w:val="a8"/>
        <w:numPr>
          <w:ilvl w:val="0"/>
          <w:numId w:val="3"/>
        </w:numPr>
        <w:suppressAutoHyphens/>
        <w:autoSpaceDE w:val="0"/>
        <w:autoSpaceDN w:val="0"/>
        <w:adjustRightInd w:val="0"/>
        <w:spacing w:after="170" w:line="260" w:lineRule="atLeast"/>
        <w:jc w:val="both"/>
        <w:textAlignment w:val="center"/>
        <w:rPr>
          <w:rFonts w:ascii="David" w:eastAsiaTheme="minorHAnsi" w:hAnsiTheme="minorHAnsi" w:cs="David"/>
          <w:color w:val="000000"/>
          <w:rtl/>
        </w:rPr>
      </w:pPr>
      <w:r w:rsidRPr="00C9498B">
        <w:rPr>
          <w:rFonts w:ascii="David" w:eastAsiaTheme="minorHAnsi" w:hAnsiTheme="minorHAnsi" w:cs="David" w:hint="cs"/>
          <w:color w:val="000000"/>
          <w:rtl/>
        </w:rPr>
        <w:t>הוועדה תגיש את מסקנותיה והמלצותיה לוועדת השרים בתוך 4 חודשים.</w:t>
      </w:r>
    </w:p>
    <w:p w:rsidR="00C9498B" w:rsidRPr="00C9498B" w:rsidRDefault="00C9498B" w:rsidP="00C9498B">
      <w:pPr>
        <w:autoSpaceDE w:val="0"/>
        <w:autoSpaceDN w:val="0"/>
        <w:adjustRightInd w:val="0"/>
        <w:spacing w:before="113" w:after="283" w:line="288" w:lineRule="auto"/>
        <w:jc w:val="both"/>
        <w:textAlignment w:val="center"/>
        <w:rPr>
          <w:rFonts w:ascii="David" w:eastAsiaTheme="minorHAnsi" w:hAnsiTheme="minorHAnsi" w:cs="David"/>
          <w:b/>
          <w:bCs/>
          <w:color w:val="000000"/>
          <w:sz w:val="28"/>
          <w:szCs w:val="28"/>
          <w:rtl/>
        </w:rPr>
      </w:pPr>
      <w:r w:rsidRPr="00C9498B">
        <w:rPr>
          <w:rFonts w:ascii="David" w:eastAsiaTheme="minorHAnsi" w:hAnsiTheme="minorHAnsi" w:cs="David" w:hint="cs"/>
          <w:b/>
          <w:bCs/>
          <w:color w:val="000000"/>
          <w:sz w:val="28"/>
          <w:szCs w:val="28"/>
          <w:rtl/>
        </w:rPr>
        <w:t xml:space="preserve">ביצוע ההחלטה </w:t>
      </w:r>
    </w:p>
    <w:p w:rsidR="00C9498B" w:rsidRPr="00C9498B" w:rsidRDefault="00C9498B" w:rsidP="00C9498B">
      <w:pPr>
        <w:suppressAutoHyphens/>
        <w:autoSpaceDE w:val="0"/>
        <w:autoSpaceDN w:val="0"/>
        <w:adjustRightInd w:val="0"/>
        <w:spacing w:after="113" w:line="288" w:lineRule="auto"/>
        <w:jc w:val="both"/>
        <w:textAlignment w:val="center"/>
        <w:rPr>
          <w:rFonts w:ascii="David" w:eastAsiaTheme="minorHAnsi" w:hAnsiTheme="minorHAnsi" w:cs="David"/>
          <w:b/>
          <w:bCs/>
          <w:color w:val="000000"/>
          <w:rtl/>
        </w:rPr>
      </w:pPr>
      <w:r w:rsidRPr="00C9498B">
        <w:rPr>
          <w:rFonts w:ascii="David" w:eastAsiaTheme="minorHAnsi" w:hAnsiTheme="minorHAnsi" w:cs="David" w:hint="cs"/>
          <w:b/>
          <w:bCs/>
          <w:color w:val="000000"/>
          <w:rtl/>
        </w:rPr>
        <w:t>משרד התחבורה</w:t>
      </w:r>
    </w:p>
    <w:p w:rsidR="00C9498B" w:rsidRPr="00C9498B" w:rsidRDefault="00C9498B" w:rsidP="00C9498B">
      <w:pPr>
        <w:suppressAutoHyphens/>
        <w:autoSpaceDE w:val="0"/>
        <w:autoSpaceDN w:val="0"/>
        <w:adjustRightInd w:val="0"/>
        <w:spacing w:after="170" w:line="260" w:lineRule="atLeast"/>
        <w:jc w:val="both"/>
        <w:textAlignment w:val="center"/>
        <w:rPr>
          <w:rFonts w:ascii="David" w:eastAsiaTheme="minorHAnsi" w:hAnsiTheme="minorHAnsi" w:cs="David"/>
          <w:color w:val="000000"/>
          <w:rtl/>
        </w:rPr>
      </w:pPr>
      <w:r w:rsidRPr="00C9498B">
        <w:rPr>
          <w:rFonts w:ascii="David" w:eastAsiaTheme="minorHAnsi" w:hAnsiTheme="minorHAnsi" w:cs="David" w:hint="cs"/>
          <w:color w:val="000000"/>
          <w:spacing w:val="2"/>
          <w:rtl/>
        </w:rPr>
        <w:t>ועדה בראשות רשות החירום הלאומית (</w:t>
      </w:r>
      <w:proofErr w:type="spellStart"/>
      <w:r w:rsidRPr="00C9498B">
        <w:rPr>
          <w:rFonts w:ascii="David" w:eastAsiaTheme="minorHAnsi" w:hAnsiTheme="minorHAnsi" w:cs="David" w:hint="cs"/>
          <w:color w:val="000000"/>
          <w:spacing w:val="2"/>
          <w:rtl/>
        </w:rPr>
        <w:t>רח"ל</w:t>
      </w:r>
      <w:proofErr w:type="spellEnd"/>
      <w:r w:rsidRPr="00C9498B">
        <w:rPr>
          <w:rFonts w:ascii="David" w:eastAsiaTheme="minorHAnsi" w:hAnsiTheme="minorHAnsi" w:cs="David" w:hint="cs"/>
          <w:color w:val="000000"/>
          <w:spacing w:val="2"/>
          <w:rtl/>
        </w:rPr>
        <w:t>) שבמשרד הביטחון, בהשתתפות משרד התחבורה והבטיחות בדרכים, צה"ל ומשרד התעשייה, המסחר והתעסוקה, הוקמה והחלה בעבודתה.</w:t>
      </w:r>
    </w:p>
    <w:p w:rsidR="00C9498B" w:rsidRPr="00C9498B" w:rsidRDefault="00C9498B" w:rsidP="00C9498B">
      <w:pPr>
        <w:suppressAutoHyphens/>
        <w:autoSpaceDE w:val="0"/>
        <w:autoSpaceDN w:val="0"/>
        <w:adjustRightInd w:val="0"/>
        <w:spacing w:after="170" w:line="260" w:lineRule="atLeast"/>
        <w:jc w:val="both"/>
        <w:textAlignment w:val="center"/>
        <w:rPr>
          <w:rFonts w:ascii="David" w:eastAsiaTheme="minorHAnsi" w:hAnsiTheme="minorHAnsi" w:cs="David"/>
          <w:color w:val="000000"/>
          <w:rtl/>
        </w:rPr>
      </w:pPr>
      <w:r w:rsidRPr="00C9498B">
        <w:rPr>
          <w:rFonts w:ascii="David" w:eastAsiaTheme="minorHAnsi" w:hAnsiTheme="minorHAnsi" w:cs="David" w:hint="cs"/>
          <w:color w:val="000000"/>
          <w:rtl/>
        </w:rPr>
        <w:t>הוועדה בוחנת את הצעדים הדרושים למיצוי פוטנציאל כלי הרכב במשק, במטרה לאזן בין צרכי המשק האזרחי וצרכי צה"ל, לצורך היערכותו ותפקודו המלא בשעת חירום.</w:t>
      </w:r>
    </w:p>
    <w:p w:rsidR="00C9498B" w:rsidRPr="00C9498B" w:rsidRDefault="00C9498B" w:rsidP="00C9498B">
      <w:pPr>
        <w:suppressAutoHyphens/>
        <w:autoSpaceDE w:val="0"/>
        <w:autoSpaceDN w:val="0"/>
        <w:adjustRightInd w:val="0"/>
        <w:spacing w:after="170" w:line="260" w:lineRule="atLeast"/>
        <w:jc w:val="both"/>
        <w:textAlignment w:val="center"/>
        <w:rPr>
          <w:rFonts w:ascii="David" w:eastAsiaTheme="minorHAnsi" w:hAnsiTheme="minorHAnsi" w:cs="David"/>
          <w:color w:val="000000"/>
          <w:rtl/>
        </w:rPr>
      </w:pPr>
      <w:r w:rsidRPr="00C9498B">
        <w:rPr>
          <w:rFonts w:ascii="David" w:eastAsiaTheme="minorHAnsi" w:hAnsiTheme="minorHAnsi" w:cs="David" w:hint="cs"/>
          <w:color w:val="000000"/>
          <w:rtl/>
        </w:rPr>
        <w:t>רשות התובלה היבשתית נמצאת בעיצומה של עבודה לעדכון היערכותה לשעת חירום בעת מלחמה.</w:t>
      </w:r>
    </w:p>
    <w:p w:rsidR="00C9498B" w:rsidRPr="00C9498B" w:rsidRDefault="00C9498B" w:rsidP="00C9498B">
      <w:pPr>
        <w:suppressAutoHyphens/>
        <w:autoSpaceDE w:val="0"/>
        <w:autoSpaceDN w:val="0"/>
        <w:adjustRightInd w:val="0"/>
        <w:spacing w:after="170" w:line="260" w:lineRule="atLeast"/>
        <w:jc w:val="both"/>
        <w:textAlignment w:val="center"/>
        <w:rPr>
          <w:rFonts w:ascii="David" w:eastAsiaTheme="minorHAnsi" w:hAnsiTheme="minorHAnsi" w:cs="David"/>
          <w:color w:val="000000"/>
          <w:rtl/>
        </w:rPr>
      </w:pPr>
      <w:r w:rsidRPr="00C9498B">
        <w:rPr>
          <w:rFonts w:ascii="David" w:eastAsiaTheme="minorHAnsi" w:hAnsiTheme="minorHAnsi" w:cs="David" w:hint="cs"/>
          <w:color w:val="000000"/>
          <w:rtl/>
        </w:rPr>
        <w:t>שלב הכנת תרחיש הייחוס הענפי המעודכן הסתיים בימים אלה. במקביל בוצעה הערכה ראשונית של מספר המשאיות לסוגיהן, הנדרש לרשות התובלה היבשתית בתרחיש המלחמה.</w:t>
      </w:r>
    </w:p>
    <w:p w:rsidR="009021C2" w:rsidRPr="0007469B" w:rsidRDefault="00C9498B" w:rsidP="00C9498B">
      <w:r w:rsidRPr="00C9498B">
        <w:rPr>
          <w:rFonts w:ascii="David" w:eastAsiaTheme="minorHAnsi" w:hAnsiTheme="minorHAnsi" w:cs="David" w:hint="cs"/>
          <w:color w:val="000000"/>
          <w:rtl/>
        </w:rPr>
        <w:t>חברת הייעוץ העורכת את העבודה, אמורה להגיש את מסקנותיה והמלצותיה בסוף אוגוסט 2010. לאחריה ייכנס המשרד לעבודת מטה לבחינת ההמלצות וגיבוש תכנית עבודה למימושן.</w:t>
      </w:r>
    </w:p>
    <w:sectPr w:rsidR="009021C2" w:rsidRPr="0007469B" w:rsidSect="003D5B74">
      <w:headerReference w:type="default" r:id="rId7"/>
      <w:pgSz w:w="11906" w:h="16838"/>
      <w:pgMar w:top="1440" w:right="1800" w:bottom="1440" w:left="1800" w:header="708" w:footer="472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B74" w:rsidRDefault="003D5B74" w:rsidP="00D43AF5">
      <w:r>
        <w:separator/>
      </w:r>
    </w:p>
  </w:endnote>
  <w:endnote w:type="continuationSeparator" w:id="1">
    <w:p w:rsidR="003D5B74" w:rsidRDefault="003D5B74" w:rsidP="00D43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B74" w:rsidRDefault="003D5B74" w:rsidP="00D43AF5">
      <w:r>
        <w:separator/>
      </w:r>
    </w:p>
  </w:footnote>
  <w:footnote w:type="continuationSeparator" w:id="1">
    <w:p w:rsidR="003D5B74" w:rsidRDefault="003D5B74" w:rsidP="00D43A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B74" w:rsidRPr="00D43AF5" w:rsidRDefault="009F72E9" w:rsidP="003D5B74">
    <w:pPr>
      <w:pStyle w:val="a3"/>
      <w:jc w:val="right"/>
      <w:rPr>
        <w:rFonts w:cs="David"/>
        <w:sz w:val="14"/>
        <w:szCs w:val="14"/>
        <w:rtl/>
      </w:rPr>
    </w:pPr>
    <w:r w:rsidRPr="00D43AF5">
      <w:rPr>
        <w:rFonts w:cs="David"/>
        <w:sz w:val="14"/>
        <w:szCs w:val="14"/>
        <w:rtl/>
      </w:rPr>
      <w:fldChar w:fldCharType="begin"/>
    </w:r>
    <w:r w:rsidR="003D5B74" w:rsidRPr="00D43AF5">
      <w:rPr>
        <w:rFonts w:cs="David"/>
        <w:sz w:val="14"/>
        <w:szCs w:val="14"/>
        <w:rtl/>
      </w:rPr>
      <w:instrText xml:space="preserve"> </w:instrText>
    </w:r>
    <w:r w:rsidR="003D5B74" w:rsidRPr="00D43AF5">
      <w:rPr>
        <w:rFonts w:cs="David" w:hint="cs"/>
        <w:sz w:val="14"/>
        <w:szCs w:val="14"/>
      </w:rPr>
      <w:instrText>TIME  \@ "HH:mm"  \* MERGEFORMAT</w:instrText>
    </w:r>
    <w:r w:rsidR="003D5B74" w:rsidRPr="00D43AF5">
      <w:rPr>
        <w:rFonts w:cs="David"/>
        <w:sz w:val="14"/>
        <w:szCs w:val="14"/>
        <w:rtl/>
      </w:rPr>
      <w:instrText xml:space="preserve"> </w:instrText>
    </w:r>
    <w:r w:rsidRPr="00D43AF5">
      <w:rPr>
        <w:rFonts w:cs="David"/>
        <w:sz w:val="14"/>
        <w:szCs w:val="14"/>
        <w:rtl/>
      </w:rPr>
      <w:fldChar w:fldCharType="separate"/>
    </w:r>
    <w:r w:rsidR="00C9498B">
      <w:rPr>
        <w:rFonts w:cs="David" w:hint="cs"/>
        <w:noProof/>
        <w:sz w:val="14"/>
        <w:szCs w:val="14"/>
        <w:rtl/>
      </w:rPr>
      <w:t>‏</w:t>
    </w:r>
    <w:r w:rsidR="00C9498B">
      <w:rPr>
        <w:rFonts w:cs="David"/>
        <w:noProof/>
        <w:sz w:val="14"/>
        <w:szCs w:val="14"/>
        <w:rtl/>
      </w:rPr>
      <w:t>16:57</w:t>
    </w:r>
    <w:r w:rsidRPr="00D43AF5">
      <w:rPr>
        <w:rFonts w:cs="David"/>
        <w:sz w:val="14"/>
        <w:szCs w:val="14"/>
        <w:rtl/>
      </w:rPr>
      <w:fldChar w:fldCharType="end"/>
    </w:r>
    <w:r w:rsidR="003D5B74" w:rsidRPr="00D43AF5">
      <w:rPr>
        <w:rFonts w:cs="David" w:hint="cs"/>
        <w:sz w:val="14"/>
        <w:szCs w:val="14"/>
        <w:rtl/>
      </w:rPr>
      <w:t xml:space="preserve">  </w:t>
    </w:r>
    <w:r w:rsidRPr="00D43AF5">
      <w:rPr>
        <w:rFonts w:cs="David"/>
        <w:sz w:val="14"/>
        <w:szCs w:val="14"/>
        <w:rtl/>
      </w:rPr>
      <w:fldChar w:fldCharType="begin"/>
    </w:r>
    <w:r w:rsidR="003D5B74" w:rsidRPr="00D43AF5">
      <w:rPr>
        <w:rFonts w:cs="David"/>
        <w:sz w:val="14"/>
        <w:szCs w:val="14"/>
        <w:rtl/>
      </w:rPr>
      <w:instrText xml:space="preserve"> </w:instrText>
    </w:r>
    <w:r w:rsidR="003D5B74" w:rsidRPr="00D43AF5">
      <w:rPr>
        <w:rFonts w:cs="David" w:hint="cs"/>
        <w:sz w:val="14"/>
        <w:szCs w:val="14"/>
      </w:rPr>
      <w:instrText>DATE  \@ "yyyy-MM-dd"  \* MERGEFORMAT</w:instrText>
    </w:r>
    <w:r w:rsidR="003D5B74" w:rsidRPr="00D43AF5">
      <w:rPr>
        <w:rFonts w:cs="David"/>
        <w:sz w:val="14"/>
        <w:szCs w:val="14"/>
        <w:rtl/>
      </w:rPr>
      <w:instrText xml:space="preserve"> </w:instrText>
    </w:r>
    <w:r w:rsidRPr="00D43AF5">
      <w:rPr>
        <w:rFonts w:cs="David"/>
        <w:sz w:val="14"/>
        <w:szCs w:val="14"/>
        <w:rtl/>
      </w:rPr>
      <w:fldChar w:fldCharType="separate"/>
    </w:r>
    <w:r w:rsidR="00C9498B">
      <w:rPr>
        <w:rFonts w:cs="David" w:hint="cs"/>
        <w:noProof/>
        <w:sz w:val="14"/>
        <w:szCs w:val="14"/>
        <w:rtl/>
      </w:rPr>
      <w:t>‏</w:t>
    </w:r>
    <w:r w:rsidR="00C9498B">
      <w:rPr>
        <w:rFonts w:cs="David"/>
        <w:noProof/>
        <w:sz w:val="14"/>
        <w:szCs w:val="14"/>
        <w:rtl/>
      </w:rPr>
      <w:t>2010–12–09</w:t>
    </w:r>
    <w:r w:rsidRPr="00D43AF5">
      <w:rPr>
        <w:rFonts w:cs="David"/>
        <w:sz w:val="14"/>
        <w:szCs w:val="14"/>
        <w:rtl/>
      </w:rPr>
      <w:fldChar w:fldCharType="end"/>
    </w:r>
    <w:r w:rsidR="003D5B74" w:rsidRPr="00D43AF5">
      <w:rPr>
        <w:rFonts w:hint="cs"/>
        <w:sz w:val="14"/>
        <w:szCs w:val="14"/>
        <w:rtl/>
      </w:rPr>
      <w:t xml:space="preserve">   </w:t>
    </w:r>
    <w:fldSimple w:instr=" FILENAME  \* FirstCap \p  \* MERGEFORMAT ">
      <w:r w:rsidR="00A223E6" w:rsidRPr="00A223E6">
        <w:rPr>
          <w:noProof/>
          <w:sz w:val="14"/>
          <w:szCs w:val="14"/>
        </w:rPr>
        <w:t>L:\</w:t>
      </w:r>
      <w:r w:rsidR="00A223E6" w:rsidRPr="00A223E6">
        <w:rPr>
          <w:rFonts w:hint="cs"/>
          <w:noProof/>
          <w:sz w:val="14"/>
          <w:szCs w:val="14"/>
          <w:rtl/>
        </w:rPr>
        <w:t>הספר</w:t>
      </w:r>
      <w:r w:rsidR="00A223E6" w:rsidRPr="00A223E6">
        <w:rPr>
          <w:noProof/>
          <w:sz w:val="14"/>
          <w:szCs w:val="14"/>
          <w:rtl/>
        </w:rPr>
        <w:t xml:space="preserve"> - </w:t>
      </w:r>
      <w:r w:rsidR="00A223E6" w:rsidRPr="00A223E6">
        <w:rPr>
          <w:rFonts w:hint="cs"/>
          <w:noProof/>
          <w:sz w:val="14"/>
          <w:szCs w:val="14"/>
          <w:rtl/>
        </w:rPr>
        <w:t>מעקבים</w:t>
      </w:r>
      <w:r w:rsidR="00A223E6" w:rsidRPr="00A223E6">
        <w:rPr>
          <w:noProof/>
          <w:sz w:val="14"/>
          <w:szCs w:val="14"/>
          <w:rtl/>
        </w:rPr>
        <w:t xml:space="preserve"> 60</w:t>
      </w:r>
      <w:r w:rsidR="00A223E6" w:rsidRPr="00A223E6">
        <w:rPr>
          <w:rFonts w:hint="cs"/>
          <w:noProof/>
          <w:sz w:val="14"/>
          <w:szCs w:val="14"/>
          <w:rtl/>
        </w:rPr>
        <w:t>ב</w:t>
      </w:r>
      <w:r w:rsidR="00A223E6" w:rsidRPr="00A223E6">
        <w:rPr>
          <w:noProof/>
          <w:sz w:val="14"/>
          <w:szCs w:val="14"/>
          <w:rtl/>
        </w:rPr>
        <w:t>\</w:t>
      </w:r>
      <w:r w:rsidR="00A223E6" w:rsidRPr="00A223E6">
        <w:rPr>
          <w:rFonts w:hint="cs"/>
          <w:noProof/>
          <w:sz w:val="14"/>
          <w:szCs w:val="14"/>
          <w:rtl/>
        </w:rPr>
        <w:t>עקיבא</w:t>
      </w:r>
      <w:r w:rsidR="00A223E6" w:rsidRPr="00A223E6">
        <w:rPr>
          <w:noProof/>
          <w:sz w:val="14"/>
          <w:szCs w:val="14"/>
          <w:rtl/>
        </w:rPr>
        <w:t>\</w:t>
      </w:r>
      <w:r w:rsidR="00A223E6" w:rsidRPr="00A223E6">
        <w:rPr>
          <w:rFonts w:hint="cs"/>
          <w:noProof/>
          <w:sz w:val="14"/>
          <w:szCs w:val="14"/>
          <w:rtl/>
        </w:rPr>
        <w:t>ועדות</w:t>
      </w:r>
      <w:r w:rsidR="00A223E6" w:rsidRPr="00A223E6">
        <w:rPr>
          <w:noProof/>
          <w:sz w:val="14"/>
          <w:szCs w:val="14"/>
          <w:rtl/>
        </w:rPr>
        <w:t xml:space="preserve"> </w:t>
      </w:r>
      <w:r w:rsidR="00A223E6" w:rsidRPr="00A223E6">
        <w:rPr>
          <w:rFonts w:hint="cs"/>
          <w:noProof/>
          <w:sz w:val="14"/>
          <w:szCs w:val="14"/>
          <w:rtl/>
        </w:rPr>
        <w:t>שרים</w:t>
      </w:r>
      <w:r w:rsidR="00A223E6" w:rsidRPr="00A223E6">
        <w:rPr>
          <w:noProof/>
          <w:sz w:val="14"/>
          <w:szCs w:val="14"/>
          <w:rtl/>
        </w:rPr>
        <w:t>\</w:t>
      </w:r>
      <w:r w:rsidR="00A223E6" w:rsidRPr="00A223E6">
        <w:rPr>
          <w:rFonts w:hint="cs"/>
          <w:noProof/>
          <w:sz w:val="14"/>
          <w:szCs w:val="14"/>
          <w:rtl/>
        </w:rPr>
        <w:t>היערכות</w:t>
      </w:r>
      <w:r w:rsidR="00A223E6" w:rsidRPr="00A223E6">
        <w:rPr>
          <w:noProof/>
          <w:sz w:val="14"/>
          <w:szCs w:val="14"/>
          <w:rtl/>
        </w:rPr>
        <w:t xml:space="preserve">  </w:t>
      </w:r>
      <w:r w:rsidR="00A223E6" w:rsidRPr="00A223E6">
        <w:rPr>
          <w:rFonts w:hint="cs"/>
          <w:noProof/>
          <w:sz w:val="14"/>
          <w:szCs w:val="14"/>
          <w:rtl/>
        </w:rPr>
        <w:t>משרד</w:t>
      </w:r>
      <w:r w:rsidR="00A223E6" w:rsidRPr="00A223E6">
        <w:rPr>
          <w:noProof/>
          <w:sz w:val="14"/>
          <w:szCs w:val="14"/>
          <w:rtl/>
        </w:rPr>
        <w:t xml:space="preserve"> </w:t>
      </w:r>
      <w:r w:rsidR="00A223E6" w:rsidRPr="00A223E6">
        <w:rPr>
          <w:rFonts w:hint="cs"/>
          <w:noProof/>
          <w:sz w:val="14"/>
          <w:szCs w:val="14"/>
          <w:rtl/>
        </w:rPr>
        <w:t>התחבורה</w:t>
      </w:r>
      <w:r w:rsidR="00A223E6" w:rsidRPr="00A223E6">
        <w:rPr>
          <w:noProof/>
          <w:sz w:val="14"/>
          <w:szCs w:val="14"/>
          <w:rtl/>
        </w:rPr>
        <w:t xml:space="preserve"> </w:t>
      </w:r>
      <w:r w:rsidR="00A223E6" w:rsidRPr="00A223E6">
        <w:rPr>
          <w:rFonts w:hint="cs"/>
          <w:noProof/>
          <w:sz w:val="14"/>
          <w:szCs w:val="14"/>
          <w:rtl/>
        </w:rPr>
        <w:t>והבטיחות</w:t>
      </w:r>
      <w:r w:rsidR="00A223E6" w:rsidRPr="00A223E6">
        <w:rPr>
          <w:noProof/>
          <w:sz w:val="14"/>
          <w:szCs w:val="14"/>
          <w:rtl/>
        </w:rPr>
        <w:t xml:space="preserve"> </w:t>
      </w:r>
      <w:r w:rsidR="00A223E6" w:rsidRPr="00A223E6">
        <w:rPr>
          <w:rFonts w:hint="cs"/>
          <w:noProof/>
          <w:sz w:val="14"/>
          <w:szCs w:val="14"/>
          <w:rtl/>
        </w:rPr>
        <w:t>בדרכים</w:t>
      </w:r>
      <w:r w:rsidR="00A223E6" w:rsidRPr="00A223E6">
        <w:rPr>
          <w:noProof/>
          <w:sz w:val="14"/>
          <w:szCs w:val="14"/>
          <w:rtl/>
        </w:rPr>
        <w:t xml:space="preserve"> </w:t>
      </w:r>
      <w:r w:rsidR="00A223E6" w:rsidRPr="00A223E6">
        <w:rPr>
          <w:rFonts w:hint="cs"/>
          <w:noProof/>
          <w:sz w:val="14"/>
          <w:szCs w:val="14"/>
          <w:rtl/>
        </w:rPr>
        <w:t>למתן</w:t>
      </w:r>
      <w:r w:rsidR="00A223E6" w:rsidRPr="00A223E6">
        <w:rPr>
          <w:noProof/>
          <w:sz w:val="14"/>
          <w:szCs w:val="14"/>
          <w:rtl/>
        </w:rPr>
        <w:t xml:space="preserve"> </w:t>
      </w:r>
      <w:r w:rsidR="00A223E6" w:rsidRPr="00A223E6">
        <w:rPr>
          <w:rFonts w:hint="cs"/>
          <w:noProof/>
          <w:sz w:val="14"/>
          <w:szCs w:val="14"/>
          <w:rtl/>
        </w:rPr>
        <w:t>שירותי</w:t>
      </w:r>
      <w:r w:rsidR="00A223E6" w:rsidRPr="00A223E6">
        <w:rPr>
          <w:noProof/>
          <w:sz w:val="14"/>
          <w:szCs w:val="14"/>
          <w:rtl/>
        </w:rPr>
        <w:t xml:space="preserve"> </w:t>
      </w:r>
      <w:r w:rsidR="00A223E6" w:rsidRPr="00A223E6">
        <w:rPr>
          <w:rFonts w:hint="cs"/>
          <w:noProof/>
          <w:sz w:val="14"/>
          <w:szCs w:val="14"/>
          <w:rtl/>
        </w:rPr>
        <w:t>תובלה</w:t>
      </w:r>
      <w:r w:rsidR="00A223E6" w:rsidRPr="00A223E6">
        <w:rPr>
          <w:noProof/>
          <w:sz w:val="14"/>
          <w:szCs w:val="14"/>
          <w:rtl/>
        </w:rPr>
        <w:t xml:space="preserve">  </w:t>
      </w:r>
      <w:r w:rsidR="00A223E6" w:rsidRPr="00A223E6">
        <w:rPr>
          <w:rFonts w:hint="cs"/>
          <w:noProof/>
          <w:sz w:val="14"/>
          <w:szCs w:val="14"/>
          <w:rtl/>
        </w:rPr>
        <w:t>למשק</w:t>
      </w:r>
      <w:r w:rsidR="00A223E6" w:rsidRPr="00A223E6">
        <w:rPr>
          <w:noProof/>
          <w:sz w:val="14"/>
          <w:szCs w:val="14"/>
          <w:rtl/>
        </w:rPr>
        <w:t xml:space="preserve">  </w:t>
      </w:r>
      <w:r w:rsidR="00A223E6" w:rsidRPr="00A223E6">
        <w:rPr>
          <w:rFonts w:hint="cs"/>
          <w:noProof/>
          <w:sz w:val="14"/>
          <w:szCs w:val="14"/>
          <w:rtl/>
        </w:rPr>
        <w:t>האזרחי</w:t>
      </w:r>
      <w:r w:rsidR="00A223E6" w:rsidRPr="00A223E6">
        <w:rPr>
          <w:noProof/>
          <w:sz w:val="14"/>
          <w:szCs w:val="14"/>
          <w:rtl/>
        </w:rPr>
        <w:t xml:space="preserve"> </w:t>
      </w:r>
      <w:r w:rsidR="00A223E6" w:rsidRPr="00A223E6">
        <w:rPr>
          <w:rFonts w:hint="cs"/>
          <w:noProof/>
          <w:sz w:val="14"/>
          <w:szCs w:val="14"/>
          <w:rtl/>
        </w:rPr>
        <w:t>בק</w:t>
      </w:r>
      <w:r w:rsidR="00A223E6" w:rsidRPr="00A223E6">
        <w:rPr>
          <w:noProof/>
          <w:sz w:val="14"/>
          <w:szCs w:val="14"/>
          <w:rtl/>
        </w:rPr>
        <w:t>11</w:t>
      </w:r>
      <w:r w:rsidR="00A223E6" w:rsidRPr="00A223E6">
        <w:rPr>
          <w:noProof/>
          <w:sz w:val="14"/>
          <w:szCs w:val="14"/>
        </w:rPr>
        <w:t>.docx</w:t>
      </w:r>
    </w:fldSimple>
    <w:r w:rsidR="003D5B74" w:rsidRPr="00D43AF5">
      <w:rPr>
        <w:rFonts w:hint="cs"/>
        <w:sz w:val="14"/>
        <w:szCs w:val="14"/>
        <w:rtl/>
      </w:rPr>
      <w:t xml:space="preserve">    </w:t>
    </w:r>
    <w:r w:rsidR="003D5B74" w:rsidRPr="00D43AF5">
      <w:rPr>
        <w:rFonts w:cs="David" w:hint="cs"/>
        <w:sz w:val="14"/>
        <w:szCs w:val="14"/>
        <w:rtl/>
      </w:rPr>
      <w:t>-</w:t>
    </w:r>
    <w:r w:rsidRPr="00D43AF5">
      <w:rPr>
        <w:rFonts w:cs="David"/>
        <w:sz w:val="14"/>
        <w:szCs w:val="14"/>
        <w:rtl/>
      </w:rPr>
      <w:fldChar w:fldCharType="begin"/>
    </w:r>
    <w:r w:rsidR="003D5B74" w:rsidRPr="00D43AF5">
      <w:rPr>
        <w:rFonts w:cs="David"/>
        <w:sz w:val="14"/>
        <w:szCs w:val="14"/>
        <w:rtl/>
      </w:rPr>
      <w:instrText xml:space="preserve"> </w:instrText>
    </w:r>
    <w:r w:rsidR="003D5B74" w:rsidRPr="00D43AF5">
      <w:rPr>
        <w:rFonts w:cs="David"/>
        <w:sz w:val="14"/>
        <w:szCs w:val="14"/>
      </w:rPr>
      <w:instrText>PAGE   \* MERGEFORMAT</w:instrText>
    </w:r>
    <w:r w:rsidR="003D5B74" w:rsidRPr="00D43AF5">
      <w:rPr>
        <w:rFonts w:cs="David"/>
        <w:sz w:val="14"/>
        <w:szCs w:val="14"/>
        <w:rtl/>
      </w:rPr>
      <w:instrText xml:space="preserve"> </w:instrText>
    </w:r>
    <w:r w:rsidRPr="00D43AF5">
      <w:rPr>
        <w:rFonts w:cs="David"/>
        <w:sz w:val="14"/>
        <w:szCs w:val="14"/>
        <w:rtl/>
      </w:rPr>
      <w:fldChar w:fldCharType="separate"/>
    </w:r>
    <w:r w:rsidR="00C9498B">
      <w:rPr>
        <w:rFonts w:cs="David"/>
        <w:noProof/>
        <w:sz w:val="14"/>
        <w:szCs w:val="14"/>
        <w:rtl/>
      </w:rPr>
      <w:t>1</w:t>
    </w:r>
    <w:r w:rsidRPr="00D43AF5">
      <w:rPr>
        <w:rFonts w:cs="David"/>
        <w:sz w:val="14"/>
        <w:szCs w:val="14"/>
        <w:rtl/>
      </w:rPr>
      <w:fldChar w:fldCharType="end"/>
    </w:r>
    <w:r w:rsidR="003D5B74" w:rsidRPr="00D43AF5">
      <w:rPr>
        <w:rFonts w:cs="David" w:hint="cs"/>
        <w:sz w:val="14"/>
        <w:szCs w:val="14"/>
        <w:rtl/>
      </w:rPr>
      <w:t>-</w:t>
    </w:r>
  </w:p>
  <w:p w:rsidR="003D5B74" w:rsidRDefault="003D5B74" w:rsidP="003D5B74">
    <w:pPr>
      <w:pStyle w:val="a3"/>
      <w:rPr>
        <w:rFonts w:cs="David"/>
        <w:sz w:val="20"/>
        <w:szCs w:val="20"/>
        <w:u w:val="single"/>
        <w:rtl/>
      </w:rPr>
    </w:pPr>
  </w:p>
  <w:p w:rsidR="003D5B74" w:rsidRPr="00E14CCD" w:rsidRDefault="003D5B74" w:rsidP="003D5B74">
    <w:pPr>
      <w:pStyle w:val="a3"/>
      <w:jc w:val="both"/>
      <w:rPr>
        <w:rFonts w:cs="David"/>
        <w:sz w:val="20"/>
        <w:szCs w:val="20"/>
        <w:u w:val="single"/>
        <w:rtl/>
      </w:rPr>
    </w:pPr>
    <w:r>
      <w:rPr>
        <w:rFonts w:cs="David" w:hint="cs"/>
        <w:szCs w:val="20"/>
        <w:u w:val="single"/>
        <w:rtl/>
      </w:rPr>
      <w:t>מעקב אחר תיקון ליקויים, אגף המפקח הכללי לענייני ביקורת המדינה</w:t>
    </w:r>
    <w:r>
      <w:rPr>
        <w:rFonts w:cs="David" w:hint="cs"/>
        <w:sz w:val="20"/>
        <w:szCs w:val="20"/>
        <w:u w:val="single"/>
        <w:rtl/>
      </w:rPr>
      <w:t xml:space="preserve">                                         החלטות ועדת שרים</w:t>
    </w:r>
  </w:p>
  <w:p w:rsidR="003D5B74" w:rsidRPr="0070082B" w:rsidRDefault="003D5B74" w:rsidP="003D5B74">
    <w:pPr>
      <w:pStyle w:val="a3"/>
      <w:jc w:val="both"/>
      <w:rPr>
        <w:rFonts w:cs="David"/>
        <w:sz w:val="20"/>
        <w:szCs w:val="20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568B2"/>
    <w:multiLevelType w:val="hybridMultilevel"/>
    <w:tmpl w:val="8A1A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22973"/>
    <w:multiLevelType w:val="hybridMultilevel"/>
    <w:tmpl w:val="6E78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304E3"/>
    <w:multiLevelType w:val="hybridMultilevel"/>
    <w:tmpl w:val="2CCE4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226A"/>
    <w:rsid w:val="00000243"/>
    <w:rsid w:val="00000739"/>
    <w:rsid w:val="00027667"/>
    <w:rsid w:val="00043D5A"/>
    <w:rsid w:val="000510D6"/>
    <w:rsid w:val="00073FA9"/>
    <w:rsid w:val="0007469B"/>
    <w:rsid w:val="00082BAA"/>
    <w:rsid w:val="00087487"/>
    <w:rsid w:val="000B2B5D"/>
    <w:rsid w:val="000C2368"/>
    <w:rsid w:val="000C4E8F"/>
    <w:rsid w:val="000D0FB7"/>
    <w:rsid w:val="000D160F"/>
    <w:rsid w:val="000E34F0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32852"/>
    <w:rsid w:val="00237AB5"/>
    <w:rsid w:val="00240148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106F0"/>
    <w:rsid w:val="0033198C"/>
    <w:rsid w:val="003344B0"/>
    <w:rsid w:val="00337EC9"/>
    <w:rsid w:val="00346AB7"/>
    <w:rsid w:val="00354067"/>
    <w:rsid w:val="00360A13"/>
    <w:rsid w:val="0037478F"/>
    <w:rsid w:val="00377C35"/>
    <w:rsid w:val="003A6D84"/>
    <w:rsid w:val="003A7C4A"/>
    <w:rsid w:val="003C75F5"/>
    <w:rsid w:val="003D223E"/>
    <w:rsid w:val="003D2A5B"/>
    <w:rsid w:val="003D5B74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1055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578C3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00DB0"/>
    <w:rsid w:val="0073050A"/>
    <w:rsid w:val="00733D53"/>
    <w:rsid w:val="00746EEA"/>
    <w:rsid w:val="00753962"/>
    <w:rsid w:val="00761FB5"/>
    <w:rsid w:val="007629F8"/>
    <w:rsid w:val="00762B5D"/>
    <w:rsid w:val="00772A72"/>
    <w:rsid w:val="007736D0"/>
    <w:rsid w:val="007827A7"/>
    <w:rsid w:val="00783E86"/>
    <w:rsid w:val="00787AB8"/>
    <w:rsid w:val="007A22BA"/>
    <w:rsid w:val="007B0C4D"/>
    <w:rsid w:val="007B4AAF"/>
    <w:rsid w:val="007D1079"/>
    <w:rsid w:val="00810E64"/>
    <w:rsid w:val="0081406C"/>
    <w:rsid w:val="00817201"/>
    <w:rsid w:val="0082226A"/>
    <w:rsid w:val="00867F44"/>
    <w:rsid w:val="0087700A"/>
    <w:rsid w:val="0088076B"/>
    <w:rsid w:val="008A1154"/>
    <w:rsid w:val="008A3C6F"/>
    <w:rsid w:val="008B1C1D"/>
    <w:rsid w:val="008B5AD7"/>
    <w:rsid w:val="008C6C8E"/>
    <w:rsid w:val="008D6336"/>
    <w:rsid w:val="008F2398"/>
    <w:rsid w:val="008F498E"/>
    <w:rsid w:val="009021C2"/>
    <w:rsid w:val="00911D45"/>
    <w:rsid w:val="00917859"/>
    <w:rsid w:val="00922D8C"/>
    <w:rsid w:val="009409FE"/>
    <w:rsid w:val="00963FFB"/>
    <w:rsid w:val="00973104"/>
    <w:rsid w:val="00984194"/>
    <w:rsid w:val="00991DD6"/>
    <w:rsid w:val="00993D03"/>
    <w:rsid w:val="00996DB6"/>
    <w:rsid w:val="009A62C4"/>
    <w:rsid w:val="009B1770"/>
    <w:rsid w:val="009D6F86"/>
    <w:rsid w:val="009E5072"/>
    <w:rsid w:val="009E6EFD"/>
    <w:rsid w:val="009E732F"/>
    <w:rsid w:val="009F72E9"/>
    <w:rsid w:val="00A0070D"/>
    <w:rsid w:val="00A020E1"/>
    <w:rsid w:val="00A21168"/>
    <w:rsid w:val="00A223E6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265D"/>
    <w:rsid w:val="00B4418A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B48F3"/>
    <w:rsid w:val="00BC6FA3"/>
    <w:rsid w:val="00BD08C2"/>
    <w:rsid w:val="00BE0D3F"/>
    <w:rsid w:val="00BE5D78"/>
    <w:rsid w:val="00BF7A7D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92F7C"/>
    <w:rsid w:val="00C9498B"/>
    <w:rsid w:val="00CA2206"/>
    <w:rsid w:val="00CB6CA1"/>
    <w:rsid w:val="00CC3E2F"/>
    <w:rsid w:val="00CC683F"/>
    <w:rsid w:val="00CD2AA0"/>
    <w:rsid w:val="00CE2D49"/>
    <w:rsid w:val="00CF1835"/>
    <w:rsid w:val="00D02568"/>
    <w:rsid w:val="00D038BA"/>
    <w:rsid w:val="00D04CE8"/>
    <w:rsid w:val="00D20800"/>
    <w:rsid w:val="00D37D9E"/>
    <w:rsid w:val="00D43AF5"/>
    <w:rsid w:val="00D57A3C"/>
    <w:rsid w:val="00D66429"/>
    <w:rsid w:val="00D8517D"/>
    <w:rsid w:val="00DA0DCD"/>
    <w:rsid w:val="00DA74D9"/>
    <w:rsid w:val="00DC0772"/>
    <w:rsid w:val="00DD5A06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0927"/>
    <w:rsid w:val="00E728AF"/>
    <w:rsid w:val="00E77641"/>
    <w:rsid w:val="00E84B36"/>
    <w:rsid w:val="00E8515A"/>
    <w:rsid w:val="00E92150"/>
    <w:rsid w:val="00E92381"/>
    <w:rsid w:val="00EA14C1"/>
    <w:rsid w:val="00EC33CF"/>
    <w:rsid w:val="00EF3EE3"/>
    <w:rsid w:val="00EF6F1E"/>
    <w:rsid w:val="00F17E20"/>
    <w:rsid w:val="00F24A00"/>
    <w:rsid w:val="00F26A54"/>
    <w:rsid w:val="00F358E6"/>
    <w:rsid w:val="00F471BF"/>
    <w:rsid w:val="00F532A4"/>
    <w:rsid w:val="00F53CF2"/>
    <w:rsid w:val="00F61368"/>
    <w:rsid w:val="00F61BE5"/>
    <w:rsid w:val="00F73C50"/>
    <w:rsid w:val="00F76F5F"/>
    <w:rsid w:val="00F7757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26A"/>
    <w:pPr>
      <w:bidi/>
      <w:spacing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746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2226A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4">
    <w:name w:val="כותרת עליונה תו"/>
    <w:basedOn w:val="a0"/>
    <w:link w:val="a3"/>
    <w:rsid w:val="0082226A"/>
    <w:rPr>
      <w:rFonts w:cstheme="minorBidi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82226A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2226A"/>
    <w:rPr>
      <w:rFonts w:ascii="Tahoma" w:eastAsia="Times New Roman" w:hAnsi="Tahoma" w:cs="Tahoma"/>
      <w:sz w:val="16"/>
      <w:szCs w:val="16"/>
    </w:rPr>
  </w:style>
  <w:style w:type="paragraph" w:styleId="a7">
    <w:name w:val="No Spacing"/>
    <w:uiPriority w:val="1"/>
    <w:qFormat/>
    <w:rsid w:val="0007469B"/>
    <w:pPr>
      <w:bidi/>
      <w:spacing w:line="240" w:lineRule="auto"/>
    </w:pPr>
    <w:rPr>
      <w:rFonts w:ascii="Times New Roman" w:eastAsia="Times New Roman" w:hAnsi="Times New Roman" w:cs="Times New Roman"/>
    </w:rPr>
  </w:style>
  <w:style w:type="character" w:customStyle="1" w:styleId="10">
    <w:name w:val="כותרת 1 תו"/>
    <w:basedOn w:val="a0"/>
    <w:link w:val="1"/>
    <w:uiPriority w:val="9"/>
    <w:rsid w:val="000746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07469B"/>
    <w:pPr>
      <w:ind w:left="720"/>
      <w:contextualSpacing/>
    </w:pPr>
  </w:style>
  <w:style w:type="paragraph" w:styleId="a9">
    <w:name w:val="footer"/>
    <w:basedOn w:val="a"/>
    <w:link w:val="aa"/>
    <w:uiPriority w:val="99"/>
    <w:semiHidden/>
    <w:unhideWhenUsed/>
    <w:rsid w:val="00D43AF5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0"/>
    <w:link w:val="a9"/>
    <w:uiPriority w:val="99"/>
    <w:semiHidden/>
    <w:rsid w:val="00D43AF5"/>
    <w:rPr>
      <w:rFonts w:ascii="Times New Roman" w:eastAsia="Times New Roman" w:hAnsi="Times New Roman" w:cs="Times New Roman"/>
    </w:rPr>
  </w:style>
  <w:style w:type="paragraph" w:customStyle="1" w:styleId="ab">
    <w:name w:val="כותרת מאמר"/>
    <w:basedOn w:val="a"/>
    <w:uiPriority w:val="99"/>
    <w:rsid w:val="00C9498B"/>
    <w:pPr>
      <w:suppressAutoHyphens/>
      <w:autoSpaceDE w:val="0"/>
      <w:autoSpaceDN w:val="0"/>
      <w:adjustRightInd w:val="0"/>
      <w:spacing w:line="340" w:lineRule="atLeast"/>
      <w:jc w:val="center"/>
      <w:textAlignment w:val="center"/>
    </w:pPr>
    <w:rPr>
      <w:rFonts w:ascii="David" w:eastAsiaTheme="minorHAnsi" w:hAnsiTheme="minorHAnsi" w:cs="David"/>
      <w:b/>
      <w:bCs/>
      <w:color w:val="000000"/>
      <w:sz w:val="36"/>
      <w:szCs w:val="36"/>
    </w:rPr>
  </w:style>
  <w:style w:type="paragraph" w:customStyle="1" w:styleId="60">
    <w:name w:val="דוח 60א"/>
    <w:basedOn w:val="a"/>
    <w:uiPriority w:val="99"/>
    <w:rsid w:val="00C9498B"/>
    <w:pPr>
      <w:suppressAutoHyphens/>
      <w:autoSpaceDE w:val="0"/>
      <w:autoSpaceDN w:val="0"/>
      <w:adjustRightInd w:val="0"/>
      <w:spacing w:line="288" w:lineRule="auto"/>
      <w:jc w:val="center"/>
      <w:textAlignment w:val="center"/>
    </w:pPr>
    <w:rPr>
      <w:rFonts w:ascii="David" w:eastAsiaTheme="minorHAnsi" w:hAnsiTheme="minorHAnsi" w:cs="David"/>
      <w:b/>
      <w:bCs/>
      <w:color w:val="000000"/>
      <w:sz w:val="28"/>
      <w:szCs w:val="28"/>
    </w:rPr>
  </w:style>
  <w:style w:type="paragraph" w:customStyle="1" w:styleId="ac">
    <w:name w:val="החלטה מס'"/>
    <w:basedOn w:val="a"/>
    <w:uiPriority w:val="99"/>
    <w:rsid w:val="00C9498B"/>
    <w:pPr>
      <w:autoSpaceDE w:val="0"/>
      <w:autoSpaceDN w:val="0"/>
      <w:adjustRightInd w:val="0"/>
      <w:spacing w:after="283" w:line="288" w:lineRule="auto"/>
      <w:textAlignment w:val="center"/>
    </w:pPr>
    <w:rPr>
      <w:rFonts w:ascii="David" w:eastAsiaTheme="minorHAnsi" w:hAnsiTheme="minorHAnsi" w:cs="David"/>
      <w:b/>
      <w:bCs/>
      <w:color w:val="000000"/>
      <w:sz w:val="32"/>
      <w:szCs w:val="32"/>
    </w:rPr>
  </w:style>
  <w:style w:type="paragraph" w:customStyle="1" w:styleId="ad">
    <w:name w:val="מחליטים"/>
    <w:basedOn w:val="a"/>
    <w:uiPriority w:val="99"/>
    <w:rsid w:val="00C9498B"/>
    <w:pPr>
      <w:autoSpaceDE w:val="0"/>
      <w:autoSpaceDN w:val="0"/>
      <w:adjustRightInd w:val="0"/>
      <w:spacing w:before="113" w:after="283" w:line="288" w:lineRule="auto"/>
      <w:jc w:val="both"/>
      <w:textAlignment w:val="center"/>
    </w:pPr>
    <w:rPr>
      <w:rFonts w:ascii="David" w:eastAsiaTheme="minorHAnsi" w:hAnsiTheme="minorHAnsi" w:cs="David"/>
      <w:b/>
      <w:bCs/>
      <w:color w:val="000000"/>
      <w:sz w:val="28"/>
      <w:szCs w:val="28"/>
    </w:rPr>
  </w:style>
  <w:style w:type="paragraph" w:customStyle="1" w:styleId="ae">
    <w:name w:val="טקסט רץ מספרים"/>
    <w:basedOn w:val="a"/>
    <w:uiPriority w:val="99"/>
    <w:rsid w:val="00C9498B"/>
    <w:pPr>
      <w:suppressAutoHyphens/>
      <w:autoSpaceDE w:val="0"/>
      <w:autoSpaceDN w:val="0"/>
      <w:adjustRightInd w:val="0"/>
      <w:spacing w:after="170" w:line="260" w:lineRule="atLeast"/>
      <w:ind w:left="283" w:hanging="283"/>
      <w:jc w:val="both"/>
      <w:textAlignment w:val="center"/>
    </w:pPr>
    <w:rPr>
      <w:rFonts w:ascii="David" w:eastAsiaTheme="minorHAnsi" w:hAnsiTheme="minorHAnsi" w:cs="David"/>
      <w:color w:val="000000"/>
    </w:rPr>
  </w:style>
  <w:style w:type="paragraph" w:customStyle="1" w:styleId="af">
    <w:name w:val="המשרד לבטחון פנים"/>
    <w:basedOn w:val="a"/>
    <w:next w:val="a"/>
    <w:uiPriority w:val="99"/>
    <w:rsid w:val="00C9498B"/>
    <w:pPr>
      <w:suppressAutoHyphens/>
      <w:autoSpaceDE w:val="0"/>
      <w:autoSpaceDN w:val="0"/>
      <w:adjustRightInd w:val="0"/>
      <w:spacing w:after="113" w:line="288" w:lineRule="auto"/>
      <w:jc w:val="both"/>
      <w:textAlignment w:val="center"/>
    </w:pPr>
    <w:rPr>
      <w:rFonts w:ascii="David" w:eastAsiaTheme="minorHAnsi" w:hAnsiTheme="minorHAnsi" w:cs="David"/>
      <w:b/>
      <w:bCs/>
      <w:color w:val="000000"/>
    </w:rPr>
  </w:style>
  <w:style w:type="paragraph" w:customStyle="1" w:styleId="af0">
    <w:name w:val="טקסט רץ"/>
    <w:basedOn w:val="a"/>
    <w:next w:val="a"/>
    <w:uiPriority w:val="99"/>
    <w:rsid w:val="00C9498B"/>
    <w:pPr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David" w:eastAsiaTheme="minorHAnsi" w:hAnsiTheme="minorHAnsi" w:cs="Davi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2010-10-14T12:01:00Z</cp:lastPrinted>
  <dcterms:created xsi:type="dcterms:W3CDTF">2010-12-09T14:59:00Z</dcterms:created>
  <dcterms:modified xsi:type="dcterms:W3CDTF">2010-12-09T14:59:00Z</dcterms:modified>
</cp:coreProperties>
</file>