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82" w:rsidRPr="0004682C" w:rsidRDefault="00474282" w:rsidP="00474282">
      <w:pPr>
        <w:widowControl w:val="0"/>
        <w:ind w:left="-1" w:firstLine="0"/>
        <w:jc w:val="center"/>
        <w:rPr>
          <w:b/>
          <w:bCs/>
          <w:i/>
          <w:iCs/>
          <w:sz w:val="36"/>
          <w:szCs w:val="36"/>
          <w:rtl/>
        </w:rPr>
      </w:pPr>
      <w:r w:rsidRPr="0004682C">
        <w:rPr>
          <w:b/>
          <w:bCs/>
          <w:i/>
          <w:iCs/>
          <w:sz w:val="36"/>
          <w:szCs w:val="36"/>
          <w:rtl/>
        </w:rPr>
        <w:t>מוכנות לזמן חירום</w:t>
      </w:r>
    </w:p>
    <w:p w:rsidR="00474282" w:rsidRDefault="00474282" w:rsidP="00474282">
      <w:pPr>
        <w:widowControl w:val="0"/>
        <w:jc w:val="center"/>
        <w:rPr>
          <w:b/>
          <w:bCs/>
          <w:sz w:val="32"/>
          <w:szCs w:val="32"/>
          <w:rtl/>
        </w:rPr>
      </w:pPr>
    </w:p>
    <w:p w:rsidR="00474282" w:rsidRPr="00D85858" w:rsidRDefault="00474282" w:rsidP="00474282">
      <w:pPr>
        <w:widowControl w:val="0"/>
        <w:ind w:left="-1" w:firstLine="0"/>
        <w:jc w:val="center"/>
        <w:rPr>
          <w:b/>
          <w:bCs/>
          <w:sz w:val="32"/>
          <w:szCs w:val="32"/>
          <w:rtl/>
        </w:rPr>
      </w:pPr>
      <w:r w:rsidRPr="00BB7C6D">
        <w:rPr>
          <w:b/>
          <w:bCs/>
          <w:sz w:val="32"/>
          <w:szCs w:val="32"/>
          <w:rtl/>
        </w:rPr>
        <w:t>תהליך קבלת ההחלטות לפיתוח ולהצטיידות במערכות להגנה אקטיבית כנגד רקטות קרקע-</w:t>
      </w:r>
      <w:proofErr w:type="spellStart"/>
      <w:r w:rsidRPr="00BB7C6D">
        <w:rPr>
          <w:b/>
          <w:bCs/>
          <w:sz w:val="32"/>
          <w:szCs w:val="32"/>
          <w:rtl/>
        </w:rPr>
        <w:t>קרקע</w:t>
      </w:r>
      <w:proofErr w:type="spellEnd"/>
      <w:r w:rsidRPr="00BB7C6D">
        <w:rPr>
          <w:b/>
          <w:bCs/>
          <w:sz w:val="32"/>
          <w:szCs w:val="32"/>
          <w:rtl/>
        </w:rPr>
        <w:t xml:space="preserve"> </w:t>
      </w:r>
    </w:p>
    <w:p w:rsidR="00474282" w:rsidRPr="00D85858" w:rsidRDefault="00474282" w:rsidP="00474282">
      <w:pPr>
        <w:widowControl w:val="0"/>
        <w:jc w:val="center"/>
        <w:rPr>
          <w:b/>
          <w:bCs/>
          <w:sz w:val="32"/>
          <w:szCs w:val="32"/>
          <w:rtl/>
        </w:rPr>
      </w:pPr>
    </w:p>
    <w:p w:rsidR="00474282" w:rsidRPr="00BB7C6D" w:rsidRDefault="00474282" w:rsidP="00474282">
      <w:pPr>
        <w:widowControl w:val="0"/>
        <w:ind w:left="-1" w:firstLine="0"/>
        <w:rPr>
          <w:b/>
          <w:bCs/>
          <w:sz w:val="20"/>
          <w:rtl/>
        </w:rPr>
      </w:pPr>
      <w:r w:rsidRPr="00BB7C6D">
        <w:rPr>
          <w:b/>
          <w:bCs/>
          <w:sz w:val="20"/>
          <w:rtl/>
        </w:rPr>
        <w:t>הגופים המבוקרים: משרד הביטחון; צבא ההגנה לישראל; התעשייה האווירית לישראל בע"מ; רפאל – מערכות לחימה מתקדמות</w:t>
      </w:r>
    </w:p>
    <w:p w:rsidR="00474282" w:rsidRPr="00BB7C6D" w:rsidRDefault="00474282" w:rsidP="00474282">
      <w:pPr>
        <w:widowControl w:val="0"/>
        <w:ind w:left="-1" w:firstLine="0"/>
        <w:rPr>
          <w:b/>
          <w:bCs/>
          <w:sz w:val="20"/>
          <w:rtl/>
        </w:rPr>
      </w:pPr>
    </w:p>
    <w:p w:rsidR="00474282" w:rsidRPr="00FE0317" w:rsidRDefault="00474282" w:rsidP="00B87547">
      <w:pPr>
        <w:widowControl w:val="0"/>
        <w:ind w:left="-1" w:firstLine="0"/>
        <w:rPr>
          <w:sz w:val="20"/>
          <w:rtl/>
        </w:rPr>
      </w:pPr>
      <w:r w:rsidRPr="00FE0317">
        <w:rPr>
          <w:sz w:val="20"/>
          <w:rtl/>
        </w:rPr>
        <w:t>ליקו</w:t>
      </w:r>
      <w:r w:rsidR="00B87547">
        <w:rPr>
          <w:rFonts w:hint="cs"/>
          <w:sz w:val="20"/>
          <w:rtl/>
        </w:rPr>
        <w:t>יים</w:t>
      </w:r>
      <w:r w:rsidRPr="00FE0317">
        <w:rPr>
          <w:sz w:val="20"/>
          <w:rtl/>
        </w:rPr>
        <w:t xml:space="preserve"> </w:t>
      </w:r>
      <w:r w:rsidR="00B87547">
        <w:rPr>
          <w:rFonts w:hint="cs"/>
          <w:sz w:val="20"/>
          <w:rtl/>
        </w:rPr>
        <w:t>4,6-7</w:t>
      </w:r>
      <w:r w:rsidR="00B87547">
        <w:rPr>
          <w:sz w:val="20"/>
          <w:rtl/>
        </w:rPr>
        <w:t xml:space="preserve"> תו</w:t>
      </w:r>
      <w:r w:rsidR="00B87547">
        <w:rPr>
          <w:rFonts w:hint="cs"/>
          <w:sz w:val="20"/>
          <w:rtl/>
        </w:rPr>
        <w:t>קנו.</w:t>
      </w:r>
      <w:r w:rsidRPr="00FE0317">
        <w:rPr>
          <w:sz w:val="20"/>
          <w:rtl/>
        </w:rPr>
        <w:t xml:space="preserve"> ראה הערות רה"מ </w:t>
      </w:r>
      <w:proofErr w:type="spellStart"/>
      <w:r w:rsidRPr="00FE0317">
        <w:rPr>
          <w:sz w:val="20"/>
          <w:rtl/>
        </w:rPr>
        <w:t>59א</w:t>
      </w:r>
      <w:proofErr w:type="spellEnd"/>
      <w:r w:rsidRPr="00FE0317">
        <w:rPr>
          <w:sz w:val="20"/>
          <w:rtl/>
        </w:rPr>
        <w:t>' עמ' 3.</w:t>
      </w:r>
    </w:p>
    <w:p w:rsidR="00474282" w:rsidRDefault="00474282" w:rsidP="00474282">
      <w:pPr>
        <w:widowControl w:val="0"/>
        <w:rPr>
          <w:b/>
          <w:bCs/>
          <w:sz w:val="20"/>
          <w:rtl/>
        </w:rPr>
      </w:pPr>
    </w:p>
    <w:p w:rsidR="00474282" w:rsidRDefault="00474282" w:rsidP="00474282">
      <w:pPr>
        <w:pStyle w:val="a9"/>
        <w:ind w:left="-1" w:firstLine="0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ind w:left="-1" w:firstLine="0"/>
        <w:rPr>
          <w:bCs/>
          <w:rtl/>
        </w:rPr>
      </w:pPr>
    </w:p>
    <w:p w:rsidR="00474282" w:rsidRPr="00474282" w:rsidRDefault="00474282" w:rsidP="00474282">
      <w:pPr>
        <w:widowControl w:val="0"/>
        <w:ind w:hanging="567"/>
        <w:rPr>
          <w:sz w:val="20"/>
          <w:rtl/>
        </w:rPr>
      </w:pPr>
      <w:r w:rsidRPr="00106BDB">
        <w:rPr>
          <w:sz w:val="20"/>
          <w:rtl/>
        </w:rPr>
        <w:t>1.</w:t>
      </w:r>
      <w:r w:rsidRPr="00474282">
        <w:rPr>
          <w:sz w:val="20"/>
          <w:rtl/>
        </w:rPr>
        <w:tab/>
        <w:t xml:space="preserve">חיל האוויר לא העביר את הצורך המבצעי ליירוט </w:t>
      </w:r>
      <w:proofErr w:type="spellStart"/>
      <w:r w:rsidRPr="00474282">
        <w:rPr>
          <w:sz w:val="20"/>
          <w:rtl/>
        </w:rPr>
        <w:t>רק"ק</w:t>
      </w:r>
      <w:proofErr w:type="spellEnd"/>
      <w:r w:rsidRPr="00474282">
        <w:rPr>
          <w:sz w:val="20"/>
          <w:rtl/>
        </w:rPr>
        <w:t xml:space="preserve"> לאישור הרמטכ"ל או סגנו כנדרש בהוראות המשרד.</w:t>
      </w:r>
    </w:p>
    <w:p w:rsidR="00E97821" w:rsidRDefault="00E97821" w:rsidP="00474282">
      <w:pPr>
        <w:pStyle w:val="a9"/>
        <w:rPr>
          <w:b w:val="0"/>
          <w:bCs/>
          <w:sz w:val="20"/>
          <w:rtl/>
        </w:rPr>
      </w:pPr>
    </w:p>
    <w:p w:rsidR="00E97821" w:rsidRPr="00B15A5E" w:rsidRDefault="00E97821" w:rsidP="00E97821">
      <w:pPr>
        <w:pStyle w:val="a9"/>
        <w:rPr>
          <w:b w:val="0"/>
          <w:bCs/>
          <w:rtl/>
        </w:rPr>
      </w:pPr>
      <w:r w:rsidRPr="00B15A5E">
        <w:rPr>
          <w:b w:val="0"/>
          <w:bCs/>
          <w:rtl/>
        </w:rPr>
        <w:t>מעקב</w:t>
      </w:r>
    </w:p>
    <w:p w:rsidR="00E97821" w:rsidRPr="00B15A5E" w:rsidRDefault="00E97821" w:rsidP="00E97821">
      <w:pPr>
        <w:pStyle w:val="a9"/>
        <w:rPr>
          <w:b w:val="0"/>
          <w:bCs/>
          <w:rtl/>
        </w:rPr>
      </w:pPr>
      <w:r>
        <w:rPr>
          <w:rFonts w:hint="cs"/>
          <w:b w:val="0"/>
          <w:bCs/>
          <w:rtl/>
        </w:rPr>
        <w:t>צבר ההגנה לישראל</w:t>
      </w:r>
    </w:p>
    <w:p w:rsidR="00E97821" w:rsidRPr="00B541E1" w:rsidRDefault="00E97821" w:rsidP="00E97821">
      <w:pPr>
        <w:pStyle w:val="a9"/>
        <w:rPr>
          <w:b w:val="0"/>
          <w:bCs/>
          <w:rtl/>
        </w:rPr>
      </w:pPr>
    </w:p>
    <w:p w:rsidR="00E97821" w:rsidRDefault="00E97821" w:rsidP="00E97821">
      <w:pPr>
        <w:pStyle w:val="a9"/>
        <w:ind w:left="1134" w:hanging="1134"/>
        <w:rPr>
          <w:b w:val="0"/>
          <w:bCs/>
          <w:sz w:val="28"/>
          <w:rtl/>
        </w:rPr>
      </w:pPr>
      <w:r>
        <w:rPr>
          <w:rFonts w:hint="cs"/>
          <w:rtl/>
        </w:rPr>
        <w:t>1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sz w:val="20"/>
          <w:rtl/>
        </w:rPr>
        <w:t>ראה תגובה לליקוי מס' 8.</w:t>
      </w:r>
    </w:p>
    <w:p w:rsidR="00E97821" w:rsidRDefault="00E97821" w:rsidP="00474282">
      <w:pPr>
        <w:pStyle w:val="a9"/>
        <w:rPr>
          <w:b w:val="0"/>
          <w:bCs/>
          <w:sz w:val="20"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rPr>
          <w:bCs/>
          <w:rtl/>
        </w:rPr>
      </w:pPr>
    </w:p>
    <w:p w:rsidR="00E97821" w:rsidRDefault="00474282" w:rsidP="00E97821">
      <w:pPr>
        <w:widowControl w:val="0"/>
        <w:ind w:hanging="567"/>
        <w:rPr>
          <w:sz w:val="20"/>
          <w:rtl/>
        </w:rPr>
      </w:pPr>
      <w:r w:rsidRPr="00672BE8">
        <w:rPr>
          <w:sz w:val="20"/>
          <w:rtl/>
        </w:rPr>
        <w:t>2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r w:rsidRPr="00FE0317">
        <w:rPr>
          <w:sz w:val="20"/>
          <w:rtl/>
        </w:rPr>
        <w:t xml:space="preserve">עד יולי 2008 טרם אישר אגף תכנון בצה"ל את טיוטת איום הייחוס וההישג המבצעי הנדרש למערך הגנה אקטיבית כנגד </w:t>
      </w:r>
      <w:proofErr w:type="spellStart"/>
      <w:r w:rsidRPr="00FE0317">
        <w:rPr>
          <w:sz w:val="20"/>
          <w:rtl/>
        </w:rPr>
        <w:t>רק"ק</w:t>
      </w:r>
      <w:proofErr w:type="spellEnd"/>
      <w:r w:rsidRPr="00FE0317">
        <w:rPr>
          <w:sz w:val="20"/>
          <w:rtl/>
        </w:rPr>
        <w:t xml:space="preserve"> לטווח בינוני וארוך, שבכתיבתה החל בסוף שנת 2005, וטרם החל לכתוב מסמך כזה המתייחס </w:t>
      </w:r>
      <w:proofErr w:type="spellStart"/>
      <w:r w:rsidRPr="00FE0317">
        <w:rPr>
          <w:sz w:val="20"/>
          <w:rtl/>
        </w:rPr>
        <w:t>לרק"ק</w:t>
      </w:r>
      <w:proofErr w:type="spellEnd"/>
      <w:r w:rsidRPr="00FE0317">
        <w:rPr>
          <w:sz w:val="20"/>
          <w:rtl/>
        </w:rPr>
        <w:t xml:space="preserve"> קצרות טווח. כל זאת כשהמערכות </w:t>
      </w:r>
    </w:p>
    <w:p w:rsidR="00E97821" w:rsidRDefault="00E97821" w:rsidP="00E97821">
      <w:pPr>
        <w:widowControl w:val="0"/>
        <w:ind w:hanging="567"/>
        <w:rPr>
          <w:bCs/>
          <w:rtl/>
        </w:rPr>
      </w:pPr>
    </w:p>
    <w:p w:rsidR="00E97821" w:rsidRPr="00B15A5E" w:rsidRDefault="00E97821" w:rsidP="00E97821">
      <w:pPr>
        <w:widowControl w:val="0"/>
        <w:ind w:hanging="567"/>
        <w:rPr>
          <w:b/>
          <w:bCs/>
          <w:rtl/>
        </w:rPr>
      </w:pPr>
      <w:r w:rsidRPr="00B15A5E">
        <w:rPr>
          <w:bCs/>
          <w:rtl/>
        </w:rPr>
        <w:t>מעקב</w:t>
      </w:r>
    </w:p>
    <w:p w:rsidR="00E97821" w:rsidRPr="00B15A5E" w:rsidRDefault="00E97821" w:rsidP="00E97821">
      <w:pPr>
        <w:pStyle w:val="a9"/>
        <w:rPr>
          <w:b w:val="0"/>
          <w:bCs/>
          <w:rtl/>
        </w:rPr>
      </w:pPr>
      <w:r>
        <w:rPr>
          <w:rFonts w:hint="cs"/>
          <w:b w:val="0"/>
          <w:bCs/>
          <w:rtl/>
        </w:rPr>
        <w:t>צבר ההגנה לישראל</w:t>
      </w:r>
    </w:p>
    <w:p w:rsidR="00E97821" w:rsidRPr="00B541E1" w:rsidRDefault="00E97821" w:rsidP="00E97821">
      <w:pPr>
        <w:pStyle w:val="a9"/>
        <w:rPr>
          <w:b w:val="0"/>
          <w:bCs/>
          <w:rtl/>
        </w:rPr>
      </w:pPr>
    </w:p>
    <w:p w:rsidR="00E97821" w:rsidRDefault="00E97821" w:rsidP="00E97821">
      <w:pPr>
        <w:pStyle w:val="a9"/>
        <w:ind w:left="1134" w:hanging="1134"/>
        <w:rPr>
          <w:sz w:val="20"/>
          <w:rtl/>
        </w:rPr>
      </w:pPr>
      <w:r>
        <w:rPr>
          <w:rFonts w:hint="cs"/>
          <w:rtl/>
        </w:rPr>
        <w:t>2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sz w:val="20"/>
          <w:rtl/>
        </w:rPr>
        <w:t>לא דווח על התקדמות בתיקון הליקוי.</w:t>
      </w:r>
      <w:r w:rsidR="00B125CD">
        <w:rPr>
          <w:rFonts w:hint="cs"/>
          <w:sz w:val="20"/>
          <w:rtl/>
        </w:rPr>
        <w:t xml:space="preserve"> ראה ספר המעקבים עמ' 771.</w:t>
      </w:r>
    </w:p>
    <w:p w:rsidR="00E97821" w:rsidRDefault="00E97821" w:rsidP="00E97821">
      <w:pPr>
        <w:pStyle w:val="a9"/>
        <w:ind w:left="1134" w:hanging="1134"/>
        <w:rPr>
          <w:b w:val="0"/>
          <w:bCs/>
          <w:sz w:val="28"/>
          <w:rtl/>
        </w:rPr>
      </w:pPr>
    </w:p>
    <w:p w:rsidR="00474282" w:rsidRPr="00A351F0" w:rsidRDefault="00474282" w:rsidP="00474282">
      <w:pPr>
        <w:pStyle w:val="a9"/>
        <w:rPr>
          <w:b w:val="0"/>
          <w:bCs/>
          <w:rtl/>
        </w:rPr>
      </w:pPr>
      <w:r w:rsidRPr="00A351F0">
        <w:rPr>
          <w:b w:val="0"/>
          <w:bCs/>
          <w:rtl/>
        </w:rPr>
        <w:t>ליקוי</w:t>
      </w:r>
    </w:p>
    <w:p w:rsidR="00474282" w:rsidRDefault="00474282" w:rsidP="00474282">
      <w:pPr>
        <w:pStyle w:val="a9"/>
        <w:rPr>
          <w:rtl/>
        </w:rPr>
      </w:pPr>
    </w:p>
    <w:p w:rsidR="00474282" w:rsidRPr="002B7812" w:rsidRDefault="00474282" w:rsidP="00474282">
      <w:pPr>
        <w:widowControl w:val="0"/>
        <w:ind w:hanging="567"/>
        <w:rPr>
          <w:sz w:val="20"/>
          <w:rtl/>
        </w:rPr>
      </w:pPr>
      <w:r w:rsidRPr="00672BE8">
        <w:rPr>
          <w:sz w:val="20"/>
          <w:rtl/>
        </w:rPr>
        <w:t>3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proofErr w:type="spellStart"/>
      <w:r w:rsidRPr="002B7812">
        <w:rPr>
          <w:sz w:val="20"/>
          <w:rtl/>
        </w:rPr>
        <w:t>מפא"ת</w:t>
      </w:r>
      <w:proofErr w:type="spellEnd"/>
      <w:r w:rsidRPr="002B7812">
        <w:rPr>
          <w:sz w:val="20"/>
          <w:rtl/>
        </w:rPr>
        <w:t xml:space="preserve"> לא ערך בדיקת מערכת במתכונת המפורטת בהוראות המשרד למערכות העיקריות שהחיל.</w:t>
      </w:r>
    </w:p>
    <w:p w:rsidR="00474282" w:rsidRDefault="00474282" w:rsidP="00474282">
      <w:pPr>
        <w:widowControl w:val="0"/>
        <w:rPr>
          <w:b/>
          <w:bCs/>
          <w:sz w:val="20"/>
          <w:u w:val="single"/>
          <w:rtl/>
        </w:rPr>
      </w:pPr>
    </w:p>
    <w:p w:rsidR="00A50533" w:rsidRDefault="00A50533" w:rsidP="00A50533">
      <w:pPr>
        <w:pStyle w:val="a9"/>
        <w:rPr>
          <w:bCs/>
          <w:rtl/>
        </w:rPr>
      </w:pPr>
      <w:r>
        <w:rPr>
          <w:b w:val="0"/>
          <w:bCs/>
          <w:rtl/>
        </w:rPr>
        <w:t>מעקב</w:t>
      </w:r>
    </w:p>
    <w:p w:rsidR="00A50533" w:rsidRDefault="00A50533" w:rsidP="00A50533">
      <w:pPr>
        <w:pStyle w:val="a9"/>
        <w:rPr>
          <w:bCs/>
          <w:rtl/>
        </w:rPr>
      </w:pPr>
      <w:r>
        <w:rPr>
          <w:rFonts w:hint="cs"/>
          <w:bCs/>
          <w:rtl/>
        </w:rPr>
        <w:t>משרד הביטחון</w:t>
      </w:r>
    </w:p>
    <w:p w:rsidR="00A50533" w:rsidRDefault="00A50533" w:rsidP="00A50533">
      <w:pPr>
        <w:pStyle w:val="a9"/>
        <w:rPr>
          <w:bCs/>
          <w:rtl/>
        </w:rPr>
      </w:pPr>
    </w:p>
    <w:p w:rsidR="00A50533" w:rsidRDefault="00A50533" w:rsidP="00A50533">
      <w:pPr>
        <w:widowControl w:val="0"/>
        <w:ind w:left="1134" w:hanging="1134"/>
        <w:rPr>
          <w:b/>
          <w:bCs/>
          <w:rtl/>
        </w:rPr>
      </w:pPr>
      <w:r>
        <w:rPr>
          <w:rFonts w:hint="cs"/>
          <w:rtl/>
        </w:rPr>
        <w:t>3.</w:t>
      </w:r>
      <w:r>
        <w:rPr>
          <w:rtl/>
        </w:rPr>
        <w:tab/>
      </w:r>
      <w:r>
        <w:rPr>
          <w:rFonts w:hint="cs"/>
          <w:sz w:val="20"/>
          <w:rtl/>
        </w:rPr>
        <w:t>ראה תגובת המשרד לליקויים 11-13 בהמשך.</w:t>
      </w:r>
    </w:p>
    <w:p w:rsidR="00A50533" w:rsidRDefault="00A50533" w:rsidP="00474282">
      <w:pPr>
        <w:pStyle w:val="a9"/>
        <w:rPr>
          <w:b w:val="0"/>
          <w:bCs/>
          <w:sz w:val="20"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rPr>
          <w:bCs/>
          <w:rtl/>
        </w:rPr>
      </w:pPr>
    </w:p>
    <w:p w:rsidR="00474282" w:rsidRPr="00BB7C6D" w:rsidRDefault="00474282" w:rsidP="00E97821">
      <w:pPr>
        <w:widowControl w:val="0"/>
        <w:ind w:left="720" w:hanging="720"/>
        <w:rPr>
          <w:sz w:val="20"/>
          <w:rtl/>
        </w:rPr>
      </w:pPr>
      <w:r w:rsidRPr="00672BE8">
        <w:rPr>
          <w:sz w:val="20"/>
          <w:rtl/>
        </w:rPr>
        <w:t>5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proofErr w:type="spellStart"/>
      <w:r w:rsidRPr="002B7812">
        <w:rPr>
          <w:sz w:val="20"/>
          <w:rtl/>
        </w:rPr>
        <w:t>מפא"ת</w:t>
      </w:r>
      <w:proofErr w:type="spellEnd"/>
      <w:r w:rsidRPr="002B7812">
        <w:rPr>
          <w:sz w:val="20"/>
          <w:rtl/>
        </w:rPr>
        <w:t xml:space="preserve"> דרש מרפאל בהסכם בין המשרד לבין רפאל לפיתוח ולהצטיידות ב</w:t>
      </w:r>
      <w:r w:rsidR="00E97821">
        <w:rPr>
          <w:rFonts w:hint="cs"/>
          <w:sz w:val="20"/>
          <w:rtl/>
        </w:rPr>
        <w:t>מערכת א'.</w:t>
      </w:r>
      <w:r w:rsidRPr="002B7812">
        <w:rPr>
          <w:sz w:val="20"/>
          <w:rtl/>
        </w:rPr>
        <w:t xml:space="preserve"> מאפריל 2007 "ביצועים מופחתים ותוצאתיים לתהליך פיתוח המערכת" ליירוט </w:t>
      </w:r>
      <w:proofErr w:type="spellStart"/>
      <w:r w:rsidRPr="002B7812">
        <w:rPr>
          <w:sz w:val="20"/>
          <w:rtl/>
        </w:rPr>
        <w:t>רק"ק</w:t>
      </w:r>
      <w:proofErr w:type="spellEnd"/>
      <w:r w:rsidRPr="002B7812">
        <w:rPr>
          <w:sz w:val="20"/>
          <w:rtl/>
        </w:rPr>
        <w:t xml:space="preserve"> המשוגרות מטווחים </w:t>
      </w:r>
      <w:proofErr w:type="spellStart"/>
      <w:r w:rsidRPr="002B7812">
        <w:rPr>
          <w:sz w:val="20"/>
          <w:rtl/>
        </w:rPr>
        <w:t>מסויימים</w:t>
      </w:r>
      <w:proofErr w:type="spellEnd"/>
      <w:r w:rsidRPr="002B7812">
        <w:rPr>
          <w:sz w:val="20"/>
          <w:rtl/>
        </w:rPr>
        <w:t xml:space="preserve"> הנכללים בצורך המבצעי. זאת, ללא הגדרה כמותית המחייבת את רפאל במפורש בפיתוח מערכת בעלת יכולת יירוט של </w:t>
      </w:r>
      <w:proofErr w:type="spellStart"/>
      <w:r w:rsidRPr="002B7812">
        <w:rPr>
          <w:sz w:val="20"/>
          <w:rtl/>
        </w:rPr>
        <w:t>רק"ק</w:t>
      </w:r>
      <w:proofErr w:type="spellEnd"/>
      <w:r w:rsidRPr="002B7812">
        <w:rPr>
          <w:sz w:val="20"/>
          <w:rtl/>
        </w:rPr>
        <w:t xml:space="preserve"> מטווחים אלה.</w:t>
      </w:r>
      <w:r w:rsidRPr="00BB7C6D">
        <w:rPr>
          <w:sz w:val="20"/>
          <w:rtl/>
        </w:rPr>
        <w:t xml:space="preserve"> </w:t>
      </w:r>
    </w:p>
    <w:p w:rsidR="00474282" w:rsidRPr="00BB7C6D" w:rsidRDefault="00474282" w:rsidP="00474282">
      <w:pPr>
        <w:widowControl w:val="0"/>
        <w:rPr>
          <w:b/>
          <w:bCs/>
          <w:sz w:val="20"/>
          <w:rtl/>
        </w:rPr>
      </w:pPr>
    </w:p>
    <w:p w:rsidR="00713BF1" w:rsidRDefault="00713BF1" w:rsidP="00713BF1">
      <w:pPr>
        <w:pStyle w:val="a9"/>
        <w:rPr>
          <w:bCs/>
          <w:rtl/>
        </w:rPr>
      </w:pPr>
      <w:r>
        <w:rPr>
          <w:b w:val="0"/>
          <w:bCs/>
          <w:rtl/>
        </w:rPr>
        <w:t>מעקב</w:t>
      </w:r>
    </w:p>
    <w:p w:rsidR="00713BF1" w:rsidRDefault="00713BF1" w:rsidP="00713BF1">
      <w:pPr>
        <w:pStyle w:val="a9"/>
        <w:rPr>
          <w:bCs/>
          <w:rtl/>
        </w:rPr>
      </w:pPr>
      <w:r>
        <w:rPr>
          <w:rFonts w:hint="cs"/>
          <w:bCs/>
          <w:rtl/>
        </w:rPr>
        <w:t>משרד הביטחון</w:t>
      </w:r>
    </w:p>
    <w:p w:rsidR="00713BF1" w:rsidRDefault="00713BF1" w:rsidP="00713BF1">
      <w:pPr>
        <w:pStyle w:val="a9"/>
        <w:rPr>
          <w:bCs/>
          <w:rtl/>
        </w:rPr>
      </w:pPr>
    </w:p>
    <w:p w:rsidR="00A50533" w:rsidRDefault="00713BF1" w:rsidP="00A50533">
      <w:pPr>
        <w:widowControl w:val="0"/>
        <w:ind w:left="1134" w:hanging="1134"/>
        <w:rPr>
          <w:bCs/>
          <w:rtl/>
        </w:rPr>
      </w:pPr>
      <w:r>
        <w:rPr>
          <w:rFonts w:hint="cs"/>
          <w:rtl/>
        </w:rPr>
        <w:t>5.</w:t>
      </w:r>
      <w:r>
        <w:rPr>
          <w:rtl/>
        </w:rPr>
        <w:tab/>
      </w:r>
      <w:r w:rsidRPr="00713BF1">
        <w:rPr>
          <w:sz w:val="20"/>
          <w:rtl/>
        </w:rPr>
        <w:t xml:space="preserve">מאז </w:t>
      </w:r>
      <w:r w:rsidR="00A50533">
        <w:rPr>
          <w:rFonts w:hint="cs"/>
          <w:sz w:val="20"/>
          <w:rtl/>
        </w:rPr>
        <w:t xml:space="preserve">עריכת </w:t>
      </w:r>
      <w:r w:rsidRPr="00713BF1">
        <w:rPr>
          <w:sz w:val="20"/>
          <w:rtl/>
        </w:rPr>
        <w:t xml:space="preserve">הביקורת בוצעו מספר עדכונים בחוזה </w:t>
      </w:r>
      <w:r w:rsidR="00A50533">
        <w:rPr>
          <w:rFonts w:hint="cs"/>
          <w:sz w:val="20"/>
          <w:rtl/>
        </w:rPr>
        <w:t xml:space="preserve">של מערכת א' </w:t>
      </w:r>
      <w:r w:rsidRPr="00713BF1">
        <w:rPr>
          <w:sz w:val="20"/>
          <w:rtl/>
        </w:rPr>
        <w:t xml:space="preserve">מול רפא"ל. המערכת עומדת בדרישות המוגדרות בדרישה המבצעית ועדכון אחרון של החוזה לסגירת המפרטים המעודכנים באופן סופי . צפי סיום </w:t>
      </w:r>
      <w:r>
        <w:rPr>
          <w:rFonts w:hint="cs"/>
          <w:sz w:val="20"/>
          <w:rtl/>
        </w:rPr>
        <w:t>-</w:t>
      </w:r>
      <w:r w:rsidRPr="00713BF1">
        <w:rPr>
          <w:sz w:val="20"/>
          <w:rtl/>
        </w:rPr>
        <w:t xml:space="preserve"> סוף 2010.</w:t>
      </w:r>
    </w:p>
    <w:p w:rsidR="00A50533" w:rsidRDefault="00A50533" w:rsidP="00A50533">
      <w:pPr>
        <w:widowControl w:val="0"/>
        <w:ind w:left="1134" w:hanging="1134"/>
        <w:rPr>
          <w:bCs/>
          <w:rtl/>
        </w:rPr>
      </w:pPr>
    </w:p>
    <w:p w:rsidR="00A50533" w:rsidRDefault="00474282" w:rsidP="00A50533">
      <w:pPr>
        <w:widowControl w:val="0"/>
        <w:ind w:left="1134" w:hanging="1134"/>
        <w:rPr>
          <w:sz w:val="20"/>
          <w:rtl/>
        </w:rPr>
      </w:pPr>
      <w:r>
        <w:rPr>
          <w:bCs/>
          <w:rtl/>
        </w:rPr>
        <w:lastRenderedPageBreak/>
        <w:t>ליקוי</w:t>
      </w:r>
    </w:p>
    <w:p w:rsidR="00A50533" w:rsidRDefault="00A50533" w:rsidP="00A50533">
      <w:pPr>
        <w:widowControl w:val="0"/>
        <w:ind w:left="1134" w:hanging="1134"/>
        <w:rPr>
          <w:sz w:val="20"/>
          <w:rtl/>
        </w:rPr>
      </w:pPr>
    </w:p>
    <w:p w:rsidR="00474282" w:rsidRDefault="00474282" w:rsidP="00E97821">
      <w:pPr>
        <w:widowControl w:val="0"/>
        <w:ind w:left="1134" w:hanging="1134"/>
        <w:rPr>
          <w:rtl/>
        </w:rPr>
      </w:pPr>
      <w:r w:rsidRPr="00672BE8">
        <w:rPr>
          <w:sz w:val="20"/>
          <w:rtl/>
        </w:rPr>
        <w:t>8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proofErr w:type="spellStart"/>
      <w:r w:rsidRPr="002B7812">
        <w:rPr>
          <w:sz w:val="20"/>
          <w:rtl/>
        </w:rPr>
        <w:t>מפא"ת</w:t>
      </w:r>
      <w:proofErr w:type="spellEnd"/>
      <w:r w:rsidRPr="002B7812">
        <w:rPr>
          <w:sz w:val="20"/>
          <w:rtl/>
        </w:rPr>
        <w:t xml:space="preserve"> החל בינואר 2007 בפיתוח </w:t>
      </w:r>
      <w:r w:rsidR="00E97821">
        <w:rPr>
          <w:rFonts w:hint="cs"/>
          <w:sz w:val="20"/>
          <w:rtl/>
        </w:rPr>
        <w:t>מערכת ב'</w:t>
      </w:r>
      <w:r w:rsidRPr="002B7812">
        <w:rPr>
          <w:sz w:val="20"/>
          <w:rtl/>
        </w:rPr>
        <w:t xml:space="preserve"> בהיקף מלא לפני </w:t>
      </w:r>
      <w:proofErr w:type="spellStart"/>
      <w:r w:rsidRPr="002B7812">
        <w:rPr>
          <w:sz w:val="20"/>
          <w:rtl/>
        </w:rPr>
        <w:t>שאג"ת</w:t>
      </w:r>
      <w:proofErr w:type="spellEnd"/>
      <w:r w:rsidRPr="002B7812">
        <w:rPr>
          <w:sz w:val="20"/>
          <w:rtl/>
        </w:rPr>
        <w:t xml:space="preserve"> והחיל השלימו עבודת מטה, לרבות הגדרות של דרישה מבצעית והמענה המבצעי באמצעות המערכת. עד יולי 2008 החיל לא כתב דרישה מבצעית ל</w:t>
      </w:r>
      <w:r w:rsidR="00E97821">
        <w:rPr>
          <w:rFonts w:hint="cs"/>
          <w:sz w:val="20"/>
          <w:rtl/>
        </w:rPr>
        <w:t>מערכת ב'.</w:t>
      </w:r>
    </w:p>
    <w:p w:rsidR="00A50533" w:rsidRDefault="00A50533" w:rsidP="00474282">
      <w:pPr>
        <w:pStyle w:val="a9"/>
        <w:rPr>
          <w:b w:val="0"/>
          <w:bCs/>
          <w:sz w:val="20"/>
          <w:rtl/>
        </w:rPr>
      </w:pPr>
    </w:p>
    <w:p w:rsidR="00B87547" w:rsidRDefault="00B87547" w:rsidP="00B87547">
      <w:pPr>
        <w:pStyle w:val="a9"/>
        <w:rPr>
          <w:bCs/>
          <w:rtl/>
        </w:rPr>
      </w:pPr>
      <w:r>
        <w:rPr>
          <w:b w:val="0"/>
          <w:bCs/>
          <w:rtl/>
        </w:rPr>
        <w:t>מעקב</w:t>
      </w:r>
    </w:p>
    <w:p w:rsidR="00B87547" w:rsidRDefault="00B87547" w:rsidP="00B87547">
      <w:pPr>
        <w:pStyle w:val="a9"/>
        <w:rPr>
          <w:bCs/>
          <w:rtl/>
        </w:rPr>
      </w:pPr>
      <w:r>
        <w:rPr>
          <w:rFonts w:hint="cs"/>
          <w:bCs/>
          <w:rtl/>
        </w:rPr>
        <w:t>צבא הגנה לישראל</w:t>
      </w:r>
    </w:p>
    <w:p w:rsidR="00B87547" w:rsidRDefault="00B87547" w:rsidP="00B87547">
      <w:pPr>
        <w:pStyle w:val="a9"/>
        <w:rPr>
          <w:bCs/>
          <w:rtl/>
        </w:rPr>
      </w:pPr>
    </w:p>
    <w:p w:rsidR="00B87547" w:rsidRDefault="00B87547" w:rsidP="00B87547">
      <w:pPr>
        <w:pStyle w:val="a9"/>
        <w:rPr>
          <w:b w:val="0"/>
          <w:rtl/>
        </w:rPr>
      </w:pPr>
      <w:r>
        <w:rPr>
          <w:rFonts w:hint="cs"/>
          <w:b w:val="0"/>
          <w:rtl/>
        </w:rPr>
        <w:t>8.</w:t>
      </w:r>
      <w:r>
        <w:rPr>
          <w:rFonts w:hint="cs"/>
          <w:b w:val="0"/>
          <w:rtl/>
        </w:rPr>
        <w:tab/>
        <w:t xml:space="preserve">מערכת א' </w:t>
      </w:r>
      <w:r>
        <w:rPr>
          <w:b w:val="0"/>
          <w:rtl/>
        </w:rPr>
        <w:t>–</w:t>
      </w:r>
      <w:r>
        <w:rPr>
          <w:rFonts w:hint="cs"/>
          <w:b w:val="0"/>
          <w:rtl/>
        </w:rPr>
        <w:t xml:space="preserve"> הדרישה המבצעית אושרה ונחתמה באוקטובר 2009.</w:t>
      </w:r>
    </w:p>
    <w:p w:rsidR="00B87547" w:rsidRPr="00B87547" w:rsidRDefault="00B87547" w:rsidP="00B87547">
      <w:pPr>
        <w:pStyle w:val="a9"/>
        <w:rPr>
          <w:b w:val="0"/>
          <w:rtl/>
        </w:rPr>
      </w:pPr>
      <w:r>
        <w:rPr>
          <w:rFonts w:hint="cs"/>
          <w:b w:val="0"/>
          <w:rtl/>
        </w:rPr>
        <w:tab/>
        <w:t xml:space="preserve">מערכת ב' </w:t>
      </w:r>
      <w:r>
        <w:rPr>
          <w:b w:val="0"/>
          <w:rtl/>
        </w:rPr>
        <w:t>–</w:t>
      </w:r>
      <w:r>
        <w:rPr>
          <w:rFonts w:hint="cs"/>
          <w:b w:val="0"/>
          <w:rtl/>
        </w:rPr>
        <w:t xml:space="preserve"> הדרישה המבצעית תאושר במחצית השנייה של שנת 2010.</w:t>
      </w:r>
    </w:p>
    <w:p w:rsidR="00B87547" w:rsidRDefault="00B87547" w:rsidP="00474282">
      <w:pPr>
        <w:pStyle w:val="a9"/>
        <w:rPr>
          <w:b w:val="0"/>
          <w:bCs/>
          <w:sz w:val="20"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rPr>
          <w:bCs/>
          <w:rtl/>
        </w:rPr>
      </w:pPr>
    </w:p>
    <w:p w:rsidR="00474282" w:rsidRPr="00106553" w:rsidRDefault="00474282" w:rsidP="00A50533">
      <w:pPr>
        <w:widowControl w:val="0"/>
        <w:ind w:left="720" w:hanging="720"/>
        <w:rPr>
          <w:rtl/>
        </w:rPr>
      </w:pPr>
      <w:r w:rsidRPr="00672BE8">
        <w:rPr>
          <w:sz w:val="20"/>
          <w:rtl/>
        </w:rPr>
        <w:t>9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proofErr w:type="spellStart"/>
      <w:r w:rsidRPr="002B7812">
        <w:rPr>
          <w:sz w:val="20"/>
          <w:rtl/>
        </w:rPr>
        <w:t>אג"ת</w:t>
      </w:r>
      <w:proofErr w:type="spellEnd"/>
      <w:r w:rsidRPr="002B7812">
        <w:rPr>
          <w:sz w:val="20"/>
          <w:rtl/>
        </w:rPr>
        <w:t xml:space="preserve"> לא קיים עבודת מטה כנדרש לאישור פרויקט </w:t>
      </w:r>
      <w:r w:rsidR="00A50533">
        <w:rPr>
          <w:rFonts w:hint="cs"/>
          <w:sz w:val="20"/>
          <w:rtl/>
        </w:rPr>
        <w:t>מערכת ב'</w:t>
      </w:r>
      <w:r w:rsidRPr="002B7812">
        <w:rPr>
          <w:sz w:val="20"/>
          <w:rtl/>
        </w:rPr>
        <w:t xml:space="preserve"> קודם להחלטת הרמטכ"ל בספטמבר 2007 לתקצב את הפרויקט בסך מאות מיליוני ש"ח ועשרות מיליוני דולר לשנים 2012-2008.</w:t>
      </w:r>
    </w:p>
    <w:p w:rsidR="00713BF1" w:rsidRDefault="00713BF1" w:rsidP="00474282">
      <w:pPr>
        <w:pStyle w:val="a9"/>
        <w:rPr>
          <w:b w:val="0"/>
          <w:bCs/>
          <w:sz w:val="20"/>
          <w:rtl/>
        </w:rPr>
      </w:pPr>
    </w:p>
    <w:p w:rsidR="00713BF1" w:rsidRDefault="00713BF1" w:rsidP="00713BF1">
      <w:pPr>
        <w:pStyle w:val="a9"/>
        <w:rPr>
          <w:bCs/>
          <w:rtl/>
        </w:rPr>
      </w:pPr>
      <w:r>
        <w:rPr>
          <w:b w:val="0"/>
          <w:bCs/>
          <w:rtl/>
        </w:rPr>
        <w:t>מעקב</w:t>
      </w:r>
    </w:p>
    <w:p w:rsidR="00713BF1" w:rsidRDefault="00713BF1" w:rsidP="00713BF1">
      <w:pPr>
        <w:pStyle w:val="a9"/>
        <w:rPr>
          <w:bCs/>
          <w:rtl/>
        </w:rPr>
      </w:pPr>
      <w:r>
        <w:rPr>
          <w:rFonts w:hint="cs"/>
          <w:bCs/>
          <w:rtl/>
        </w:rPr>
        <w:t>משרד הביטחון</w:t>
      </w:r>
    </w:p>
    <w:p w:rsidR="00713BF1" w:rsidRDefault="00713BF1" w:rsidP="00713BF1">
      <w:pPr>
        <w:pStyle w:val="a9"/>
        <w:rPr>
          <w:bCs/>
          <w:rtl/>
        </w:rPr>
      </w:pPr>
    </w:p>
    <w:p w:rsidR="00713BF1" w:rsidRDefault="00713BF1" w:rsidP="00B87547">
      <w:pPr>
        <w:widowControl w:val="0"/>
        <w:ind w:left="1134" w:hanging="1134"/>
        <w:rPr>
          <w:b/>
          <w:bCs/>
          <w:rtl/>
        </w:rPr>
      </w:pPr>
      <w:r>
        <w:rPr>
          <w:rFonts w:hint="cs"/>
          <w:rtl/>
        </w:rPr>
        <w:t>9.</w:t>
      </w:r>
      <w:r>
        <w:rPr>
          <w:rtl/>
        </w:rPr>
        <w:tab/>
      </w:r>
      <w:r w:rsidR="00B87547">
        <w:rPr>
          <w:sz w:val="20"/>
          <w:rtl/>
        </w:rPr>
        <w:t xml:space="preserve">עבודת המטה לאישור פרויקט </w:t>
      </w:r>
      <w:r w:rsidR="00B87547">
        <w:rPr>
          <w:rFonts w:hint="cs"/>
          <w:sz w:val="20"/>
          <w:rtl/>
        </w:rPr>
        <w:t>מערכת ב'</w:t>
      </w:r>
      <w:r w:rsidRPr="00713BF1">
        <w:rPr>
          <w:sz w:val="20"/>
          <w:rtl/>
        </w:rPr>
        <w:t xml:space="preserve"> נמשכת </w:t>
      </w:r>
      <w:r>
        <w:rPr>
          <w:rFonts w:hint="cs"/>
          <w:sz w:val="20"/>
          <w:rtl/>
        </w:rPr>
        <w:t>וטרם הסתיימה.</w:t>
      </w:r>
    </w:p>
    <w:p w:rsidR="00713BF1" w:rsidRDefault="00713BF1" w:rsidP="00713BF1">
      <w:pPr>
        <w:widowControl w:val="0"/>
        <w:ind w:left="1134" w:hanging="1134"/>
        <w:rPr>
          <w:b/>
          <w:bCs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rPr>
          <w:bCs/>
          <w:rtl/>
        </w:rPr>
      </w:pPr>
    </w:p>
    <w:p w:rsidR="00474282" w:rsidRPr="00BB7C6D" w:rsidRDefault="00474282" w:rsidP="00B125CD">
      <w:pPr>
        <w:widowControl w:val="0"/>
        <w:ind w:left="720" w:hanging="720"/>
        <w:rPr>
          <w:sz w:val="20"/>
          <w:rtl/>
        </w:rPr>
      </w:pPr>
      <w:r w:rsidRPr="00672BE8">
        <w:rPr>
          <w:sz w:val="20"/>
          <w:rtl/>
        </w:rPr>
        <w:t>11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r w:rsidRPr="00C04C65">
        <w:rPr>
          <w:sz w:val="20"/>
          <w:rtl/>
        </w:rPr>
        <w:t xml:space="preserve">ראש היחידה למחקר ופיתוח </w:t>
      </w:r>
      <w:proofErr w:type="spellStart"/>
      <w:r w:rsidRPr="00C04C65">
        <w:rPr>
          <w:sz w:val="20"/>
          <w:rtl/>
        </w:rPr>
        <w:t>שבמפא"ת</w:t>
      </w:r>
      <w:proofErr w:type="spellEnd"/>
      <w:r w:rsidRPr="00C04C65">
        <w:rPr>
          <w:sz w:val="20"/>
          <w:rtl/>
        </w:rPr>
        <w:t xml:space="preserve">, פעל שלא בהתאם להוראות המשרד כשהחליט באוגוסט 2005 על פיתוח "כיפת ברזל", קבע לכך לוחות זמנים והנחה על חפיפה בין שלב קדם-פיתוח שבסמכות </w:t>
      </w:r>
      <w:proofErr w:type="spellStart"/>
      <w:r w:rsidRPr="00C04C65">
        <w:rPr>
          <w:sz w:val="20"/>
          <w:rtl/>
        </w:rPr>
        <w:t>מפא"ת</w:t>
      </w:r>
      <w:proofErr w:type="spellEnd"/>
      <w:r w:rsidRPr="00C04C65">
        <w:rPr>
          <w:sz w:val="20"/>
          <w:rtl/>
        </w:rPr>
        <w:t xml:space="preserve"> לבין שלב פיתוח בהיקף מלא שאינו בסמכות </w:t>
      </w:r>
      <w:proofErr w:type="spellStart"/>
      <w:r w:rsidRPr="00C04C65">
        <w:rPr>
          <w:sz w:val="20"/>
          <w:rtl/>
        </w:rPr>
        <w:t>מפא"ת</w:t>
      </w:r>
      <w:proofErr w:type="spellEnd"/>
      <w:r w:rsidRPr="00C04C65">
        <w:rPr>
          <w:sz w:val="20"/>
          <w:rtl/>
        </w:rPr>
        <w:t>, ובמקרה כזה נמצא בסמכות הרמטכ"ל, שר הביטחון וממשלת ישראל. כל זאת בטרם אישרו גורמים מוסמכים אלה את הפרויקט.</w:t>
      </w:r>
    </w:p>
    <w:p w:rsidR="00474282" w:rsidRDefault="00474282" w:rsidP="00474282">
      <w:pPr>
        <w:widowControl w:val="0"/>
        <w:rPr>
          <w:b/>
          <w:bCs/>
          <w:sz w:val="20"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rPr>
          <w:bCs/>
          <w:rtl/>
        </w:rPr>
      </w:pPr>
    </w:p>
    <w:p w:rsidR="00474282" w:rsidRPr="00C04C65" w:rsidRDefault="00474282" w:rsidP="00474282">
      <w:pPr>
        <w:widowControl w:val="0"/>
        <w:ind w:left="720" w:hanging="720"/>
        <w:rPr>
          <w:sz w:val="20"/>
          <w:rtl/>
        </w:rPr>
      </w:pPr>
      <w:r w:rsidRPr="00672BE8">
        <w:rPr>
          <w:sz w:val="20"/>
          <w:rtl/>
        </w:rPr>
        <w:t>12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r w:rsidRPr="00C04C65">
        <w:rPr>
          <w:sz w:val="20"/>
          <w:rtl/>
        </w:rPr>
        <w:t xml:space="preserve">המשרד לא ציין בהוראותיו בלשון ברורה את המונחים המשמשים אותו בניהול פרויקטים, כגון: פיתוח טלסקופי, פיתוח ספירלי, פיתוח מדורג, וכן תכנית הדגמה ומדגים טכנולוגי, ולא הגדיר את תכולות השלבים השונים שבפיתוחים מסוג זה. בכך התאפשר </w:t>
      </w:r>
      <w:proofErr w:type="spellStart"/>
      <w:r w:rsidRPr="00C04C65">
        <w:rPr>
          <w:sz w:val="20"/>
          <w:rtl/>
        </w:rPr>
        <w:t>למפא"ת</w:t>
      </w:r>
      <w:proofErr w:type="spellEnd"/>
      <w:r w:rsidRPr="00C04C65">
        <w:rPr>
          <w:sz w:val="20"/>
          <w:rtl/>
        </w:rPr>
        <w:t xml:space="preserve"> להנחות את רפאל להתחיל בפיתוח מלא של "כיפת ברזל" תחת הגדרה של פעילות קדם-פיתוח.</w:t>
      </w:r>
    </w:p>
    <w:p w:rsidR="00474282" w:rsidRDefault="00474282" w:rsidP="00474282">
      <w:pPr>
        <w:rPr>
          <w:b/>
          <w:bCs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sz w:val="20"/>
          <w:rtl/>
        </w:rPr>
        <w:t>ליקוי</w:t>
      </w:r>
    </w:p>
    <w:p w:rsidR="00474282" w:rsidRDefault="00474282" w:rsidP="00474282">
      <w:pPr>
        <w:pStyle w:val="a9"/>
        <w:rPr>
          <w:bCs/>
          <w:rtl/>
        </w:rPr>
      </w:pPr>
    </w:p>
    <w:p w:rsidR="00474282" w:rsidRDefault="00474282" w:rsidP="00474282">
      <w:pPr>
        <w:widowControl w:val="0"/>
        <w:ind w:left="720" w:hanging="720"/>
        <w:rPr>
          <w:sz w:val="20"/>
          <w:rtl/>
        </w:rPr>
      </w:pPr>
      <w:r w:rsidRPr="00672BE8">
        <w:rPr>
          <w:sz w:val="20"/>
          <w:rtl/>
        </w:rPr>
        <w:t>13</w:t>
      </w:r>
      <w:r w:rsidRPr="00BB7C6D">
        <w:rPr>
          <w:sz w:val="20"/>
          <w:rtl/>
        </w:rPr>
        <w:t>.</w:t>
      </w:r>
      <w:r w:rsidRPr="00BB7C6D">
        <w:rPr>
          <w:sz w:val="20"/>
          <w:rtl/>
        </w:rPr>
        <w:tab/>
      </w:r>
      <w:r w:rsidRPr="00C04C65">
        <w:rPr>
          <w:sz w:val="20"/>
          <w:rtl/>
        </w:rPr>
        <w:t xml:space="preserve">המשרד התקשר בהסכם עם רפאל באפריל 2007 לפיתוח ולהצטיידות ב"כיפת ברזל" בטרם התייחס ח"א באופן מלא ורשמי לאופיין הטכני ולתכולת העבודה, המהווים חלק מההסכם. ההסכם שאישר </w:t>
      </w:r>
      <w:proofErr w:type="spellStart"/>
      <w:r w:rsidRPr="00C04C65">
        <w:rPr>
          <w:sz w:val="20"/>
          <w:rtl/>
        </w:rPr>
        <w:t>מפא"ת</w:t>
      </w:r>
      <w:proofErr w:type="spellEnd"/>
      <w:r w:rsidRPr="00C04C65">
        <w:rPr>
          <w:sz w:val="20"/>
          <w:rtl/>
        </w:rPr>
        <w:t xml:space="preserve"> לא התבסס על דרישה מבצעית של ח"א הנגזרת מאופיין מבצעי. חלק מדרישות החיל לא שולבו בהסכם עם רפאל. עד יולי 2008 לא כתב החיל אופיין מבצעי ודרישה מבצעית ל"כיפת ברזל", והחיל </w:t>
      </w:r>
      <w:proofErr w:type="spellStart"/>
      <w:r w:rsidRPr="00C04C65">
        <w:rPr>
          <w:sz w:val="20"/>
          <w:rtl/>
        </w:rPr>
        <w:t>ומפא"ת</w:t>
      </w:r>
      <w:proofErr w:type="spellEnd"/>
      <w:r w:rsidRPr="00C04C65">
        <w:rPr>
          <w:sz w:val="20"/>
          <w:rtl/>
        </w:rPr>
        <w:t xml:space="preserve"> לא עדכנו ולא השלימו את </w:t>
      </w:r>
      <w:proofErr w:type="spellStart"/>
      <w:r w:rsidRPr="00C04C65">
        <w:rPr>
          <w:sz w:val="20"/>
          <w:rtl/>
        </w:rPr>
        <w:t>האופיין</w:t>
      </w:r>
      <w:proofErr w:type="spellEnd"/>
      <w:r w:rsidRPr="00C04C65">
        <w:rPr>
          <w:sz w:val="20"/>
          <w:rtl/>
        </w:rPr>
        <w:t xml:space="preserve"> הטכני. </w:t>
      </w:r>
    </w:p>
    <w:p w:rsidR="00474282" w:rsidRDefault="00474282" w:rsidP="00474282">
      <w:pPr>
        <w:widowControl w:val="0"/>
        <w:ind w:left="720" w:hanging="720"/>
        <w:rPr>
          <w:sz w:val="20"/>
          <w:rtl/>
        </w:rPr>
      </w:pPr>
    </w:p>
    <w:p w:rsidR="00474282" w:rsidRDefault="00474282" w:rsidP="00474282">
      <w:pPr>
        <w:pStyle w:val="a9"/>
        <w:rPr>
          <w:bCs/>
          <w:rtl/>
        </w:rPr>
      </w:pPr>
      <w:r>
        <w:rPr>
          <w:b w:val="0"/>
          <w:bCs/>
          <w:rtl/>
        </w:rPr>
        <w:t>מעקב</w:t>
      </w:r>
    </w:p>
    <w:p w:rsidR="00474282" w:rsidRDefault="00474282" w:rsidP="00474282">
      <w:pPr>
        <w:pStyle w:val="a9"/>
        <w:rPr>
          <w:bCs/>
          <w:rtl/>
        </w:rPr>
      </w:pPr>
    </w:p>
    <w:p w:rsidR="00474282" w:rsidRPr="00C04C65" w:rsidRDefault="00474282" w:rsidP="00DB5630">
      <w:pPr>
        <w:widowControl w:val="0"/>
        <w:ind w:left="1134" w:hanging="1134"/>
        <w:rPr>
          <w:sz w:val="20"/>
          <w:rtl/>
        </w:rPr>
      </w:pPr>
      <w:r>
        <w:rPr>
          <w:rFonts w:hint="cs"/>
          <w:rtl/>
        </w:rPr>
        <w:t>11-13</w:t>
      </w:r>
      <w:r>
        <w:rPr>
          <w:rtl/>
        </w:rPr>
        <w:t>.</w:t>
      </w:r>
      <w:r>
        <w:rPr>
          <w:rtl/>
        </w:rPr>
        <w:tab/>
      </w:r>
      <w:r w:rsidRPr="00474282">
        <w:rPr>
          <w:sz w:val="20"/>
          <w:rtl/>
        </w:rPr>
        <w:t xml:space="preserve">עבודת המטה לעדכון הוראות המשרד מתקדמת בתוך </w:t>
      </w:r>
      <w:proofErr w:type="spellStart"/>
      <w:r w:rsidRPr="00474282">
        <w:rPr>
          <w:sz w:val="20"/>
          <w:rtl/>
        </w:rPr>
        <w:t>מפא"ת</w:t>
      </w:r>
      <w:proofErr w:type="spellEnd"/>
      <w:r w:rsidR="00DB5630">
        <w:rPr>
          <w:rFonts w:hint="cs"/>
          <w:sz w:val="20"/>
          <w:rtl/>
        </w:rPr>
        <w:t>,</w:t>
      </w:r>
      <w:r w:rsidRPr="00474282">
        <w:rPr>
          <w:sz w:val="20"/>
          <w:rtl/>
        </w:rPr>
        <w:t xml:space="preserve"> והיא מורכבת </w:t>
      </w:r>
      <w:r>
        <w:rPr>
          <w:rFonts w:hint="cs"/>
          <w:sz w:val="20"/>
          <w:rtl/>
        </w:rPr>
        <w:t xml:space="preserve">יותר </w:t>
      </w:r>
      <w:r w:rsidRPr="00474282">
        <w:rPr>
          <w:sz w:val="20"/>
          <w:rtl/>
        </w:rPr>
        <w:t>ממה שצ</w:t>
      </w:r>
      <w:r>
        <w:rPr>
          <w:rFonts w:hint="cs"/>
          <w:sz w:val="20"/>
          <w:rtl/>
        </w:rPr>
        <w:t>יפו.</w:t>
      </w:r>
      <w:r w:rsidRPr="00474282">
        <w:rPr>
          <w:sz w:val="20"/>
          <w:rtl/>
        </w:rPr>
        <w:t xml:space="preserve"> בימים אלו טיוטת הוראה 20.02 חדשה (שנכתבה </w:t>
      </w:r>
      <w:proofErr w:type="spellStart"/>
      <w:r w:rsidRPr="00474282">
        <w:rPr>
          <w:sz w:val="20"/>
          <w:rtl/>
        </w:rPr>
        <w:t>במפא"ת</w:t>
      </w:r>
      <w:proofErr w:type="spellEnd"/>
      <w:r w:rsidRPr="00474282">
        <w:rPr>
          <w:sz w:val="20"/>
          <w:rtl/>
        </w:rPr>
        <w:t>) מועברת בסבב פנימי לקבלת הערות אחרונות, ו</w:t>
      </w:r>
      <w:r>
        <w:rPr>
          <w:rFonts w:hint="cs"/>
          <w:sz w:val="20"/>
          <w:rtl/>
        </w:rPr>
        <w:t>לאחר מכן</w:t>
      </w:r>
      <w:r w:rsidRPr="00474282">
        <w:rPr>
          <w:sz w:val="20"/>
          <w:rtl/>
        </w:rPr>
        <w:t xml:space="preserve">  תועבר להערות </w:t>
      </w:r>
      <w:r w:rsidR="00A50533">
        <w:rPr>
          <w:rFonts w:hint="cs"/>
          <w:sz w:val="20"/>
          <w:rtl/>
        </w:rPr>
        <w:t>גופי המטה במשרד.</w:t>
      </w:r>
      <w:r w:rsidRPr="00474282"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המשרד צופה כי תהיינה </w:t>
      </w:r>
      <w:r w:rsidRPr="00474282">
        <w:rPr>
          <w:sz w:val="20"/>
          <w:rtl/>
        </w:rPr>
        <w:t xml:space="preserve">הערות ואולי </w:t>
      </w:r>
      <w:r>
        <w:rPr>
          <w:rFonts w:hint="cs"/>
          <w:sz w:val="20"/>
          <w:rtl/>
        </w:rPr>
        <w:t>אף</w:t>
      </w:r>
      <w:r w:rsidRPr="00474282">
        <w:rPr>
          <w:sz w:val="20"/>
          <w:rtl/>
        </w:rPr>
        <w:t xml:space="preserve"> התנגדויות להוראה זו, שנכתבה כמעט מחדש. להערכת</w:t>
      </w:r>
      <w:r>
        <w:rPr>
          <w:rFonts w:hint="cs"/>
          <w:sz w:val="20"/>
          <w:rtl/>
        </w:rPr>
        <w:t xml:space="preserve"> המשרד </w:t>
      </w:r>
      <w:r w:rsidRPr="00474282">
        <w:rPr>
          <w:sz w:val="20"/>
          <w:rtl/>
        </w:rPr>
        <w:t xml:space="preserve"> ההוראה המעודכנת, אם ת</w:t>
      </w:r>
      <w:r>
        <w:rPr>
          <w:rFonts w:hint="cs"/>
          <w:sz w:val="20"/>
          <w:rtl/>
        </w:rPr>
        <w:t>היה כפי שהמשרד הציע עונה על</w:t>
      </w:r>
      <w:r w:rsidRPr="00474282">
        <w:rPr>
          <w:sz w:val="20"/>
          <w:rtl/>
        </w:rPr>
        <w:t xml:space="preserve"> ההערות והליקויים שהועלו בדו"ח ה</w:t>
      </w:r>
      <w:r>
        <w:rPr>
          <w:rFonts w:hint="cs"/>
          <w:sz w:val="20"/>
          <w:rtl/>
        </w:rPr>
        <w:t>ביקורת.</w:t>
      </w:r>
      <w:r w:rsidRPr="00474282">
        <w:rPr>
          <w:sz w:val="20"/>
          <w:rtl/>
        </w:rPr>
        <w:t xml:space="preserve"> צפי סיום</w:t>
      </w:r>
      <w:r>
        <w:rPr>
          <w:rFonts w:hint="cs"/>
          <w:sz w:val="20"/>
          <w:rtl/>
        </w:rPr>
        <w:t xml:space="preserve"> - </w:t>
      </w:r>
      <w:r w:rsidRPr="00474282">
        <w:rPr>
          <w:sz w:val="20"/>
          <w:rtl/>
        </w:rPr>
        <w:t>סוף 2010.</w:t>
      </w:r>
    </w:p>
    <w:sectPr w:rsidR="00474282" w:rsidRPr="00C04C65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799" w:rsidRDefault="00AF0799" w:rsidP="00BC0472">
      <w:r>
        <w:separator/>
      </w:r>
    </w:p>
  </w:endnote>
  <w:endnote w:type="continuationSeparator" w:id="0">
    <w:p w:rsidR="00AF0799" w:rsidRDefault="00AF0799" w:rsidP="00BC0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69" w:rsidRDefault="0082446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69" w:rsidRDefault="0082446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69" w:rsidRDefault="0082446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799" w:rsidRDefault="00AF0799" w:rsidP="00BC0472">
      <w:r>
        <w:separator/>
      </w:r>
    </w:p>
  </w:footnote>
  <w:footnote w:type="continuationSeparator" w:id="0">
    <w:p w:rsidR="00AF0799" w:rsidRDefault="00AF0799" w:rsidP="00BC0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69" w:rsidRDefault="0082446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799" w:rsidRPr="00AF0799" w:rsidRDefault="003614F5" w:rsidP="00AF0799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AF0799">
      <w:rPr>
        <w:sz w:val="16"/>
        <w:szCs w:val="16"/>
        <w:rtl/>
      </w:rPr>
      <w:fldChar w:fldCharType="begin"/>
    </w:r>
    <w:r w:rsidR="00AF0799" w:rsidRPr="00AF0799">
      <w:rPr>
        <w:sz w:val="16"/>
        <w:szCs w:val="16"/>
        <w:rtl/>
      </w:rPr>
      <w:instrText xml:space="preserve"> </w:instrText>
    </w:r>
    <w:r w:rsidR="00AF0799" w:rsidRPr="00AF0799">
      <w:rPr>
        <w:rFonts w:hint="cs"/>
        <w:sz w:val="16"/>
        <w:szCs w:val="16"/>
      </w:rPr>
      <w:instrText>TIME  \@ "HH:mm"  \* MERGEFORMAT</w:instrText>
    </w:r>
    <w:r w:rsidR="00AF0799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2A3E56">
      <w:rPr>
        <w:noProof/>
        <w:sz w:val="16"/>
        <w:szCs w:val="16"/>
        <w:rtl/>
      </w:rPr>
      <w:t>‏14:10</w:t>
    </w:r>
    <w:r w:rsidRPr="00AF0799">
      <w:rPr>
        <w:sz w:val="16"/>
        <w:szCs w:val="16"/>
        <w:rtl/>
      </w:rPr>
      <w:fldChar w:fldCharType="end"/>
    </w:r>
    <w:r w:rsidR="00AF0799" w:rsidRPr="00AF0799">
      <w:rPr>
        <w:rFonts w:hint="cs"/>
        <w:sz w:val="16"/>
        <w:szCs w:val="16"/>
        <w:rtl/>
      </w:rPr>
      <w:t xml:space="preserve">  </w:t>
    </w:r>
    <w:r w:rsidRPr="00AF0799">
      <w:rPr>
        <w:sz w:val="16"/>
        <w:szCs w:val="16"/>
        <w:rtl/>
      </w:rPr>
      <w:fldChar w:fldCharType="begin"/>
    </w:r>
    <w:r w:rsidR="00AF0799" w:rsidRPr="00AF0799">
      <w:rPr>
        <w:sz w:val="16"/>
        <w:szCs w:val="16"/>
        <w:rtl/>
      </w:rPr>
      <w:instrText xml:space="preserve"> </w:instrText>
    </w:r>
    <w:r w:rsidR="00AF0799" w:rsidRPr="00AF0799">
      <w:rPr>
        <w:rFonts w:hint="cs"/>
        <w:sz w:val="16"/>
        <w:szCs w:val="16"/>
      </w:rPr>
      <w:instrText>DATE  \@ "yyyy-MM-dd"  \* MERGEFORMAT</w:instrText>
    </w:r>
    <w:r w:rsidR="00AF0799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2A3E56">
      <w:rPr>
        <w:noProof/>
        <w:sz w:val="16"/>
        <w:szCs w:val="16"/>
        <w:rtl/>
      </w:rPr>
      <w:t>‏2010–10–17</w:t>
    </w:r>
    <w:r w:rsidRPr="00AF0799">
      <w:rPr>
        <w:sz w:val="16"/>
        <w:szCs w:val="16"/>
        <w:rtl/>
      </w:rPr>
      <w:fldChar w:fldCharType="end"/>
    </w:r>
    <w:r w:rsidR="00AF0799" w:rsidRPr="00AF079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76538D" w:rsidRPr="0076538D">
        <w:rPr>
          <w:noProof/>
          <w:sz w:val="16"/>
          <w:szCs w:val="16"/>
        </w:rPr>
        <w:t>L:\</w:t>
      </w:r>
      <w:r w:rsidR="0076538D" w:rsidRPr="0076538D">
        <w:rPr>
          <w:noProof/>
          <w:sz w:val="16"/>
          <w:szCs w:val="16"/>
          <w:rtl/>
        </w:rPr>
        <w:t>הספר - מעקבים 60ב\עקיבא\מערכת הביטחון\59א\תהליך קבלת ההחלטות לפיתוח ולהצטיידות במערכות להגנה אקטיבית</w:t>
      </w:r>
      <w:r w:rsidR="0076538D" w:rsidRPr="0076538D">
        <w:rPr>
          <w:noProof/>
          <w:sz w:val="16"/>
          <w:szCs w:val="16"/>
        </w:rPr>
        <w:t>.docx</w:t>
      </w:r>
    </w:fldSimple>
    <w:r w:rsidR="00AF0799" w:rsidRPr="00AF0799">
      <w:rPr>
        <w:rFonts w:hint="cs"/>
        <w:sz w:val="16"/>
        <w:szCs w:val="16"/>
        <w:rtl/>
      </w:rPr>
      <w:t xml:space="preserve">    -</w:t>
    </w:r>
    <w:r w:rsidRPr="00AF0799">
      <w:rPr>
        <w:sz w:val="16"/>
        <w:szCs w:val="16"/>
        <w:rtl/>
      </w:rPr>
      <w:fldChar w:fldCharType="begin"/>
    </w:r>
    <w:r w:rsidR="00AF0799" w:rsidRPr="00AF0799">
      <w:rPr>
        <w:sz w:val="16"/>
        <w:szCs w:val="16"/>
        <w:rtl/>
      </w:rPr>
      <w:instrText xml:space="preserve"> </w:instrText>
    </w:r>
    <w:r w:rsidR="00AF0799" w:rsidRPr="00AF0799">
      <w:rPr>
        <w:sz w:val="16"/>
        <w:szCs w:val="16"/>
      </w:rPr>
      <w:instrText>PAGE   \* MERGEFORMAT</w:instrText>
    </w:r>
    <w:r w:rsidR="00AF0799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2A3E56">
      <w:rPr>
        <w:noProof/>
        <w:sz w:val="16"/>
        <w:szCs w:val="16"/>
        <w:rtl/>
      </w:rPr>
      <w:t>2</w:t>
    </w:r>
    <w:r w:rsidRPr="00AF0799">
      <w:rPr>
        <w:sz w:val="16"/>
        <w:szCs w:val="16"/>
        <w:rtl/>
      </w:rPr>
      <w:fldChar w:fldCharType="end"/>
    </w:r>
    <w:r w:rsidR="00AF0799" w:rsidRPr="00AF0799">
      <w:rPr>
        <w:rFonts w:hint="cs"/>
        <w:sz w:val="16"/>
        <w:szCs w:val="16"/>
        <w:rtl/>
      </w:rPr>
      <w:t>-</w:t>
    </w:r>
  </w:p>
  <w:p w:rsidR="00AF0799" w:rsidRPr="002A74E8" w:rsidRDefault="00AF0799" w:rsidP="00BC0472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AF0799" w:rsidRPr="00B90376" w:rsidRDefault="00AF0799" w:rsidP="00474282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         מערכת הביטחון</w:t>
    </w:r>
  </w:p>
  <w:p w:rsidR="00AF0799" w:rsidRDefault="00AF0799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469" w:rsidRDefault="0082446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472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A2685"/>
    <w:rsid w:val="001C723E"/>
    <w:rsid w:val="001D2CC6"/>
    <w:rsid w:val="001E5006"/>
    <w:rsid w:val="001E6A43"/>
    <w:rsid w:val="001F0A68"/>
    <w:rsid w:val="00205245"/>
    <w:rsid w:val="00232852"/>
    <w:rsid w:val="00237AB5"/>
    <w:rsid w:val="0024180B"/>
    <w:rsid w:val="00274039"/>
    <w:rsid w:val="00280509"/>
    <w:rsid w:val="00282D49"/>
    <w:rsid w:val="002831EA"/>
    <w:rsid w:val="0029553E"/>
    <w:rsid w:val="00297441"/>
    <w:rsid w:val="002A3E56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614F5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4282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13BF1"/>
    <w:rsid w:val="0073050A"/>
    <w:rsid w:val="00733D53"/>
    <w:rsid w:val="00753962"/>
    <w:rsid w:val="007629F8"/>
    <w:rsid w:val="00762B5D"/>
    <w:rsid w:val="0076538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24469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B4BD1"/>
    <w:rsid w:val="009D6F86"/>
    <w:rsid w:val="009E5072"/>
    <w:rsid w:val="009E6EFD"/>
    <w:rsid w:val="009E732F"/>
    <w:rsid w:val="00A020E1"/>
    <w:rsid w:val="00A24D18"/>
    <w:rsid w:val="00A50533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0799"/>
    <w:rsid w:val="00AF66AA"/>
    <w:rsid w:val="00AF7804"/>
    <w:rsid w:val="00B00D9A"/>
    <w:rsid w:val="00B125CD"/>
    <w:rsid w:val="00B16BE4"/>
    <w:rsid w:val="00B24388"/>
    <w:rsid w:val="00B3265D"/>
    <w:rsid w:val="00B415FC"/>
    <w:rsid w:val="00B571BA"/>
    <w:rsid w:val="00B613C7"/>
    <w:rsid w:val="00B669B1"/>
    <w:rsid w:val="00B71422"/>
    <w:rsid w:val="00B82574"/>
    <w:rsid w:val="00B83D24"/>
    <w:rsid w:val="00B87547"/>
    <w:rsid w:val="00B96C6C"/>
    <w:rsid w:val="00BA4815"/>
    <w:rsid w:val="00BA5E48"/>
    <w:rsid w:val="00BA7B4B"/>
    <w:rsid w:val="00BB4131"/>
    <w:rsid w:val="00BC0472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4C7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B5630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9782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282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047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BC0472"/>
  </w:style>
  <w:style w:type="paragraph" w:styleId="a5">
    <w:name w:val="footer"/>
    <w:basedOn w:val="a"/>
    <w:link w:val="a6"/>
    <w:uiPriority w:val="99"/>
    <w:semiHidden/>
    <w:unhideWhenUsed/>
    <w:rsid w:val="00BC047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BC0472"/>
  </w:style>
  <w:style w:type="paragraph" w:styleId="a7">
    <w:name w:val="Balloon Text"/>
    <w:basedOn w:val="a"/>
    <w:link w:val="a8"/>
    <w:uiPriority w:val="99"/>
    <w:semiHidden/>
    <w:unhideWhenUsed/>
    <w:rsid w:val="00BC0472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BC0472"/>
    <w:rPr>
      <w:rFonts w:ascii="Tahoma" w:hAnsi="Tahoma" w:cs="Tahoma"/>
      <w:sz w:val="16"/>
      <w:szCs w:val="16"/>
    </w:rPr>
  </w:style>
  <w:style w:type="paragraph" w:customStyle="1" w:styleId="a9">
    <w:name w:val="כותרת ליקוי"/>
    <w:basedOn w:val="a"/>
    <w:rsid w:val="00474282"/>
    <w:pPr>
      <w:keepNext/>
      <w:ind w:hanging="567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E6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anatr</cp:lastModifiedBy>
  <cp:revision>10</cp:revision>
  <cp:lastPrinted>2010-10-14T11:48:00Z</cp:lastPrinted>
  <dcterms:created xsi:type="dcterms:W3CDTF">2010-07-18T07:28:00Z</dcterms:created>
  <dcterms:modified xsi:type="dcterms:W3CDTF">2010-10-17T12:10:00Z</dcterms:modified>
</cp:coreProperties>
</file>