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23" w:rsidRPr="00171823" w:rsidRDefault="00171823" w:rsidP="00171823">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171823">
        <w:rPr>
          <w:rFonts w:ascii="David" w:eastAsiaTheme="minorHAnsi" w:hAnsiTheme="minorHAnsi" w:cs="David" w:hint="cs"/>
          <w:b/>
          <w:bCs/>
          <w:color w:val="000000"/>
          <w:sz w:val="36"/>
          <w:szCs w:val="36"/>
          <w:rtl/>
        </w:rPr>
        <w:t>מערכת הביטחון</w:t>
      </w:r>
    </w:p>
    <w:p w:rsidR="00171823" w:rsidRPr="00171823" w:rsidRDefault="00171823" w:rsidP="00171823">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171823">
        <w:rPr>
          <w:rFonts w:ascii="David" w:eastAsiaTheme="minorHAnsi" w:hAnsiTheme="minorHAnsi" w:cs="David" w:hint="cs"/>
          <w:b/>
          <w:bCs/>
          <w:color w:val="000000"/>
          <w:sz w:val="32"/>
          <w:szCs w:val="32"/>
          <w:rtl/>
        </w:rPr>
        <w:t>היערכות משרד התחבורה למתן שירותי תובלה למשק האזרחי והיערכות צה"ל לגיוס כלי רכב בשעת חירום</w:t>
      </w: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הגופים המבוקרים: משרד התחבורה, משרד הביטחון, צבא ההגנה לישראל</w:t>
      </w: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ליקויים 12-15 תוקנו. 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15-16.</w:t>
      </w: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171823" w:rsidRPr="00171823" w:rsidRDefault="00171823" w:rsidP="00171823">
      <w:pPr>
        <w:autoSpaceDE w:val="0"/>
        <w:autoSpaceDN w:val="0"/>
        <w:adjustRightInd w:val="0"/>
        <w:spacing w:after="0" w:line="288" w:lineRule="auto"/>
        <w:ind w:left="610" w:hanging="567"/>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1.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על פי החוק, לצה"ל קדימות בגיוס כלי רכב בשעת חירום. נמצא, כי הקצאת משאבי התובלה במשק בין צורכי צה"ל לבין צורכי המשק האזרחי נעשית בלי שקיים גורם-על שלו ראייה </w:t>
      </w:r>
      <w:proofErr w:type="spellStart"/>
      <w:r w:rsidRPr="00171823">
        <w:rPr>
          <w:rFonts w:ascii="David" w:eastAsiaTheme="minorHAnsi" w:hAnsi="Times New Roman" w:cs="David" w:hint="cs"/>
          <w:color w:val="000000"/>
          <w:sz w:val="24"/>
          <w:szCs w:val="24"/>
          <w:rtl/>
        </w:rPr>
        <w:t>מתכללת</w:t>
      </w:r>
      <w:proofErr w:type="spellEnd"/>
      <w:r w:rsidRPr="00171823">
        <w:rPr>
          <w:rFonts w:ascii="David" w:eastAsiaTheme="minorHAnsi" w:hAnsi="Times New Roman" w:cs="David" w:hint="cs"/>
          <w:color w:val="000000"/>
          <w:sz w:val="24"/>
          <w:szCs w:val="24"/>
          <w:rtl/>
        </w:rPr>
        <w:t xml:space="preserve">, שתאפשר להביא בחשבון את כל השיקולים, ותאזן בין שתי מערכות אלו. </w:t>
      </w:r>
    </w:p>
    <w:p w:rsidR="00171823" w:rsidRPr="00171823" w:rsidRDefault="00171823" w:rsidP="00171823">
      <w:pPr>
        <w:autoSpaceDE w:val="0"/>
        <w:autoSpaceDN w:val="0"/>
        <w:adjustRightInd w:val="0"/>
        <w:spacing w:after="0" w:line="288" w:lineRule="auto"/>
        <w:ind w:left="668" w:hanging="668"/>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משרד הביטחון</w:t>
      </w:r>
    </w:p>
    <w:p w:rsidR="00171823" w:rsidRPr="00171823" w:rsidRDefault="00171823" w:rsidP="00171823">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171823" w:rsidRPr="00171823" w:rsidRDefault="00171823" w:rsidP="00171823">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1.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במחצית יוני 2010 הוקמה ועדה אותה מרכז ר' חטיבת תשתיות </w:t>
      </w:r>
      <w:proofErr w:type="spellStart"/>
      <w:r w:rsidRPr="00171823">
        <w:rPr>
          <w:rFonts w:ascii="David" w:eastAsiaTheme="minorHAnsi" w:hAnsi="Times New Roman" w:cs="David" w:hint="cs"/>
          <w:color w:val="000000"/>
          <w:sz w:val="24"/>
          <w:szCs w:val="24"/>
          <w:rtl/>
        </w:rPr>
        <w:t>ברח"ל</w:t>
      </w:r>
      <w:proofErr w:type="spellEnd"/>
      <w:r w:rsidRPr="00171823">
        <w:rPr>
          <w:rFonts w:ascii="David" w:eastAsiaTheme="minorHAnsi" w:hAnsi="Times New Roman" w:cs="David" w:hint="cs"/>
          <w:color w:val="000000"/>
          <w:sz w:val="24"/>
          <w:szCs w:val="24"/>
          <w:rtl/>
        </w:rPr>
        <w:t xml:space="preserve"> המורכבת מנציגי צה"ל/</w:t>
      </w:r>
      <w:proofErr w:type="spellStart"/>
      <w:r w:rsidRPr="00171823">
        <w:rPr>
          <w:rFonts w:ascii="David" w:eastAsiaTheme="minorHAnsi" w:hAnsi="Times New Roman" w:cs="David" w:hint="cs"/>
          <w:color w:val="000000"/>
          <w:sz w:val="24"/>
          <w:szCs w:val="24"/>
          <w:rtl/>
        </w:rPr>
        <w:t>אט"ל</w:t>
      </w:r>
      <w:proofErr w:type="spellEnd"/>
      <w:r w:rsidRPr="00171823">
        <w:rPr>
          <w:rFonts w:ascii="David" w:eastAsiaTheme="minorHAnsi" w:hAnsi="Times New Roman" w:cs="David" w:hint="cs"/>
          <w:color w:val="000000"/>
          <w:sz w:val="24"/>
          <w:szCs w:val="24"/>
          <w:rtl/>
        </w:rPr>
        <w:t>, משרד התחבורה, מינהל הדלק ומרכז הדלק בצה"ל.</w:t>
      </w:r>
    </w:p>
    <w:p w:rsidR="00171823" w:rsidRPr="00171823" w:rsidRDefault="00171823" w:rsidP="00171823">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 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7.</w:t>
      </w:r>
    </w:p>
    <w:p w:rsidR="00171823" w:rsidRPr="00171823" w:rsidRDefault="00171823" w:rsidP="00171823">
      <w:pPr>
        <w:autoSpaceDE w:val="0"/>
        <w:autoSpaceDN w:val="0"/>
        <w:adjustRightInd w:val="0"/>
        <w:spacing w:after="0" w:line="288" w:lineRule="auto"/>
        <w:ind w:left="1276" w:hanging="1276"/>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2.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בשנת 2002 ערכה חברה אזרחית עבור מטה מל"ח (משק לשעת חירום) ארצי דוח שבחן, בין היתר, את כושר התובלה הקיים במשאיות ובתומכים לעומת הביקושים החוזיים לשירותי תובלה לספק את שירותי התובלה הדרושים בשעת חירום. הדוח כלל תכנית לשיפור ההיערכות של הרשות לתובלה. לא נמצאו סימוכין לכך שהדוח נדון במשרד התחבורה ובמטה מל"ח ארצי, ושהרשות לתובלה נערכה בהתאם להמלצותיו. </w:t>
      </w:r>
    </w:p>
    <w:p w:rsidR="00171823" w:rsidRPr="00171823" w:rsidRDefault="00171823" w:rsidP="0017182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171823" w:rsidRPr="00171823" w:rsidRDefault="00171823" w:rsidP="00171823">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2.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במהלך חודש יוני 2010 הסתיים תהליך העדכון של תרחיש הייחוס ברשות התובלה היבשתית ורשות ההיסעים.</w:t>
      </w:r>
    </w:p>
    <w:p w:rsidR="00171823" w:rsidRPr="00171823" w:rsidRDefault="00171823" w:rsidP="00171823">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 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8.</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610" w:hanging="610"/>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3.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הרשות לתובלה לא בחנה ולא עדכנה את הנתונים משנת 2002, המתייחסים לביקוש לשירותי תובלה, אף על פי שמאז חלו שינויים בגודל האוכלוסייה ובמבנה ענף התובלה במשק. כתוצאה מכך, אין לרשות לתובלה תמונת מצב עדכנית של נתוני הביקושים החוזיים בשעת חירום.</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3.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הגוף אשר כותב את תרחישי הייחוס לרשות התובלה היבשתית ורשות ההיסעים הינו גוף המופעל בין השאר על-ידי </w:t>
      </w:r>
      <w:proofErr w:type="spellStart"/>
      <w:r w:rsidRPr="00171823">
        <w:rPr>
          <w:rFonts w:ascii="David" w:eastAsiaTheme="minorHAnsi" w:hAnsi="Times New Roman" w:cs="David" w:hint="cs"/>
          <w:color w:val="000000"/>
          <w:sz w:val="24"/>
          <w:szCs w:val="24"/>
          <w:rtl/>
        </w:rPr>
        <w:t>רח"ל</w:t>
      </w:r>
      <w:proofErr w:type="spellEnd"/>
      <w:r w:rsidRPr="00171823">
        <w:rPr>
          <w:rFonts w:ascii="David" w:eastAsiaTheme="minorHAnsi" w:hAnsi="Times New Roman" w:cs="David" w:hint="cs"/>
          <w:color w:val="000000"/>
          <w:sz w:val="24"/>
          <w:szCs w:val="24"/>
          <w:rtl/>
        </w:rPr>
        <w:t xml:space="preserve"> בהתקשרות חוזית ואשר כתב בעבר גם את תרחיש הייחוס למערך מל"ח.</w:t>
      </w:r>
    </w:p>
    <w:p w:rsidR="00171823" w:rsidRPr="00171823" w:rsidRDefault="00171823" w:rsidP="00171823">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 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8.</w:t>
      </w:r>
    </w:p>
    <w:p w:rsidR="00171823" w:rsidRPr="00171823" w:rsidRDefault="00171823" w:rsidP="00171823">
      <w:pPr>
        <w:autoSpaceDE w:val="0"/>
        <w:autoSpaceDN w:val="0"/>
        <w:adjustRightInd w:val="0"/>
        <w:spacing w:after="0" w:line="288" w:lineRule="auto"/>
        <w:ind w:left="1235" w:hanging="1235"/>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ind w:left="1235" w:hanging="1235"/>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ind w:left="610" w:hanging="610"/>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610" w:hanging="610"/>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4.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למרות ההחרפה באיומים על העורף, שיש בהם אף כדי להעצים את הדרישות לשירותי תובלה למשק </w:t>
      </w:r>
      <w:proofErr w:type="spellStart"/>
      <w:r w:rsidRPr="00171823">
        <w:rPr>
          <w:rFonts w:ascii="David" w:eastAsiaTheme="minorHAnsi" w:hAnsi="Times New Roman" w:cs="David" w:hint="cs"/>
          <w:color w:val="000000"/>
          <w:sz w:val="24"/>
          <w:szCs w:val="24"/>
          <w:rtl/>
        </w:rPr>
        <w:t>האשרחי</w:t>
      </w:r>
      <w:proofErr w:type="spellEnd"/>
      <w:r w:rsidRPr="00171823">
        <w:rPr>
          <w:rFonts w:ascii="David" w:eastAsiaTheme="minorHAnsi" w:hAnsi="Times New Roman" w:cs="David" w:hint="cs"/>
          <w:color w:val="000000"/>
          <w:sz w:val="24"/>
          <w:szCs w:val="24"/>
          <w:rtl/>
        </w:rPr>
        <w:t xml:space="preserve">, לא חלו שינויים מהותיים בסדרי חלוקת אמצעי התובלה בין צה"ל למשק האזרחי, ולא צומצמו החוסרים, שעליהם הצביע הדו"ח. מטה מל"ח ארצי והרשות לתובלה לא פעלו מול הדרגים הגבוהים בצה"ל ומול שר הביטחון, כדי להביא לשינוי יסודי במצב. </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1218" w:hanging="1218"/>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4.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הנושא הוצג בפני הוועדה בדיוניה בחודש יוני 2010 ויבחן במסגרת עבודת הוועדה שהוקמה לשם כך.</w:t>
      </w:r>
    </w:p>
    <w:p w:rsidR="00171823" w:rsidRPr="00171823" w:rsidRDefault="00171823" w:rsidP="00171823">
      <w:pPr>
        <w:autoSpaceDE w:val="0"/>
        <w:autoSpaceDN w:val="0"/>
        <w:adjustRightInd w:val="0"/>
        <w:spacing w:after="0" w:line="288" w:lineRule="auto"/>
        <w:ind w:left="1134" w:firstLine="8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9.</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ind w:left="1235" w:hanging="1235"/>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709" w:hanging="709"/>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5.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מטה מל"ח ארצי מעביר לסגן שר הביטחון דוח כוננות חודשי, הכולל בין היתר, נתונים המתייחסים למצאי המשאיות והתומכים הקיים בפועל, לעומת נתוני הביקושים החוזיים בשעת חירום, שכאמור לא נבחנו משנת 2002. במהלך הביקורת הסתבר שקיימים חילוקי דעות בין מטה מל"ח ארצי לבין הרשות לתובלה בנוגע לשאלה אם נתוני המצאי שבדו"ח הכוננות מצביעים על קיומם של חוסרים במספר כלי הרכב העומדים לרשות המשק האזרחי או לאו.</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1218" w:hanging="1218"/>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5.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מתבצעות בדיקות באופן שוטף בעבודת המטה של </w:t>
      </w:r>
      <w:proofErr w:type="spellStart"/>
      <w:r w:rsidRPr="00171823">
        <w:rPr>
          <w:rFonts w:ascii="David" w:eastAsiaTheme="minorHAnsi" w:hAnsi="Times New Roman" w:cs="David" w:hint="cs"/>
          <w:color w:val="000000"/>
          <w:sz w:val="24"/>
          <w:szCs w:val="24"/>
          <w:rtl/>
        </w:rPr>
        <w:t>רח"ל</w:t>
      </w:r>
      <w:proofErr w:type="spellEnd"/>
      <w:r w:rsidRPr="00171823">
        <w:rPr>
          <w:rFonts w:ascii="David" w:eastAsiaTheme="minorHAnsi" w:hAnsi="Times New Roman" w:cs="David" w:hint="cs"/>
          <w:color w:val="000000"/>
          <w:sz w:val="24"/>
          <w:szCs w:val="24"/>
          <w:rtl/>
        </w:rPr>
        <w:t xml:space="preserve"> עם משרדי התחבורה והתמ"ת. צורת הצגת הנתונים שונתה, וכיום היא בהירה יותר.</w:t>
      </w:r>
    </w:p>
    <w:p w:rsidR="00171823" w:rsidRPr="00171823" w:rsidRDefault="00171823" w:rsidP="00171823">
      <w:pPr>
        <w:autoSpaceDE w:val="0"/>
        <w:autoSpaceDN w:val="0"/>
        <w:adjustRightInd w:val="0"/>
        <w:spacing w:after="0" w:line="288" w:lineRule="auto"/>
        <w:ind w:left="1134" w:firstLine="8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11.</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610" w:hanging="610"/>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6.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בהתאם להבנות שהושגו בין מטה מל"ח ארצי והרשות לתובלה לבין צה"ל, 30% מהמשאיות שיעמדו לרשותם של משרדי ההובלה (המהווים מפעלים חיוניים של הרשות לתובלה) בשעת חירום יהיו משאיות אורגניות. בפועל רק כ-13% מכלי הרכב במשרדי ההובלה הם כלי רכב אורגניים. </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Default="00171823" w:rsidP="00171823">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1218" w:hanging="1218"/>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6.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על-פי דיווחי משרד התחבורה הרשות לתובלה יבשתית </w:t>
      </w:r>
      <w:proofErr w:type="spellStart"/>
      <w:r w:rsidRPr="00171823">
        <w:rPr>
          <w:rFonts w:ascii="David" w:eastAsiaTheme="minorHAnsi" w:hAnsi="Times New Roman" w:cs="David" w:hint="cs"/>
          <w:color w:val="000000"/>
          <w:sz w:val="24"/>
          <w:szCs w:val="24"/>
          <w:rtl/>
        </w:rPr>
        <w:t>לרח"ל</w:t>
      </w:r>
      <w:proofErr w:type="spellEnd"/>
      <w:r w:rsidRPr="00171823">
        <w:rPr>
          <w:rFonts w:ascii="David" w:eastAsiaTheme="minorHAnsi" w:hAnsi="Times New Roman" w:cs="David" w:hint="cs"/>
          <w:color w:val="000000"/>
          <w:sz w:val="24"/>
          <w:szCs w:val="24"/>
          <w:rtl/>
        </w:rPr>
        <w:t xml:space="preserve">, הדבר בוצע. החל מיוני 2010 שחרור כלי רכב למפעלים חיוניים נעשה על-פי קריטריונים שנקבעו כאשר לא בכל המקרים השחרור עומד על 100 אחוז. הקריטריונים מופיעים בחוברת שנכתבה לאחר עבודה משותפת בין מרכז לאו"מ (המרכז לגיוס אמצעים וריתוק משקי) </w:t>
      </w:r>
      <w:proofErr w:type="spellStart"/>
      <w:r w:rsidRPr="00171823">
        <w:rPr>
          <w:rFonts w:ascii="David" w:eastAsiaTheme="minorHAnsi" w:hAnsi="Times New Roman" w:cs="David" w:hint="cs"/>
          <w:color w:val="000000"/>
          <w:sz w:val="24"/>
          <w:szCs w:val="24"/>
          <w:rtl/>
        </w:rPr>
        <w:t>לרח"ל</w:t>
      </w:r>
      <w:proofErr w:type="spellEnd"/>
      <w:r w:rsidRPr="00171823">
        <w:rPr>
          <w:rFonts w:ascii="David" w:eastAsiaTheme="minorHAnsi" w:hAnsi="Times New Roman" w:cs="David" w:hint="cs"/>
          <w:color w:val="000000"/>
          <w:sz w:val="24"/>
          <w:szCs w:val="24"/>
          <w:rtl/>
        </w:rPr>
        <w:t xml:space="preserve"> ומשרדי הממשלה הנוגעים בדבר.</w:t>
      </w:r>
    </w:p>
    <w:p w:rsidR="00171823" w:rsidRPr="00171823" w:rsidRDefault="00171823" w:rsidP="00171823">
      <w:pPr>
        <w:autoSpaceDE w:val="0"/>
        <w:autoSpaceDN w:val="0"/>
        <w:adjustRightInd w:val="0"/>
        <w:spacing w:after="0" w:line="288" w:lineRule="auto"/>
        <w:ind w:left="1134" w:firstLine="8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11.</w:t>
      </w:r>
    </w:p>
    <w:p w:rsidR="00171823" w:rsidRPr="00171823" w:rsidRDefault="00171823" w:rsidP="00171823">
      <w:pPr>
        <w:autoSpaceDE w:val="0"/>
        <w:autoSpaceDN w:val="0"/>
        <w:adjustRightInd w:val="0"/>
        <w:spacing w:after="0" w:line="288" w:lineRule="auto"/>
        <w:ind w:left="1218" w:hanging="1218"/>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170" w:line="288" w:lineRule="auto"/>
        <w:ind w:left="610" w:hanging="610"/>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7.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הרשות לתובלה לא קבעה למשרדי ההובלה את מספר כלי הרכב, ובהתאמה לכך את התקנים למספר הנהגים הדרוש, כדי שאלו יוכלו לתת מענה לביקושים החזויים לשירותי תובלה, שיופנו אליהם בשעת חירום. כמו כן, מספר הנהגים שהוקצו לרשות לתובלה, אינו עונה למצאי המשאיות הקיים בפועל.</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1177" w:hanging="1177"/>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7.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הנושא אמור להסתיים במהלך החודשים יולי-אוגוסט 2010, לאחר עדכון תרחיש הייחוס של רשות התובלה היבשתית.</w:t>
      </w:r>
    </w:p>
    <w:p w:rsidR="00171823" w:rsidRPr="00171823" w:rsidRDefault="00171823" w:rsidP="00171823">
      <w:pPr>
        <w:suppressAutoHyphens/>
        <w:autoSpaceDE w:val="0"/>
        <w:autoSpaceDN w:val="0"/>
        <w:adjustRightInd w:val="0"/>
        <w:spacing w:after="0" w:line="288" w:lineRule="auto"/>
        <w:ind w:left="1177" w:hanging="1177"/>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12.</w:t>
      </w:r>
    </w:p>
    <w:p w:rsidR="00171823" w:rsidRPr="00171823" w:rsidRDefault="00171823" w:rsidP="00171823">
      <w:pPr>
        <w:autoSpaceDE w:val="0"/>
        <w:autoSpaceDN w:val="0"/>
        <w:adjustRightInd w:val="0"/>
        <w:spacing w:after="0" w:line="288" w:lineRule="auto"/>
        <w:ind w:left="1218" w:hanging="1134"/>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ind w:left="1218" w:hanging="1134"/>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autoSpaceDE w:val="0"/>
        <w:autoSpaceDN w:val="0"/>
        <w:adjustRightInd w:val="0"/>
        <w:spacing w:after="0" w:line="288" w:lineRule="auto"/>
        <w:ind w:left="610" w:hanging="610"/>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8.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מאז שנת 2006 לא נערכו השתלמויות לנהגים שאינם מקצועיים, האמורים להפעיל רכב כבד בשעת חירום. הדבר פוגע בכשירותם של נהגים קיימים ומונע את צירופם של נהגים נוספים.</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1177" w:hanging="1177"/>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8.</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מתקיים תהליך עבודת מטה בין הרשות לכוח-אדם בשעת חירום לבין מועצת המובילים, ומתוכנן פיילוט של הכשרת הנהגים על-ידי חברות ההובלה, בסיוע כספי של משרד התמ"ת. צפי לסיום סוף 2010.</w:t>
      </w:r>
    </w:p>
    <w:p w:rsidR="00171823" w:rsidRPr="00171823" w:rsidRDefault="00171823" w:rsidP="00171823">
      <w:pPr>
        <w:suppressAutoHyphens/>
        <w:autoSpaceDE w:val="0"/>
        <w:autoSpaceDN w:val="0"/>
        <w:adjustRightInd w:val="0"/>
        <w:spacing w:after="0" w:line="288" w:lineRule="auto"/>
        <w:ind w:left="113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 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13.</w:t>
      </w:r>
    </w:p>
    <w:p w:rsidR="00171823" w:rsidRPr="00171823" w:rsidRDefault="00171823" w:rsidP="00171823">
      <w:pPr>
        <w:autoSpaceDE w:val="0"/>
        <w:autoSpaceDN w:val="0"/>
        <w:adjustRightInd w:val="0"/>
        <w:spacing w:after="0" w:line="288" w:lineRule="auto"/>
        <w:ind w:left="1177" w:hanging="1177"/>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autoSpaceDE w:val="0"/>
        <w:autoSpaceDN w:val="0"/>
        <w:adjustRightInd w:val="0"/>
        <w:spacing w:after="0" w:line="288" w:lineRule="auto"/>
        <w:ind w:left="610" w:hanging="610"/>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9.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עקב מצבה הרעוע של הצנרת להובלת דלק ובעיות שעלו בהפעלתה, הקים צה"ל לצורך גיבוי פלוגות נוספות להובלת דלק בשעת חירום, המבוססות על מכליות דלק של המשק האזרחי. הדבר הביא לצמצום משמעותי בכמות מכליות הדלק שנותרה לרשות לתובלה, וכתוצאה מכך, לצמצום חריף ביכולתה לספק דלק בשעת חירום למשק האזרחי.</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suppressAutoHyphens/>
        <w:autoSpaceDE w:val="0"/>
        <w:autoSpaceDN w:val="0"/>
        <w:adjustRightInd w:val="0"/>
        <w:spacing w:after="0" w:line="288" w:lineRule="auto"/>
        <w:ind w:left="1177" w:hanging="1177"/>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9.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המשא ומתן </w:t>
      </w:r>
      <w:proofErr w:type="spellStart"/>
      <w:r w:rsidRPr="00171823">
        <w:rPr>
          <w:rFonts w:ascii="David" w:eastAsiaTheme="minorHAnsi" w:hAnsi="Times New Roman" w:cs="David" w:hint="cs"/>
          <w:color w:val="000000"/>
          <w:sz w:val="24"/>
          <w:szCs w:val="24"/>
          <w:rtl/>
        </w:rPr>
        <w:t>להשמשת</w:t>
      </w:r>
      <w:proofErr w:type="spellEnd"/>
      <w:r w:rsidRPr="00171823">
        <w:rPr>
          <w:rFonts w:ascii="David" w:eastAsiaTheme="minorHAnsi" w:hAnsi="Times New Roman" w:cs="David" w:hint="cs"/>
          <w:color w:val="000000"/>
          <w:sz w:val="24"/>
          <w:szCs w:val="24"/>
          <w:rtl/>
        </w:rPr>
        <w:t xml:space="preserve"> קו ההזרמה לדלק הסתיים במחצית 2010. נחתם חוזה בין המשרד </w:t>
      </w:r>
      <w:proofErr w:type="spellStart"/>
      <w:r w:rsidRPr="00171823">
        <w:rPr>
          <w:rFonts w:ascii="David" w:eastAsiaTheme="minorHAnsi" w:hAnsi="Times New Roman" w:cs="David" w:hint="cs"/>
          <w:color w:val="000000"/>
          <w:sz w:val="24"/>
          <w:szCs w:val="24"/>
          <w:rtl/>
        </w:rPr>
        <w:t>לקצא"א</w:t>
      </w:r>
      <w:proofErr w:type="spellEnd"/>
      <w:r w:rsidRPr="00171823">
        <w:rPr>
          <w:rFonts w:ascii="David" w:eastAsiaTheme="minorHAnsi" w:hAnsi="Times New Roman" w:cs="David" w:hint="cs"/>
          <w:color w:val="000000"/>
          <w:sz w:val="24"/>
          <w:szCs w:val="24"/>
          <w:rtl/>
        </w:rPr>
        <w:t xml:space="preserve">, ובו סוכם כי הקו </w:t>
      </w:r>
      <w:proofErr w:type="spellStart"/>
      <w:r w:rsidRPr="00171823">
        <w:rPr>
          <w:rFonts w:ascii="David" w:eastAsiaTheme="minorHAnsi" w:hAnsi="Times New Roman" w:cs="David" w:hint="cs"/>
          <w:color w:val="000000"/>
          <w:sz w:val="24"/>
          <w:szCs w:val="24"/>
          <w:rtl/>
        </w:rPr>
        <w:t>יושמש</w:t>
      </w:r>
      <w:proofErr w:type="spellEnd"/>
      <w:r w:rsidRPr="00171823">
        <w:rPr>
          <w:rFonts w:ascii="David" w:eastAsiaTheme="minorHAnsi" w:hAnsi="Times New Roman" w:cs="David" w:hint="cs"/>
          <w:color w:val="000000"/>
          <w:sz w:val="24"/>
          <w:szCs w:val="24"/>
          <w:rtl/>
        </w:rPr>
        <w:t xml:space="preserve"> על-ידי </w:t>
      </w:r>
      <w:proofErr w:type="spellStart"/>
      <w:r w:rsidRPr="00171823">
        <w:rPr>
          <w:rFonts w:ascii="David" w:eastAsiaTheme="minorHAnsi" w:hAnsi="Times New Roman" w:cs="David" w:hint="cs"/>
          <w:color w:val="000000"/>
          <w:sz w:val="24"/>
          <w:szCs w:val="24"/>
          <w:rtl/>
        </w:rPr>
        <w:t>קצא"א</w:t>
      </w:r>
      <w:proofErr w:type="spellEnd"/>
      <w:r w:rsidRPr="00171823">
        <w:rPr>
          <w:rFonts w:ascii="David" w:eastAsiaTheme="minorHAnsi" w:hAnsi="Times New Roman" w:cs="David" w:hint="cs"/>
          <w:color w:val="000000"/>
          <w:sz w:val="24"/>
          <w:szCs w:val="24"/>
          <w:rtl/>
        </w:rPr>
        <w:t xml:space="preserve"> במימון המשרד. יחד עם זאת, ראוי להדגיש כי פתרון זה כרוך בהוצאות כספיות כבדות ומשך ביצועו עשוי </w:t>
      </w:r>
      <w:r w:rsidRPr="00171823">
        <w:rPr>
          <w:rFonts w:ascii="David" w:eastAsiaTheme="minorHAnsi" w:hAnsi="Times New Roman" w:cs="David" w:hint="cs"/>
          <w:color w:val="000000"/>
          <w:sz w:val="24"/>
          <w:szCs w:val="24"/>
          <w:rtl/>
        </w:rPr>
        <w:lastRenderedPageBreak/>
        <w:t xml:space="preserve">לארוך מספר שנים עד </w:t>
      </w:r>
      <w:proofErr w:type="spellStart"/>
      <w:r w:rsidRPr="00171823">
        <w:rPr>
          <w:rFonts w:ascii="David" w:eastAsiaTheme="minorHAnsi" w:hAnsi="Times New Roman" w:cs="David" w:hint="cs"/>
          <w:color w:val="000000"/>
          <w:sz w:val="24"/>
          <w:szCs w:val="24"/>
          <w:rtl/>
        </w:rPr>
        <w:t>להשמשת</w:t>
      </w:r>
      <w:proofErr w:type="spellEnd"/>
      <w:r w:rsidRPr="00171823">
        <w:rPr>
          <w:rFonts w:ascii="David" w:eastAsiaTheme="minorHAnsi" w:hAnsi="Times New Roman" w:cs="David" w:hint="cs"/>
          <w:color w:val="000000"/>
          <w:sz w:val="24"/>
          <w:szCs w:val="24"/>
          <w:rtl/>
        </w:rPr>
        <w:t xml:space="preserve"> הקו. לאור האמור לעיל הפתרון יהיה רלבנטי רק בעוד מספר שנים, ועד אז יהיה צורך בהספקת דלק באמצעות מיכליות, ולא באמצעות הזרמה ישירה לבסיסים הרלבנטיים.</w:t>
      </w:r>
    </w:p>
    <w:p w:rsidR="00171823" w:rsidRPr="00171823" w:rsidRDefault="00171823" w:rsidP="00171823">
      <w:pPr>
        <w:autoSpaceDE w:val="0"/>
        <w:autoSpaceDN w:val="0"/>
        <w:adjustRightInd w:val="0"/>
        <w:spacing w:after="0" w:line="288" w:lineRule="auto"/>
        <w:ind w:left="1177"/>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13.</w:t>
      </w:r>
    </w:p>
    <w:p w:rsidR="00171823" w:rsidRPr="00171823" w:rsidRDefault="00171823" w:rsidP="00171823">
      <w:pPr>
        <w:tabs>
          <w:tab w:val="center" w:pos="4153"/>
          <w:tab w:val="right" w:pos="8306"/>
        </w:tabs>
        <w:autoSpaceDE w:val="0"/>
        <w:autoSpaceDN w:val="0"/>
        <w:adjustRightInd w:val="0"/>
        <w:spacing w:after="227" w:line="288" w:lineRule="auto"/>
        <w:jc w:val="both"/>
        <w:textAlignment w:val="center"/>
        <w:rPr>
          <w:rFonts w:ascii="David" w:eastAsiaTheme="minorHAnsi" w:cs="David"/>
          <w:b/>
          <w:bCs/>
          <w:color w:val="000000"/>
          <w:sz w:val="24"/>
          <w:szCs w:val="24"/>
          <w:rtl/>
        </w:rPr>
      </w:pPr>
      <w:r w:rsidRPr="00171823">
        <w:rPr>
          <w:rFonts w:ascii="David" w:eastAsiaTheme="minorHAnsi" w:cs="David" w:hint="cs"/>
          <w:b/>
          <w:bCs/>
          <w:color w:val="000000"/>
          <w:sz w:val="24"/>
          <w:szCs w:val="24"/>
          <w:rtl/>
        </w:rPr>
        <w:t>ליקוי</w:t>
      </w:r>
    </w:p>
    <w:p w:rsidR="00171823" w:rsidRPr="00171823" w:rsidRDefault="00171823" w:rsidP="00171823">
      <w:pPr>
        <w:tabs>
          <w:tab w:val="center" w:pos="4153"/>
          <w:tab w:val="right" w:pos="8306"/>
        </w:tabs>
        <w:suppressAutoHyphens/>
        <w:autoSpaceDE w:val="0"/>
        <w:autoSpaceDN w:val="0"/>
        <w:adjustRightInd w:val="0"/>
        <w:spacing w:line="288" w:lineRule="auto"/>
        <w:ind w:left="652" w:hanging="652"/>
        <w:jc w:val="both"/>
        <w:textAlignment w:val="center"/>
        <w:rPr>
          <w:rFonts w:ascii="David" w:eastAsiaTheme="minorHAnsi" w:cs="David"/>
          <w:color w:val="000000"/>
          <w:sz w:val="24"/>
          <w:szCs w:val="24"/>
          <w:rtl/>
        </w:rPr>
      </w:pPr>
      <w:r w:rsidRPr="00171823">
        <w:rPr>
          <w:rFonts w:ascii="David" w:eastAsiaTheme="minorHAnsi" w:cs="David" w:hint="cs"/>
          <w:color w:val="000000"/>
          <w:sz w:val="24"/>
          <w:szCs w:val="24"/>
          <w:rtl/>
        </w:rPr>
        <w:t>10.</w:t>
      </w:r>
      <w:r w:rsidRPr="00171823">
        <w:rPr>
          <w:rFonts w:ascii="David" w:eastAsiaTheme="minorHAnsi" w:cs="David" w:hint="cs"/>
          <w:color w:val="000000"/>
          <w:rtl/>
        </w:rPr>
        <w:t xml:space="preserve"> </w:t>
      </w:r>
      <w:r w:rsidRPr="00171823">
        <w:rPr>
          <w:rFonts w:ascii="David" w:eastAsiaTheme="minorHAnsi" w:cs="David"/>
          <w:color w:val="000000"/>
          <w:rtl/>
        </w:rPr>
        <w:tab/>
      </w:r>
      <w:r w:rsidRPr="00171823">
        <w:rPr>
          <w:rFonts w:ascii="David" w:eastAsiaTheme="minorHAnsi" w:cs="David" w:hint="cs"/>
          <w:color w:val="000000"/>
          <w:sz w:val="24"/>
          <w:szCs w:val="24"/>
          <w:rtl/>
        </w:rPr>
        <w:t xml:space="preserve">היערכותה של הרשות לתובלה לשעת חירום מצטמצמת, בעיקר, להבטחת פעילותם של משרדי ההובלה, המהווים מפעלים חיוניים שלה, ללא ראייה </w:t>
      </w:r>
      <w:proofErr w:type="spellStart"/>
      <w:r w:rsidRPr="00171823">
        <w:rPr>
          <w:rFonts w:ascii="David" w:eastAsiaTheme="minorHAnsi" w:cs="David" w:hint="cs"/>
          <w:color w:val="000000"/>
          <w:sz w:val="24"/>
          <w:szCs w:val="24"/>
          <w:rtl/>
        </w:rPr>
        <w:t>מתכללת</w:t>
      </w:r>
      <w:proofErr w:type="spellEnd"/>
      <w:r w:rsidRPr="00171823">
        <w:rPr>
          <w:rFonts w:ascii="David" w:eastAsiaTheme="minorHAnsi" w:cs="David" w:hint="cs"/>
          <w:color w:val="000000"/>
          <w:sz w:val="24"/>
          <w:szCs w:val="24"/>
          <w:rtl/>
        </w:rPr>
        <w:t xml:space="preserve"> ושליטה ובקרה על משאבי התובלה במשק, במטרה להביא למיצוי יעיל יותר שלהם בשעת חירום. </w:t>
      </w:r>
      <w:r w:rsidRPr="00171823">
        <w:rPr>
          <w:rFonts w:ascii="David" w:eastAsiaTheme="minorHAnsi" w:cs="David"/>
          <w:color w:val="000000"/>
          <w:sz w:val="24"/>
          <w:szCs w:val="24"/>
          <w:rtl/>
        </w:rPr>
        <w:br/>
      </w:r>
      <w:r w:rsidRPr="00171823">
        <w:rPr>
          <w:rFonts w:ascii="David" w:eastAsiaTheme="minorHAnsi" w:cs="David" w:hint="cs"/>
          <w:color w:val="000000"/>
          <w:sz w:val="24"/>
          <w:szCs w:val="24"/>
          <w:rtl/>
        </w:rPr>
        <w:t>מכלול הממצאים מעמיד בספק את יכולתה של הרשות לתובלה לספק את שירותי התובלה הנדרשים למשק האזרחי בשעת חירום. הדבר מקבל משנה חשיבות נוכח התגברות האיומים על העורף האזרחי בשנים האחרונות</w:t>
      </w:r>
    </w:p>
    <w:p w:rsidR="00171823" w:rsidRPr="00171823" w:rsidRDefault="00171823" w:rsidP="00171823">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tabs>
          <w:tab w:val="center" w:pos="4153"/>
          <w:tab w:val="right" w:pos="8306"/>
        </w:tabs>
        <w:suppressAutoHyphens/>
        <w:autoSpaceDE w:val="0"/>
        <w:autoSpaceDN w:val="0"/>
        <w:adjustRightInd w:val="0"/>
        <w:spacing w:after="0" w:line="288" w:lineRule="auto"/>
        <w:ind w:left="1179" w:hanging="1179"/>
        <w:jc w:val="both"/>
        <w:textAlignment w:val="center"/>
        <w:rPr>
          <w:rFonts w:ascii="David" w:eastAsiaTheme="minorHAnsi" w:cs="David"/>
          <w:color w:val="000000"/>
          <w:sz w:val="24"/>
          <w:szCs w:val="24"/>
          <w:rtl/>
        </w:rPr>
      </w:pPr>
      <w:r w:rsidRPr="00171823">
        <w:rPr>
          <w:rFonts w:ascii="David" w:eastAsiaTheme="minorHAnsi" w:cs="David" w:hint="cs"/>
          <w:color w:val="000000"/>
          <w:sz w:val="24"/>
          <w:szCs w:val="24"/>
          <w:rtl/>
        </w:rPr>
        <w:t xml:space="preserve">10. </w:t>
      </w:r>
      <w:r w:rsidRPr="00171823">
        <w:rPr>
          <w:rFonts w:ascii="David" w:eastAsiaTheme="minorHAnsi" w:cs="David"/>
          <w:color w:val="000000"/>
          <w:sz w:val="24"/>
          <w:szCs w:val="24"/>
          <w:rtl/>
        </w:rPr>
        <w:tab/>
      </w:r>
      <w:r w:rsidRPr="00171823">
        <w:rPr>
          <w:rFonts w:ascii="David" w:eastAsiaTheme="minorHAnsi" w:cs="David" w:hint="cs"/>
          <w:color w:val="000000"/>
          <w:sz w:val="24"/>
          <w:szCs w:val="24"/>
          <w:rtl/>
        </w:rPr>
        <w:t xml:space="preserve">ראש </w:t>
      </w:r>
      <w:proofErr w:type="spellStart"/>
      <w:r w:rsidRPr="00171823">
        <w:rPr>
          <w:rFonts w:ascii="David" w:eastAsiaTheme="minorHAnsi" w:cs="David" w:hint="cs"/>
          <w:color w:val="000000"/>
          <w:sz w:val="24"/>
          <w:szCs w:val="24"/>
          <w:rtl/>
        </w:rPr>
        <w:t>רח"ל</w:t>
      </w:r>
      <w:proofErr w:type="spellEnd"/>
      <w:r w:rsidRPr="00171823">
        <w:rPr>
          <w:rFonts w:ascii="David" w:eastAsiaTheme="minorHAnsi" w:cs="David" w:hint="cs"/>
          <w:color w:val="000000"/>
          <w:sz w:val="24"/>
          <w:szCs w:val="24"/>
          <w:rtl/>
        </w:rPr>
        <w:t xml:space="preserve"> נפגש בנושא עם מנכ"ל משרד התחבורה ואכן קיים שיפור בכל הקשור להיערכות המשרד למצבי חירום, כמו כן קיים תהליך בתוך המשרד לשיפור הערכת רשות התובלה היבשתית לחירום.</w:t>
      </w:r>
    </w:p>
    <w:p w:rsidR="00171823" w:rsidRPr="00171823" w:rsidRDefault="00171823" w:rsidP="00171823">
      <w:pPr>
        <w:autoSpaceDE w:val="0"/>
        <w:autoSpaceDN w:val="0"/>
        <w:adjustRightInd w:val="0"/>
        <w:spacing w:after="170" w:line="288" w:lineRule="auto"/>
        <w:ind w:left="1134" w:firstLine="45"/>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14.</w:t>
      </w:r>
    </w:p>
    <w:p w:rsidR="00171823" w:rsidRPr="00171823" w:rsidRDefault="00171823" w:rsidP="00171823">
      <w:pPr>
        <w:autoSpaceDE w:val="0"/>
        <w:autoSpaceDN w:val="0"/>
        <w:adjustRightInd w:val="0"/>
        <w:spacing w:after="227"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ליקוי</w:t>
      </w:r>
    </w:p>
    <w:p w:rsidR="00171823" w:rsidRPr="00171823" w:rsidRDefault="00171823" w:rsidP="00171823">
      <w:pPr>
        <w:tabs>
          <w:tab w:val="center" w:pos="4153"/>
          <w:tab w:val="right" w:pos="8306"/>
        </w:tabs>
        <w:suppressAutoHyphens/>
        <w:autoSpaceDE w:val="0"/>
        <w:autoSpaceDN w:val="0"/>
        <w:adjustRightInd w:val="0"/>
        <w:spacing w:after="170" w:line="288" w:lineRule="auto"/>
        <w:ind w:left="510" w:hanging="510"/>
        <w:jc w:val="both"/>
        <w:textAlignment w:val="center"/>
        <w:rPr>
          <w:rFonts w:ascii="David" w:eastAsiaTheme="minorHAnsi" w:cs="David"/>
          <w:color w:val="000000"/>
          <w:sz w:val="24"/>
          <w:szCs w:val="24"/>
          <w:rtl/>
        </w:rPr>
      </w:pPr>
      <w:r w:rsidRPr="00171823">
        <w:rPr>
          <w:rFonts w:ascii="David" w:eastAsiaTheme="minorHAnsi" w:cs="David" w:hint="cs"/>
          <w:color w:val="000000"/>
          <w:sz w:val="24"/>
          <w:szCs w:val="24"/>
          <w:rtl/>
        </w:rPr>
        <w:t>11.</w:t>
      </w:r>
      <w:r w:rsidRPr="00171823">
        <w:rPr>
          <w:rFonts w:ascii="David" w:eastAsiaTheme="minorHAnsi" w:cs="David" w:hint="cs"/>
          <w:color w:val="000000"/>
          <w:rtl/>
        </w:rPr>
        <w:t xml:space="preserve"> </w:t>
      </w:r>
      <w:r w:rsidRPr="00171823">
        <w:rPr>
          <w:rFonts w:ascii="David" w:eastAsiaTheme="minorHAnsi" w:cs="David"/>
          <w:color w:val="000000"/>
          <w:rtl/>
        </w:rPr>
        <w:tab/>
      </w:r>
      <w:r w:rsidRPr="00171823">
        <w:rPr>
          <w:rFonts w:ascii="David" w:eastAsiaTheme="minorHAnsi" w:cs="David" w:hint="cs"/>
          <w:color w:val="000000"/>
          <w:sz w:val="24"/>
          <w:szCs w:val="24"/>
          <w:rtl/>
        </w:rPr>
        <w:t xml:space="preserve">חלוקת משאבי התובלה לשעת חירום משליכה על היערכותם של המשק הצבאי ושל המשק האזרחי, דבר המחייב קביעת מדיניות עקרונית של </w:t>
      </w:r>
      <w:proofErr w:type="spellStart"/>
      <w:r w:rsidRPr="00171823">
        <w:rPr>
          <w:rFonts w:ascii="David" w:eastAsiaTheme="minorHAnsi" w:cs="David" w:hint="cs"/>
          <w:color w:val="000000"/>
          <w:sz w:val="24"/>
          <w:szCs w:val="24"/>
          <w:rtl/>
        </w:rPr>
        <w:t>אט"ל</w:t>
      </w:r>
      <w:proofErr w:type="spellEnd"/>
      <w:r w:rsidRPr="00171823">
        <w:rPr>
          <w:rFonts w:ascii="David" w:eastAsiaTheme="minorHAnsi" w:cs="David" w:hint="cs"/>
          <w:color w:val="000000"/>
          <w:sz w:val="24"/>
          <w:szCs w:val="24"/>
          <w:rtl/>
        </w:rPr>
        <w:t xml:space="preserve"> כדרג מטכ"לי. על אף זאת, מרכז לאו"ם קיבל החלטות בתחומים מרכזיים של מדיניות באופן עצמאי, ללא מעורבות </w:t>
      </w:r>
      <w:proofErr w:type="spellStart"/>
      <w:r w:rsidRPr="00171823">
        <w:rPr>
          <w:rFonts w:ascii="David" w:eastAsiaTheme="minorHAnsi" w:cs="David" w:hint="cs"/>
          <w:color w:val="000000"/>
          <w:sz w:val="24"/>
          <w:szCs w:val="24"/>
          <w:rtl/>
        </w:rPr>
        <w:t>אט"ל</w:t>
      </w:r>
      <w:proofErr w:type="spellEnd"/>
      <w:r w:rsidRPr="00171823">
        <w:rPr>
          <w:rFonts w:ascii="David" w:eastAsiaTheme="minorHAnsi" w:cs="David" w:hint="cs"/>
          <w:color w:val="000000"/>
          <w:sz w:val="24"/>
          <w:szCs w:val="24"/>
          <w:rtl/>
        </w:rPr>
        <w:t>.</w:t>
      </w:r>
    </w:p>
    <w:p w:rsidR="00171823" w:rsidRPr="00171823" w:rsidRDefault="00171823" w:rsidP="00171823">
      <w:pPr>
        <w:autoSpaceDE w:val="0"/>
        <w:autoSpaceDN w:val="0"/>
        <w:adjustRightInd w:val="0"/>
        <w:spacing w:after="227"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tabs>
          <w:tab w:val="center" w:pos="4153"/>
          <w:tab w:val="right" w:pos="8306"/>
        </w:tabs>
        <w:autoSpaceDE w:val="0"/>
        <w:autoSpaceDN w:val="0"/>
        <w:adjustRightInd w:val="0"/>
        <w:spacing w:after="170" w:line="288" w:lineRule="auto"/>
        <w:ind w:left="1179" w:hanging="1179"/>
        <w:jc w:val="both"/>
        <w:textAlignment w:val="center"/>
        <w:rPr>
          <w:rFonts w:ascii="David" w:eastAsiaTheme="minorHAnsi" w:cs="David"/>
          <w:color w:val="000000"/>
          <w:sz w:val="24"/>
          <w:szCs w:val="24"/>
          <w:rtl/>
        </w:rPr>
      </w:pPr>
      <w:r w:rsidRPr="00171823">
        <w:rPr>
          <w:rFonts w:ascii="David" w:eastAsiaTheme="minorHAnsi" w:cs="David" w:hint="cs"/>
          <w:color w:val="000000"/>
          <w:sz w:val="24"/>
          <w:szCs w:val="24"/>
          <w:rtl/>
        </w:rPr>
        <w:t xml:space="preserve">11. </w:t>
      </w:r>
      <w:r w:rsidRPr="00171823">
        <w:rPr>
          <w:rFonts w:ascii="David" w:eastAsiaTheme="minorHAnsi" w:cs="David"/>
          <w:color w:val="000000"/>
          <w:sz w:val="24"/>
          <w:szCs w:val="24"/>
          <w:rtl/>
        </w:rPr>
        <w:tab/>
      </w:r>
      <w:r w:rsidRPr="00171823">
        <w:rPr>
          <w:rFonts w:ascii="David" w:eastAsiaTheme="minorHAnsi" w:cs="David" w:hint="cs"/>
          <w:color w:val="000000"/>
          <w:sz w:val="24"/>
          <w:szCs w:val="24"/>
          <w:rtl/>
        </w:rPr>
        <w:t xml:space="preserve">הנושא ייבדק על-ידי הוועדה כמפורט בסעיף 1 לעיל ובסופו של התהליך יוצגו ההמלצות לאישור מטה </w:t>
      </w:r>
      <w:proofErr w:type="spellStart"/>
      <w:r w:rsidRPr="00171823">
        <w:rPr>
          <w:rFonts w:ascii="David" w:eastAsiaTheme="minorHAnsi" w:cs="David" w:hint="cs"/>
          <w:color w:val="000000"/>
          <w:sz w:val="24"/>
          <w:szCs w:val="24"/>
          <w:rtl/>
        </w:rPr>
        <w:t>אט"ל</w:t>
      </w:r>
      <w:proofErr w:type="spellEnd"/>
      <w:r w:rsidRPr="00171823">
        <w:rPr>
          <w:rFonts w:ascii="David" w:eastAsiaTheme="minorHAnsi" w:cs="David" w:hint="cs"/>
          <w:color w:val="000000"/>
          <w:sz w:val="24"/>
          <w:szCs w:val="24"/>
          <w:rtl/>
        </w:rPr>
        <w:t>.</w:t>
      </w:r>
    </w:p>
    <w:p w:rsidR="00171823" w:rsidRPr="00171823" w:rsidRDefault="00171823" w:rsidP="00171823">
      <w:pPr>
        <w:tabs>
          <w:tab w:val="center" w:pos="4153"/>
          <w:tab w:val="right" w:pos="8306"/>
        </w:tabs>
        <w:autoSpaceDE w:val="0"/>
        <w:autoSpaceDN w:val="0"/>
        <w:adjustRightInd w:val="0"/>
        <w:spacing w:after="0" w:line="288" w:lineRule="auto"/>
        <w:jc w:val="both"/>
        <w:textAlignment w:val="center"/>
        <w:rPr>
          <w:rFonts w:ascii="David" w:eastAsiaTheme="minorHAnsi" w:cs="David"/>
          <w:b/>
          <w:bCs/>
          <w:color w:val="000000"/>
          <w:sz w:val="24"/>
          <w:szCs w:val="24"/>
          <w:rtl/>
        </w:rPr>
      </w:pPr>
      <w:r w:rsidRPr="00171823">
        <w:rPr>
          <w:rFonts w:ascii="David" w:eastAsiaTheme="minorHAnsi" w:cs="David" w:hint="cs"/>
          <w:b/>
          <w:bCs/>
          <w:color w:val="000000"/>
          <w:sz w:val="24"/>
          <w:szCs w:val="24"/>
          <w:rtl/>
        </w:rPr>
        <w:t xml:space="preserve">מעקב </w:t>
      </w:r>
    </w:p>
    <w:p w:rsidR="00171823" w:rsidRPr="00171823" w:rsidRDefault="00171823" w:rsidP="00171823">
      <w:pPr>
        <w:tabs>
          <w:tab w:val="center" w:pos="4153"/>
          <w:tab w:val="right" w:pos="8306"/>
        </w:tabs>
        <w:autoSpaceDE w:val="0"/>
        <w:autoSpaceDN w:val="0"/>
        <w:adjustRightInd w:val="0"/>
        <w:spacing w:after="227" w:line="288" w:lineRule="auto"/>
        <w:jc w:val="both"/>
        <w:textAlignment w:val="center"/>
        <w:rPr>
          <w:rFonts w:ascii="David" w:eastAsiaTheme="minorHAnsi" w:cs="David"/>
          <w:b/>
          <w:bCs/>
          <w:color w:val="000000"/>
          <w:sz w:val="24"/>
          <w:szCs w:val="24"/>
          <w:rtl/>
        </w:rPr>
      </w:pPr>
      <w:r w:rsidRPr="00171823">
        <w:rPr>
          <w:rFonts w:ascii="David" w:eastAsiaTheme="minorHAnsi" w:cs="David" w:hint="cs"/>
          <w:b/>
          <w:bCs/>
          <w:color w:val="000000"/>
          <w:sz w:val="24"/>
          <w:szCs w:val="24"/>
          <w:rtl/>
        </w:rPr>
        <w:t>צבא ההגנה לישראל</w:t>
      </w:r>
    </w:p>
    <w:p w:rsidR="00171823" w:rsidRPr="00171823" w:rsidRDefault="00171823" w:rsidP="00171823">
      <w:pPr>
        <w:tabs>
          <w:tab w:val="center" w:pos="4153"/>
          <w:tab w:val="right" w:pos="8306"/>
        </w:tabs>
        <w:suppressAutoHyphens/>
        <w:autoSpaceDE w:val="0"/>
        <w:autoSpaceDN w:val="0"/>
        <w:adjustRightInd w:val="0"/>
        <w:spacing w:after="0" w:line="288" w:lineRule="auto"/>
        <w:ind w:left="1179" w:hanging="1179"/>
        <w:jc w:val="both"/>
        <w:textAlignment w:val="center"/>
        <w:rPr>
          <w:rFonts w:ascii="David" w:eastAsiaTheme="minorHAnsi" w:cs="David"/>
          <w:color w:val="000000"/>
          <w:sz w:val="24"/>
          <w:szCs w:val="24"/>
          <w:rtl/>
        </w:rPr>
      </w:pPr>
      <w:r w:rsidRPr="00171823">
        <w:rPr>
          <w:rFonts w:ascii="David" w:eastAsiaTheme="minorHAnsi" w:cs="David" w:hint="cs"/>
          <w:color w:val="000000"/>
          <w:sz w:val="24"/>
          <w:szCs w:val="24"/>
          <w:rtl/>
        </w:rPr>
        <w:t xml:space="preserve">11. </w:t>
      </w:r>
      <w:r w:rsidRPr="00171823">
        <w:rPr>
          <w:rFonts w:ascii="David" w:eastAsiaTheme="minorHAnsi" w:cs="David"/>
          <w:color w:val="000000"/>
          <w:sz w:val="24"/>
          <w:szCs w:val="24"/>
          <w:rtl/>
        </w:rPr>
        <w:tab/>
      </w:r>
      <w:r w:rsidRPr="00171823">
        <w:rPr>
          <w:rFonts w:ascii="David" w:eastAsiaTheme="minorHAnsi" w:cs="David" w:hint="cs"/>
          <w:color w:val="000000"/>
          <w:sz w:val="24"/>
          <w:szCs w:val="24"/>
          <w:rtl/>
        </w:rPr>
        <w:t xml:space="preserve">לנושא קביעת מדיניות גיוס כלי רכב לצה"ל –  על-פי הנחיית ראש חטיבת לוגיסטיקה </w:t>
      </w:r>
      <w:proofErr w:type="spellStart"/>
      <w:r w:rsidRPr="00171823">
        <w:rPr>
          <w:rFonts w:ascii="David" w:eastAsiaTheme="minorHAnsi" w:cs="David" w:hint="cs"/>
          <w:color w:val="000000"/>
          <w:sz w:val="24"/>
          <w:szCs w:val="24"/>
          <w:rtl/>
        </w:rPr>
        <w:t>באט"ל</w:t>
      </w:r>
      <w:proofErr w:type="spellEnd"/>
      <w:r w:rsidRPr="00171823">
        <w:rPr>
          <w:rFonts w:ascii="David" w:eastAsiaTheme="minorHAnsi" w:cs="David" w:hint="cs"/>
          <w:color w:val="000000"/>
          <w:sz w:val="24"/>
          <w:szCs w:val="24"/>
          <w:rtl/>
        </w:rPr>
        <w:t xml:space="preserve"> נושא הפעלת מרכז לאו"ם וסוגיות בתחום האופרטיבי יאושרו על-פי מדרג הסמכויות הקבוע </w:t>
      </w:r>
      <w:proofErr w:type="spellStart"/>
      <w:r w:rsidRPr="00171823">
        <w:rPr>
          <w:rFonts w:ascii="David" w:eastAsiaTheme="minorHAnsi" w:cs="David" w:hint="cs"/>
          <w:color w:val="000000"/>
          <w:sz w:val="24"/>
          <w:szCs w:val="24"/>
          <w:rtl/>
        </w:rPr>
        <w:t>באט"ל</w:t>
      </w:r>
      <w:proofErr w:type="spellEnd"/>
      <w:r w:rsidRPr="00171823">
        <w:rPr>
          <w:rFonts w:ascii="David" w:eastAsiaTheme="minorHAnsi" w:cs="David" w:hint="cs"/>
          <w:color w:val="000000"/>
          <w:sz w:val="24"/>
          <w:szCs w:val="24"/>
          <w:rtl/>
        </w:rPr>
        <w:t xml:space="preserve">: ראש מחלקת  לוגיסטיקה/ראש חטיבת  לוגיסטיקה/ראש </w:t>
      </w:r>
      <w:proofErr w:type="spellStart"/>
      <w:r w:rsidRPr="00171823">
        <w:rPr>
          <w:rFonts w:ascii="David" w:eastAsiaTheme="minorHAnsi" w:cs="David" w:hint="cs"/>
          <w:color w:val="000000"/>
          <w:sz w:val="24"/>
          <w:szCs w:val="24"/>
          <w:rtl/>
        </w:rPr>
        <w:t>אט"ל</w:t>
      </w:r>
      <w:proofErr w:type="spellEnd"/>
      <w:r w:rsidRPr="00171823">
        <w:rPr>
          <w:rFonts w:ascii="David" w:eastAsiaTheme="minorHAnsi" w:cs="David" w:hint="cs"/>
          <w:color w:val="000000"/>
          <w:sz w:val="24"/>
          <w:szCs w:val="24"/>
          <w:rtl/>
        </w:rPr>
        <w:t xml:space="preserve"> . סוגיות ארגון ותקינה מאושרים דרך קבע על-ידי רמ"ח תכנון וארגון/רמ"ט </w:t>
      </w:r>
      <w:proofErr w:type="spellStart"/>
      <w:r w:rsidRPr="00171823">
        <w:rPr>
          <w:rFonts w:ascii="David" w:eastAsiaTheme="minorHAnsi" w:cs="David" w:hint="cs"/>
          <w:color w:val="000000"/>
          <w:sz w:val="24"/>
          <w:szCs w:val="24"/>
          <w:rtl/>
        </w:rPr>
        <w:t>אט"ל</w:t>
      </w:r>
      <w:proofErr w:type="spellEnd"/>
      <w:r w:rsidRPr="00171823">
        <w:rPr>
          <w:rFonts w:ascii="David" w:eastAsiaTheme="minorHAnsi" w:cs="David" w:hint="cs"/>
          <w:color w:val="000000"/>
          <w:sz w:val="24"/>
          <w:szCs w:val="24"/>
          <w:rtl/>
        </w:rPr>
        <w:t xml:space="preserve"> .</w:t>
      </w:r>
    </w:p>
    <w:p w:rsidR="00171823" w:rsidRPr="00171823" w:rsidRDefault="00171823" w:rsidP="00171823">
      <w:pPr>
        <w:tabs>
          <w:tab w:val="center" w:pos="4153"/>
          <w:tab w:val="right" w:pos="8306"/>
        </w:tabs>
        <w:suppressAutoHyphens/>
        <w:autoSpaceDE w:val="0"/>
        <w:autoSpaceDN w:val="0"/>
        <w:adjustRightInd w:val="0"/>
        <w:spacing w:after="0" w:line="288" w:lineRule="auto"/>
        <w:ind w:left="1179" w:hanging="1179"/>
        <w:jc w:val="both"/>
        <w:textAlignment w:val="center"/>
        <w:rPr>
          <w:rFonts w:ascii="David" w:eastAsiaTheme="minorHAnsi" w:cs="David"/>
          <w:color w:val="000000"/>
          <w:sz w:val="24"/>
          <w:szCs w:val="24"/>
          <w:rtl/>
        </w:rPr>
      </w:pPr>
      <w:r w:rsidRPr="00171823">
        <w:rPr>
          <w:rFonts w:ascii="David" w:eastAsiaTheme="minorHAnsi" w:cs="David"/>
          <w:color w:val="000000"/>
          <w:sz w:val="24"/>
          <w:szCs w:val="24"/>
          <w:rtl/>
        </w:rPr>
        <w:tab/>
      </w:r>
      <w:r w:rsidRPr="00171823">
        <w:rPr>
          <w:rFonts w:ascii="David" w:eastAsiaTheme="minorHAnsi" w:cs="David" w:hint="cs"/>
          <w:color w:val="000000"/>
          <w:sz w:val="24"/>
          <w:szCs w:val="24"/>
          <w:rtl/>
        </w:rPr>
        <w:t xml:space="preserve">המרכז לגיוס אמצעים וריתוק משקי (לאו"ם) הציג את המלצותיו בתחום מדיניות/פעילות המרכז (גיוס/אי גיוס, מקדמי אבטחה, שנתונים </w:t>
      </w:r>
      <w:proofErr w:type="spellStart"/>
      <w:r w:rsidRPr="00171823">
        <w:rPr>
          <w:rFonts w:ascii="David" w:eastAsiaTheme="minorHAnsi" w:cs="David" w:hint="cs"/>
          <w:color w:val="000000"/>
          <w:sz w:val="24"/>
          <w:szCs w:val="24"/>
          <w:rtl/>
        </w:rPr>
        <w:t>וכו')</w:t>
      </w:r>
      <w:proofErr w:type="spellEnd"/>
      <w:r w:rsidRPr="00171823">
        <w:rPr>
          <w:rFonts w:ascii="David" w:eastAsiaTheme="minorHAnsi" w:cs="David" w:hint="cs"/>
          <w:color w:val="000000"/>
          <w:sz w:val="24"/>
          <w:szCs w:val="24"/>
          <w:rtl/>
        </w:rPr>
        <w:t xml:space="preserve"> למטה </w:t>
      </w:r>
      <w:proofErr w:type="spellStart"/>
      <w:r w:rsidRPr="00171823">
        <w:rPr>
          <w:rFonts w:ascii="David" w:eastAsiaTheme="minorHAnsi" w:cs="David" w:hint="cs"/>
          <w:color w:val="000000"/>
          <w:sz w:val="24"/>
          <w:szCs w:val="24"/>
          <w:rtl/>
        </w:rPr>
        <w:t>אט"ל</w:t>
      </w:r>
      <w:proofErr w:type="spellEnd"/>
      <w:r w:rsidRPr="00171823">
        <w:rPr>
          <w:rFonts w:ascii="David" w:eastAsiaTheme="minorHAnsi" w:cs="David" w:hint="cs"/>
          <w:color w:val="000000"/>
          <w:sz w:val="24"/>
          <w:szCs w:val="24"/>
          <w:rtl/>
        </w:rPr>
        <w:t xml:space="preserve">  וקיבל את אישורו בדצמבר 2009.</w:t>
      </w:r>
    </w:p>
    <w:p w:rsidR="00171823" w:rsidRPr="00171823" w:rsidRDefault="00171823" w:rsidP="00171823">
      <w:pPr>
        <w:autoSpaceDE w:val="0"/>
        <w:autoSpaceDN w:val="0"/>
        <w:adjustRightInd w:val="0"/>
        <w:spacing w:after="0" w:line="288" w:lineRule="auto"/>
        <w:ind w:left="113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15.</w:t>
      </w:r>
    </w:p>
    <w:p w:rsidR="00171823" w:rsidRPr="00171823" w:rsidRDefault="00171823" w:rsidP="00171823">
      <w:pPr>
        <w:tabs>
          <w:tab w:val="center" w:pos="4153"/>
          <w:tab w:val="right" w:pos="8306"/>
        </w:tabs>
        <w:autoSpaceDE w:val="0"/>
        <w:autoSpaceDN w:val="0"/>
        <w:adjustRightInd w:val="0"/>
        <w:spacing w:line="288" w:lineRule="auto"/>
        <w:jc w:val="both"/>
        <w:textAlignment w:val="center"/>
        <w:rPr>
          <w:rFonts w:ascii="David" w:eastAsiaTheme="minorHAnsi" w:cs="David"/>
          <w:color w:val="000000"/>
          <w:sz w:val="24"/>
          <w:szCs w:val="24"/>
          <w:rtl/>
        </w:rPr>
      </w:pPr>
    </w:p>
    <w:p w:rsidR="00171823" w:rsidRPr="00171823" w:rsidRDefault="00171823" w:rsidP="00171823">
      <w:pPr>
        <w:tabs>
          <w:tab w:val="center" w:pos="4153"/>
          <w:tab w:val="right" w:pos="8306"/>
        </w:tabs>
        <w:autoSpaceDE w:val="0"/>
        <w:autoSpaceDN w:val="0"/>
        <w:adjustRightInd w:val="0"/>
        <w:spacing w:line="288" w:lineRule="auto"/>
        <w:jc w:val="both"/>
        <w:textAlignment w:val="center"/>
        <w:rPr>
          <w:rFonts w:ascii="David" w:eastAsiaTheme="minorHAnsi" w:cs="David"/>
          <w:b/>
          <w:bCs/>
          <w:color w:val="000000"/>
          <w:sz w:val="24"/>
          <w:szCs w:val="24"/>
          <w:rtl/>
        </w:rPr>
      </w:pPr>
      <w:r w:rsidRPr="00171823">
        <w:rPr>
          <w:rFonts w:ascii="David" w:eastAsiaTheme="minorHAnsi" w:cs="David" w:hint="cs"/>
          <w:b/>
          <w:bCs/>
          <w:color w:val="000000"/>
          <w:sz w:val="24"/>
          <w:szCs w:val="24"/>
          <w:rtl/>
        </w:rPr>
        <w:t>ליקוי</w:t>
      </w:r>
    </w:p>
    <w:p w:rsidR="00171823" w:rsidRPr="00171823" w:rsidRDefault="00171823" w:rsidP="00171823">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16. </w:t>
      </w:r>
      <w:r w:rsidRPr="00171823">
        <w:rPr>
          <w:rFonts w:ascii="David" w:eastAsiaTheme="minorHAnsi" w:hAnsi="Times New Roman" w:cs="David"/>
          <w:color w:val="000000"/>
          <w:sz w:val="24"/>
          <w:szCs w:val="24"/>
          <w:rtl/>
        </w:rPr>
        <w:tab/>
      </w:r>
      <w:r w:rsidRPr="00171823">
        <w:rPr>
          <w:rFonts w:ascii="David" w:eastAsiaTheme="minorHAnsi" w:hAnsi="Times New Roman" w:cs="David" w:hint="cs"/>
          <w:color w:val="000000"/>
          <w:sz w:val="24"/>
          <w:szCs w:val="24"/>
          <w:rtl/>
        </w:rPr>
        <w:t xml:space="preserve">מאחר שסוגיית כלי הרכב היא אחת מאבני היסוד בהיערכותו של המשק לשעת חירום ונוכח החרפת האיומים על העורף, משרד מבקר המדינה חוזר על המלצתו משנת 2000 על הצורך בדיון מחודש בנושא חלוקת המשאבים בין צה"ל לבין המשק האזרחי. מתוקף אחריותו הכוללת של שר הביטחון לטיפול בעורף במצבי חירום, ראוי שסוגיה זו תידון ברשות </w:t>
      </w:r>
      <w:r w:rsidRPr="00171823">
        <w:rPr>
          <w:rFonts w:ascii="David" w:eastAsiaTheme="minorHAnsi" w:hAnsi="Times New Roman" w:cs="David" w:hint="cs"/>
          <w:color w:val="000000"/>
          <w:sz w:val="24"/>
          <w:szCs w:val="24"/>
          <w:rtl/>
        </w:rPr>
        <w:lastRenderedPageBreak/>
        <w:t xml:space="preserve">החירום הלאומית, כדי שזו תבחן, בשיתוף עם ראש </w:t>
      </w:r>
      <w:proofErr w:type="spellStart"/>
      <w:r w:rsidRPr="00171823">
        <w:rPr>
          <w:rFonts w:ascii="David" w:eastAsiaTheme="minorHAnsi" w:hAnsi="Times New Roman" w:cs="David" w:hint="cs"/>
          <w:color w:val="000000"/>
          <w:sz w:val="24"/>
          <w:szCs w:val="24"/>
          <w:rtl/>
        </w:rPr>
        <w:t>אט"ל</w:t>
      </w:r>
      <w:proofErr w:type="spellEnd"/>
      <w:r w:rsidRPr="00171823">
        <w:rPr>
          <w:rFonts w:ascii="David" w:eastAsiaTheme="minorHAnsi" w:hAnsi="Times New Roman" w:cs="David" w:hint="cs"/>
          <w:color w:val="000000"/>
          <w:sz w:val="24"/>
          <w:szCs w:val="24"/>
          <w:rtl/>
        </w:rPr>
        <w:t>, בהיותו הסמכות העליונה בצה"ל ליישום החוק, ועם הרשות לתובלה, את סדרי העבודה הקיימים ואת הצעדים הדרושים כדי להביא למיצוי מיטבי של פוטנציאל כלי הרכב במשק.</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מעקב</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71823">
        <w:rPr>
          <w:rFonts w:ascii="David" w:eastAsiaTheme="minorHAnsi" w:hAnsi="Times New Roman" w:cs="David" w:hint="cs"/>
          <w:b/>
          <w:bCs/>
          <w:color w:val="000000"/>
          <w:sz w:val="24"/>
          <w:szCs w:val="24"/>
          <w:rtl/>
        </w:rPr>
        <w:t>משרד הביטחון</w:t>
      </w:r>
    </w:p>
    <w:p w:rsidR="00171823" w:rsidRPr="00171823" w:rsidRDefault="00171823" w:rsidP="0017182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71823" w:rsidRPr="00171823" w:rsidRDefault="00171823" w:rsidP="00171823">
      <w:pPr>
        <w:tabs>
          <w:tab w:val="center" w:pos="4153"/>
          <w:tab w:val="right" w:pos="8306"/>
        </w:tabs>
        <w:autoSpaceDE w:val="0"/>
        <w:autoSpaceDN w:val="0"/>
        <w:adjustRightInd w:val="0"/>
        <w:spacing w:after="0" w:line="288" w:lineRule="auto"/>
        <w:ind w:left="1179" w:hanging="1179"/>
        <w:jc w:val="both"/>
        <w:textAlignment w:val="center"/>
        <w:rPr>
          <w:rFonts w:ascii="David" w:eastAsiaTheme="minorHAnsi" w:cs="David"/>
          <w:color w:val="000000"/>
          <w:sz w:val="24"/>
          <w:szCs w:val="24"/>
          <w:rtl/>
        </w:rPr>
      </w:pPr>
      <w:r w:rsidRPr="00171823">
        <w:rPr>
          <w:rFonts w:ascii="David" w:eastAsiaTheme="minorHAnsi" w:cs="David" w:hint="cs"/>
          <w:color w:val="000000"/>
          <w:sz w:val="24"/>
          <w:szCs w:val="24"/>
          <w:rtl/>
        </w:rPr>
        <w:t xml:space="preserve">16. </w:t>
      </w:r>
      <w:r w:rsidRPr="00171823">
        <w:rPr>
          <w:rFonts w:ascii="David" w:eastAsiaTheme="minorHAnsi" w:cs="David"/>
          <w:color w:val="000000"/>
          <w:sz w:val="24"/>
          <w:szCs w:val="24"/>
          <w:rtl/>
        </w:rPr>
        <w:tab/>
      </w:r>
      <w:r w:rsidRPr="00171823">
        <w:rPr>
          <w:rFonts w:ascii="David" w:eastAsiaTheme="minorHAnsi" w:cs="David" w:hint="cs"/>
          <w:color w:val="000000"/>
          <w:sz w:val="24"/>
          <w:szCs w:val="24"/>
          <w:rtl/>
        </w:rPr>
        <w:t xml:space="preserve">הוועדה, שהוקמה על בסיס  החלטת ממשלה  בק-11 מ-16 במרס 2010, קיימה ישיבה ראשונה בה גם מינתה וועדת משנה לבחינת מספר סוגיות. הוועדה התכנסה בשנית ביום 28.6.2010 ואמורה לסיים את עיבוד מסד הנתונים המשותף לצורכי צה"ל ומשרד התחבורה, למול הפוטנציאל של משק הרכב האזרחי, במהלך יולי 2010. </w:t>
      </w:r>
      <w:r w:rsidRPr="00171823">
        <w:rPr>
          <w:rFonts w:ascii="David" w:eastAsiaTheme="minorHAnsi" w:cs="David"/>
          <w:color w:val="000000"/>
          <w:sz w:val="24"/>
          <w:szCs w:val="24"/>
          <w:rtl/>
        </w:rPr>
        <w:tab/>
      </w:r>
      <w:r w:rsidRPr="00171823">
        <w:rPr>
          <w:rFonts w:ascii="David" w:eastAsiaTheme="minorHAnsi" w:cs="David" w:hint="cs"/>
          <w:color w:val="000000"/>
          <w:sz w:val="24"/>
          <w:szCs w:val="24"/>
          <w:rtl/>
        </w:rPr>
        <w:t>על בסיסו של מסד זה תיעשה הערכת מצב ועבודת מטה כוללת לרבות הסדרת הכשרת והשלמת ההקצאות הנהגים ושאר העניינים הרלבנטיים המוצגים בדוח הביקורת. הוועדה תגיש את המלצותיה בחודש ספטמבר 2010.</w:t>
      </w:r>
    </w:p>
    <w:p w:rsidR="00171823" w:rsidRPr="00171823" w:rsidRDefault="00171823" w:rsidP="00171823">
      <w:pPr>
        <w:autoSpaceDE w:val="0"/>
        <w:autoSpaceDN w:val="0"/>
        <w:adjustRightInd w:val="0"/>
        <w:spacing w:after="0" w:line="288" w:lineRule="auto"/>
        <w:ind w:left="1134"/>
        <w:jc w:val="both"/>
        <w:textAlignment w:val="center"/>
        <w:rPr>
          <w:rFonts w:ascii="David" w:eastAsiaTheme="minorHAnsi" w:hAnsi="Times New Roman" w:cs="David"/>
          <w:color w:val="000000"/>
          <w:sz w:val="24"/>
          <w:szCs w:val="24"/>
          <w:rtl/>
        </w:rPr>
      </w:pPr>
      <w:r w:rsidRPr="00171823">
        <w:rPr>
          <w:rFonts w:ascii="David" w:eastAsiaTheme="minorHAnsi" w:hAnsi="Times New Roman" w:cs="David" w:hint="cs"/>
          <w:color w:val="000000"/>
          <w:sz w:val="24"/>
          <w:szCs w:val="24"/>
          <w:rtl/>
        </w:rPr>
        <w:t xml:space="preserve">ראה הערות רה"מ </w:t>
      </w:r>
      <w:proofErr w:type="spellStart"/>
      <w:r w:rsidRPr="00171823">
        <w:rPr>
          <w:rFonts w:ascii="David" w:eastAsiaTheme="minorHAnsi" w:hAnsi="Times New Roman" w:cs="David" w:hint="cs"/>
          <w:color w:val="000000"/>
          <w:sz w:val="24"/>
          <w:szCs w:val="24"/>
          <w:rtl/>
        </w:rPr>
        <w:t>60א</w:t>
      </w:r>
      <w:proofErr w:type="spellEnd"/>
      <w:r w:rsidRPr="00171823">
        <w:rPr>
          <w:rFonts w:ascii="David" w:eastAsiaTheme="minorHAnsi" w:hAnsi="Times New Roman" w:cs="David" w:hint="cs"/>
          <w:color w:val="000000"/>
          <w:sz w:val="24"/>
          <w:szCs w:val="24"/>
          <w:rtl/>
        </w:rPr>
        <w:t xml:space="preserve">' </w:t>
      </w:r>
      <w:proofErr w:type="spellStart"/>
      <w:r w:rsidRPr="00171823">
        <w:rPr>
          <w:rFonts w:ascii="David" w:eastAsiaTheme="minorHAnsi" w:hAnsi="Times New Roman" w:cs="David" w:hint="cs"/>
          <w:color w:val="000000"/>
          <w:sz w:val="24"/>
          <w:szCs w:val="24"/>
          <w:rtl/>
        </w:rPr>
        <w:t>עמ</w:t>
      </w:r>
      <w:proofErr w:type="spellEnd"/>
      <w:r w:rsidRPr="00171823">
        <w:rPr>
          <w:rFonts w:ascii="David" w:eastAsiaTheme="minorHAnsi" w:hAnsi="Times New Roman" w:cs="David" w:hint="cs"/>
          <w:color w:val="000000"/>
          <w:sz w:val="24"/>
          <w:szCs w:val="24"/>
          <w:rtl/>
        </w:rPr>
        <w:t>' 17.</w:t>
      </w:r>
    </w:p>
    <w:p w:rsidR="0033581A" w:rsidRPr="00171823" w:rsidRDefault="0033581A" w:rsidP="00171823">
      <w:pPr>
        <w:rPr>
          <w:szCs w:val="24"/>
        </w:rPr>
      </w:pPr>
    </w:p>
    <w:sectPr w:rsidR="0033581A" w:rsidRPr="00171823"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2B7" w:rsidRDefault="00E742B7" w:rsidP="00E765DB">
      <w:pPr>
        <w:spacing w:after="0" w:line="240" w:lineRule="auto"/>
      </w:pPr>
      <w:r>
        <w:separator/>
      </w:r>
    </w:p>
  </w:endnote>
  <w:endnote w:type="continuationSeparator" w:id="1">
    <w:p w:rsidR="00E742B7" w:rsidRDefault="00E742B7" w:rsidP="00E76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2B7" w:rsidRDefault="00E742B7" w:rsidP="00E765DB">
      <w:pPr>
        <w:spacing w:after="0" w:line="240" w:lineRule="auto"/>
      </w:pPr>
      <w:r>
        <w:separator/>
      </w:r>
    </w:p>
  </w:footnote>
  <w:footnote w:type="continuationSeparator" w:id="1">
    <w:p w:rsidR="00E742B7" w:rsidRDefault="00E742B7" w:rsidP="00E765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2B7" w:rsidRPr="00B77767" w:rsidRDefault="00AB6363" w:rsidP="00E765DB">
    <w:pPr>
      <w:pStyle w:val="a3"/>
      <w:tabs>
        <w:tab w:val="clear" w:pos="4153"/>
      </w:tabs>
      <w:ind w:left="84" w:hanging="483"/>
      <w:jc w:val="right"/>
      <w:rPr>
        <w:sz w:val="16"/>
        <w:szCs w:val="16"/>
        <w:rtl/>
      </w:rPr>
    </w:pPr>
    <w:r w:rsidRPr="00B77767">
      <w:rPr>
        <w:sz w:val="16"/>
        <w:szCs w:val="16"/>
        <w:rtl/>
      </w:rPr>
      <w:fldChar w:fldCharType="begin"/>
    </w:r>
    <w:r w:rsidR="00E742B7" w:rsidRPr="00B77767">
      <w:rPr>
        <w:sz w:val="16"/>
        <w:szCs w:val="16"/>
        <w:rtl/>
      </w:rPr>
      <w:instrText xml:space="preserve"> </w:instrText>
    </w:r>
    <w:r w:rsidR="00E742B7" w:rsidRPr="00B77767">
      <w:rPr>
        <w:rFonts w:hint="cs"/>
        <w:sz w:val="16"/>
        <w:szCs w:val="16"/>
      </w:rPr>
      <w:instrText>TIME  \@ "HH:mm"  \* MERGEFORMAT</w:instrText>
    </w:r>
    <w:r w:rsidR="00E742B7" w:rsidRPr="00B77767">
      <w:rPr>
        <w:sz w:val="16"/>
        <w:szCs w:val="16"/>
        <w:rtl/>
      </w:rPr>
      <w:instrText xml:space="preserve"> </w:instrText>
    </w:r>
    <w:r w:rsidRPr="00B77767">
      <w:rPr>
        <w:sz w:val="16"/>
        <w:szCs w:val="16"/>
        <w:rtl/>
      </w:rPr>
      <w:fldChar w:fldCharType="separate"/>
    </w:r>
    <w:r w:rsidR="00171823">
      <w:rPr>
        <w:rFonts w:hint="eastAsia"/>
        <w:noProof/>
        <w:sz w:val="16"/>
        <w:szCs w:val="16"/>
        <w:rtl/>
      </w:rPr>
      <w:t>‏</w:t>
    </w:r>
    <w:r w:rsidR="00171823">
      <w:rPr>
        <w:noProof/>
        <w:sz w:val="16"/>
        <w:szCs w:val="16"/>
        <w:rtl/>
      </w:rPr>
      <w:t>13:33</w:t>
    </w:r>
    <w:r w:rsidRPr="00B77767">
      <w:rPr>
        <w:sz w:val="16"/>
        <w:szCs w:val="16"/>
        <w:rtl/>
      </w:rPr>
      <w:fldChar w:fldCharType="end"/>
    </w:r>
    <w:r w:rsidR="00E742B7" w:rsidRPr="00B77767">
      <w:rPr>
        <w:rFonts w:hint="cs"/>
        <w:sz w:val="16"/>
        <w:szCs w:val="16"/>
        <w:rtl/>
      </w:rPr>
      <w:t xml:space="preserve">  </w:t>
    </w:r>
    <w:r w:rsidRPr="00B77767">
      <w:rPr>
        <w:sz w:val="16"/>
        <w:szCs w:val="16"/>
        <w:rtl/>
      </w:rPr>
      <w:fldChar w:fldCharType="begin"/>
    </w:r>
    <w:r w:rsidR="00E742B7" w:rsidRPr="00B77767">
      <w:rPr>
        <w:sz w:val="16"/>
        <w:szCs w:val="16"/>
        <w:rtl/>
      </w:rPr>
      <w:instrText xml:space="preserve"> </w:instrText>
    </w:r>
    <w:r w:rsidR="00E742B7" w:rsidRPr="00B77767">
      <w:rPr>
        <w:rFonts w:hint="cs"/>
        <w:sz w:val="16"/>
        <w:szCs w:val="16"/>
      </w:rPr>
      <w:instrText>DATE  \@ "yyyy-MM-dd"  \* MERGEFORMAT</w:instrText>
    </w:r>
    <w:r w:rsidR="00E742B7" w:rsidRPr="00B77767">
      <w:rPr>
        <w:sz w:val="16"/>
        <w:szCs w:val="16"/>
        <w:rtl/>
      </w:rPr>
      <w:instrText xml:space="preserve"> </w:instrText>
    </w:r>
    <w:r w:rsidRPr="00B77767">
      <w:rPr>
        <w:sz w:val="16"/>
        <w:szCs w:val="16"/>
        <w:rtl/>
      </w:rPr>
      <w:fldChar w:fldCharType="separate"/>
    </w:r>
    <w:r w:rsidR="00171823">
      <w:rPr>
        <w:rFonts w:hint="eastAsia"/>
        <w:noProof/>
        <w:sz w:val="16"/>
        <w:szCs w:val="16"/>
        <w:rtl/>
      </w:rPr>
      <w:t>‏</w:t>
    </w:r>
    <w:r w:rsidR="00171823">
      <w:rPr>
        <w:noProof/>
        <w:sz w:val="16"/>
        <w:szCs w:val="16"/>
        <w:rtl/>
      </w:rPr>
      <w:t>2010–12–12</w:t>
    </w:r>
    <w:r w:rsidRPr="00B77767">
      <w:rPr>
        <w:sz w:val="16"/>
        <w:szCs w:val="16"/>
        <w:rtl/>
      </w:rPr>
      <w:fldChar w:fldCharType="end"/>
    </w:r>
    <w:r w:rsidR="00E742B7" w:rsidRPr="00B77767">
      <w:rPr>
        <w:rFonts w:hint="cs"/>
        <w:sz w:val="16"/>
        <w:szCs w:val="16"/>
        <w:rtl/>
      </w:rPr>
      <w:t xml:space="preserve">   </w:t>
    </w:r>
    <w:fldSimple w:instr=" FILENAME  \* FirstCap \p  \* MERGEFORMAT ">
      <w:r w:rsidR="00E14FD4" w:rsidRPr="00E14FD4">
        <w:rPr>
          <w:noProof/>
          <w:sz w:val="16"/>
          <w:szCs w:val="16"/>
        </w:rPr>
        <w:t>L:\</w:t>
      </w:r>
      <w:r w:rsidR="00E14FD4" w:rsidRPr="00E14FD4">
        <w:rPr>
          <w:rFonts w:hint="eastAsia"/>
          <w:noProof/>
          <w:sz w:val="16"/>
          <w:szCs w:val="16"/>
          <w:rtl/>
        </w:rPr>
        <w:t>הספר</w:t>
      </w:r>
      <w:r w:rsidR="00E14FD4" w:rsidRPr="00E14FD4">
        <w:rPr>
          <w:noProof/>
          <w:sz w:val="16"/>
          <w:szCs w:val="16"/>
          <w:rtl/>
        </w:rPr>
        <w:t xml:space="preserve"> - </w:t>
      </w:r>
      <w:r w:rsidR="00E14FD4" w:rsidRPr="00E14FD4">
        <w:rPr>
          <w:rFonts w:hint="eastAsia"/>
          <w:noProof/>
          <w:sz w:val="16"/>
          <w:szCs w:val="16"/>
          <w:rtl/>
        </w:rPr>
        <w:t>מעקבים</w:t>
      </w:r>
      <w:r w:rsidR="00E14FD4" w:rsidRPr="00E14FD4">
        <w:rPr>
          <w:noProof/>
          <w:sz w:val="16"/>
          <w:szCs w:val="16"/>
          <w:rtl/>
        </w:rPr>
        <w:t xml:space="preserve"> 60</w:t>
      </w:r>
      <w:r w:rsidR="00E14FD4" w:rsidRPr="00E14FD4">
        <w:rPr>
          <w:rFonts w:hint="eastAsia"/>
          <w:noProof/>
          <w:sz w:val="16"/>
          <w:szCs w:val="16"/>
          <w:rtl/>
        </w:rPr>
        <w:t>ב</w:t>
      </w:r>
      <w:r w:rsidR="00E14FD4" w:rsidRPr="00E14FD4">
        <w:rPr>
          <w:noProof/>
          <w:sz w:val="16"/>
          <w:szCs w:val="16"/>
          <w:rtl/>
        </w:rPr>
        <w:t>\</w:t>
      </w:r>
      <w:r w:rsidR="00E14FD4" w:rsidRPr="00E14FD4">
        <w:rPr>
          <w:rFonts w:hint="eastAsia"/>
          <w:noProof/>
          <w:sz w:val="16"/>
          <w:szCs w:val="16"/>
          <w:rtl/>
        </w:rPr>
        <w:t>עקיבא</w:t>
      </w:r>
      <w:r w:rsidR="00E14FD4" w:rsidRPr="00E14FD4">
        <w:rPr>
          <w:noProof/>
          <w:sz w:val="16"/>
          <w:szCs w:val="16"/>
          <w:rtl/>
        </w:rPr>
        <w:t>\</w:t>
      </w:r>
      <w:r w:rsidR="00E14FD4" w:rsidRPr="00E14FD4">
        <w:rPr>
          <w:rFonts w:hint="eastAsia"/>
          <w:noProof/>
          <w:sz w:val="16"/>
          <w:szCs w:val="16"/>
          <w:rtl/>
        </w:rPr>
        <w:t>מערכת</w:t>
      </w:r>
      <w:r w:rsidR="00E14FD4" w:rsidRPr="00E14FD4">
        <w:rPr>
          <w:noProof/>
          <w:sz w:val="16"/>
          <w:szCs w:val="16"/>
          <w:rtl/>
        </w:rPr>
        <w:t xml:space="preserve"> </w:t>
      </w:r>
      <w:r w:rsidR="00E14FD4" w:rsidRPr="00E14FD4">
        <w:rPr>
          <w:rFonts w:hint="eastAsia"/>
          <w:noProof/>
          <w:sz w:val="16"/>
          <w:szCs w:val="16"/>
          <w:rtl/>
        </w:rPr>
        <w:t>הביטחון</w:t>
      </w:r>
      <w:r w:rsidR="00E14FD4" w:rsidRPr="00E14FD4">
        <w:rPr>
          <w:noProof/>
          <w:sz w:val="16"/>
          <w:szCs w:val="16"/>
          <w:rtl/>
        </w:rPr>
        <w:t>\60</w:t>
      </w:r>
      <w:r w:rsidR="00E14FD4" w:rsidRPr="00E14FD4">
        <w:rPr>
          <w:rFonts w:hint="eastAsia"/>
          <w:noProof/>
          <w:sz w:val="16"/>
          <w:szCs w:val="16"/>
          <w:rtl/>
        </w:rPr>
        <w:t>א</w:t>
      </w:r>
      <w:r w:rsidR="00E14FD4" w:rsidRPr="00E14FD4">
        <w:rPr>
          <w:noProof/>
          <w:sz w:val="16"/>
          <w:szCs w:val="16"/>
          <w:rtl/>
        </w:rPr>
        <w:t>\</w:t>
      </w:r>
      <w:r w:rsidR="00E14FD4" w:rsidRPr="00E14FD4">
        <w:rPr>
          <w:rFonts w:hint="eastAsia"/>
          <w:noProof/>
          <w:sz w:val="16"/>
          <w:szCs w:val="16"/>
          <w:rtl/>
        </w:rPr>
        <w:t>היערכות</w:t>
      </w:r>
      <w:r w:rsidR="00E14FD4" w:rsidRPr="00E14FD4">
        <w:rPr>
          <w:noProof/>
          <w:sz w:val="16"/>
          <w:szCs w:val="16"/>
          <w:rtl/>
        </w:rPr>
        <w:t xml:space="preserve"> </w:t>
      </w:r>
      <w:r w:rsidR="00E14FD4" w:rsidRPr="00E14FD4">
        <w:rPr>
          <w:rFonts w:hint="eastAsia"/>
          <w:noProof/>
          <w:sz w:val="16"/>
          <w:szCs w:val="16"/>
          <w:rtl/>
        </w:rPr>
        <w:t>משרד</w:t>
      </w:r>
      <w:r w:rsidR="00E14FD4" w:rsidRPr="00E14FD4">
        <w:rPr>
          <w:noProof/>
          <w:sz w:val="16"/>
          <w:szCs w:val="16"/>
          <w:rtl/>
        </w:rPr>
        <w:t xml:space="preserve"> </w:t>
      </w:r>
      <w:r w:rsidR="00E14FD4" w:rsidRPr="00E14FD4">
        <w:rPr>
          <w:rFonts w:hint="eastAsia"/>
          <w:noProof/>
          <w:sz w:val="16"/>
          <w:szCs w:val="16"/>
          <w:rtl/>
        </w:rPr>
        <w:t>התחבורה</w:t>
      </w:r>
      <w:r w:rsidR="00E14FD4" w:rsidRPr="00E14FD4">
        <w:rPr>
          <w:noProof/>
          <w:sz w:val="16"/>
          <w:szCs w:val="16"/>
          <w:rtl/>
        </w:rPr>
        <w:t xml:space="preserve"> </w:t>
      </w:r>
      <w:r w:rsidR="00E14FD4" w:rsidRPr="00E14FD4">
        <w:rPr>
          <w:rFonts w:hint="eastAsia"/>
          <w:noProof/>
          <w:sz w:val="16"/>
          <w:szCs w:val="16"/>
          <w:rtl/>
        </w:rPr>
        <w:t>למתן</w:t>
      </w:r>
      <w:r w:rsidR="00E14FD4" w:rsidRPr="00E14FD4">
        <w:rPr>
          <w:noProof/>
          <w:sz w:val="16"/>
          <w:szCs w:val="16"/>
          <w:rtl/>
        </w:rPr>
        <w:t xml:space="preserve"> </w:t>
      </w:r>
      <w:r w:rsidR="00E14FD4" w:rsidRPr="00E14FD4">
        <w:rPr>
          <w:rFonts w:hint="eastAsia"/>
          <w:noProof/>
          <w:sz w:val="16"/>
          <w:szCs w:val="16"/>
          <w:rtl/>
        </w:rPr>
        <w:t>שירותי</w:t>
      </w:r>
      <w:r w:rsidR="00E14FD4" w:rsidRPr="00E14FD4">
        <w:rPr>
          <w:noProof/>
          <w:sz w:val="16"/>
          <w:szCs w:val="16"/>
          <w:rtl/>
        </w:rPr>
        <w:t xml:space="preserve"> </w:t>
      </w:r>
      <w:r w:rsidR="00E14FD4" w:rsidRPr="00E14FD4">
        <w:rPr>
          <w:rFonts w:hint="eastAsia"/>
          <w:noProof/>
          <w:sz w:val="16"/>
          <w:szCs w:val="16"/>
          <w:rtl/>
        </w:rPr>
        <w:t>תובלה</w:t>
      </w:r>
      <w:r w:rsidR="00E14FD4" w:rsidRPr="00E14FD4">
        <w:rPr>
          <w:noProof/>
          <w:sz w:val="16"/>
          <w:szCs w:val="16"/>
          <w:rtl/>
        </w:rPr>
        <w:t xml:space="preserve"> </w:t>
      </w:r>
      <w:r w:rsidR="00E14FD4" w:rsidRPr="00E14FD4">
        <w:rPr>
          <w:rFonts w:hint="eastAsia"/>
          <w:noProof/>
          <w:sz w:val="16"/>
          <w:szCs w:val="16"/>
          <w:rtl/>
        </w:rPr>
        <w:t>למשק</w:t>
      </w:r>
      <w:r w:rsidR="00E14FD4" w:rsidRPr="00E14FD4">
        <w:rPr>
          <w:noProof/>
          <w:sz w:val="16"/>
          <w:szCs w:val="16"/>
          <w:rtl/>
        </w:rPr>
        <w:t xml:space="preserve"> </w:t>
      </w:r>
      <w:r w:rsidR="00E14FD4" w:rsidRPr="00E14FD4">
        <w:rPr>
          <w:rFonts w:hint="eastAsia"/>
          <w:noProof/>
          <w:sz w:val="16"/>
          <w:szCs w:val="16"/>
          <w:rtl/>
        </w:rPr>
        <w:t>האזרחי</w:t>
      </w:r>
      <w:r w:rsidR="00E14FD4" w:rsidRPr="00E14FD4">
        <w:rPr>
          <w:noProof/>
          <w:sz w:val="16"/>
          <w:szCs w:val="16"/>
        </w:rPr>
        <w:t>.docx</w:t>
      </w:r>
    </w:fldSimple>
    <w:r w:rsidR="00E742B7" w:rsidRPr="00B77767">
      <w:rPr>
        <w:rFonts w:hint="cs"/>
        <w:sz w:val="16"/>
        <w:szCs w:val="16"/>
        <w:rtl/>
      </w:rPr>
      <w:t xml:space="preserve">    -</w:t>
    </w:r>
    <w:r w:rsidRPr="00B77767">
      <w:rPr>
        <w:sz w:val="16"/>
        <w:szCs w:val="16"/>
        <w:rtl/>
      </w:rPr>
      <w:fldChar w:fldCharType="begin"/>
    </w:r>
    <w:r w:rsidR="00E742B7" w:rsidRPr="00B77767">
      <w:rPr>
        <w:sz w:val="16"/>
        <w:szCs w:val="16"/>
        <w:rtl/>
      </w:rPr>
      <w:instrText xml:space="preserve"> </w:instrText>
    </w:r>
    <w:r w:rsidR="00E742B7" w:rsidRPr="00B77767">
      <w:rPr>
        <w:sz w:val="16"/>
        <w:szCs w:val="16"/>
      </w:rPr>
      <w:instrText>PAGE   \* MERGEFORMAT</w:instrText>
    </w:r>
    <w:r w:rsidR="00E742B7" w:rsidRPr="00B77767">
      <w:rPr>
        <w:sz w:val="16"/>
        <w:szCs w:val="16"/>
        <w:rtl/>
      </w:rPr>
      <w:instrText xml:space="preserve"> </w:instrText>
    </w:r>
    <w:r w:rsidRPr="00B77767">
      <w:rPr>
        <w:sz w:val="16"/>
        <w:szCs w:val="16"/>
        <w:rtl/>
      </w:rPr>
      <w:fldChar w:fldCharType="separate"/>
    </w:r>
    <w:r w:rsidR="00171823">
      <w:rPr>
        <w:noProof/>
        <w:sz w:val="16"/>
        <w:szCs w:val="16"/>
        <w:rtl/>
      </w:rPr>
      <w:t>5</w:t>
    </w:r>
    <w:r w:rsidRPr="00B77767">
      <w:rPr>
        <w:sz w:val="16"/>
        <w:szCs w:val="16"/>
        <w:rtl/>
      </w:rPr>
      <w:fldChar w:fldCharType="end"/>
    </w:r>
    <w:r w:rsidR="00E742B7" w:rsidRPr="00B77767">
      <w:rPr>
        <w:rFonts w:hint="cs"/>
        <w:sz w:val="16"/>
        <w:szCs w:val="16"/>
        <w:rtl/>
      </w:rPr>
      <w:t>-</w:t>
    </w:r>
  </w:p>
  <w:p w:rsidR="00E742B7" w:rsidRPr="00E765DB" w:rsidRDefault="00E742B7" w:rsidP="00E765DB">
    <w:pPr>
      <w:tabs>
        <w:tab w:val="left" w:pos="1316"/>
        <w:tab w:val="center" w:pos="4153"/>
      </w:tabs>
      <w:ind w:hanging="483"/>
      <w:rPr>
        <w:rFonts w:cs="David"/>
        <w:sz w:val="18"/>
        <w:szCs w:val="18"/>
        <w:u w:val="single"/>
      </w:rPr>
    </w:pPr>
    <w:r w:rsidRPr="00E765DB">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E765DB">
      <w:rPr>
        <w:rFonts w:cs="David" w:hint="cs"/>
        <w:sz w:val="18"/>
        <w:szCs w:val="18"/>
        <w:u w:val="single"/>
        <w:rtl/>
      </w:rPr>
      <w:t xml:space="preserve">                                              מערכת הביטחון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E144E08"/>
    <w:multiLevelType w:val="hybridMultilevel"/>
    <w:tmpl w:val="4572B554"/>
    <w:lvl w:ilvl="0" w:tplc="62B41A7C">
      <w:start w:val="1"/>
      <w:numFmt w:val="hebrew1"/>
      <w:lvlText w:val="%1."/>
      <w:lvlJc w:val="left"/>
      <w:pPr>
        <w:ind w:left="746" w:hanging="36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9">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2"/>
  </w:num>
  <w:num w:numId="4">
    <w:abstractNumId w:val="5"/>
  </w:num>
  <w:num w:numId="5">
    <w:abstractNumId w:val="10"/>
  </w:num>
  <w:num w:numId="6">
    <w:abstractNumId w:val="7"/>
  </w:num>
  <w:num w:numId="7">
    <w:abstractNumId w:val="0"/>
  </w:num>
  <w:num w:numId="8">
    <w:abstractNumId w:val="11"/>
  </w:num>
  <w:num w:numId="9">
    <w:abstractNumId w:val="3"/>
  </w:num>
  <w:num w:numId="10">
    <w:abstractNumId w:val="9"/>
  </w:num>
  <w:num w:numId="11">
    <w:abstractNumId w:val="6"/>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765DB"/>
    <w:rsid w:val="00000243"/>
    <w:rsid w:val="00000739"/>
    <w:rsid w:val="00027667"/>
    <w:rsid w:val="00036268"/>
    <w:rsid w:val="00043D5A"/>
    <w:rsid w:val="000510D6"/>
    <w:rsid w:val="00073FA9"/>
    <w:rsid w:val="00082BAA"/>
    <w:rsid w:val="00087487"/>
    <w:rsid w:val="000A479B"/>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71823"/>
    <w:rsid w:val="00192663"/>
    <w:rsid w:val="001A7F9D"/>
    <w:rsid w:val="001C723E"/>
    <w:rsid w:val="001D2CC6"/>
    <w:rsid w:val="001E5006"/>
    <w:rsid w:val="001E6A43"/>
    <w:rsid w:val="001F6320"/>
    <w:rsid w:val="00232852"/>
    <w:rsid w:val="00237AB5"/>
    <w:rsid w:val="00274039"/>
    <w:rsid w:val="00280509"/>
    <w:rsid w:val="00282D49"/>
    <w:rsid w:val="002831EA"/>
    <w:rsid w:val="00292FCA"/>
    <w:rsid w:val="0029553E"/>
    <w:rsid w:val="00297441"/>
    <w:rsid w:val="002A6F8F"/>
    <w:rsid w:val="002B3D39"/>
    <w:rsid w:val="002B6CF7"/>
    <w:rsid w:val="002D02ED"/>
    <w:rsid w:val="002D0694"/>
    <w:rsid w:val="002E2B52"/>
    <w:rsid w:val="002E6760"/>
    <w:rsid w:val="002E6B4E"/>
    <w:rsid w:val="00300D6B"/>
    <w:rsid w:val="0030735E"/>
    <w:rsid w:val="00310136"/>
    <w:rsid w:val="0033198C"/>
    <w:rsid w:val="003344B0"/>
    <w:rsid w:val="0033581A"/>
    <w:rsid w:val="00354067"/>
    <w:rsid w:val="00360A13"/>
    <w:rsid w:val="00365957"/>
    <w:rsid w:val="00377C35"/>
    <w:rsid w:val="0039710C"/>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103B"/>
    <w:rsid w:val="00533C78"/>
    <w:rsid w:val="00537BD2"/>
    <w:rsid w:val="00547425"/>
    <w:rsid w:val="0055111F"/>
    <w:rsid w:val="00563607"/>
    <w:rsid w:val="00584A2C"/>
    <w:rsid w:val="005A548B"/>
    <w:rsid w:val="005A6E05"/>
    <w:rsid w:val="005D57C1"/>
    <w:rsid w:val="005E0D08"/>
    <w:rsid w:val="005F5094"/>
    <w:rsid w:val="0060499E"/>
    <w:rsid w:val="00606B34"/>
    <w:rsid w:val="00606CCF"/>
    <w:rsid w:val="00624861"/>
    <w:rsid w:val="00632551"/>
    <w:rsid w:val="00642830"/>
    <w:rsid w:val="00646F69"/>
    <w:rsid w:val="006643DF"/>
    <w:rsid w:val="006653A5"/>
    <w:rsid w:val="0067780E"/>
    <w:rsid w:val="006807A6"/>
    <w:rsid w:val="006942D9"/>
    <w:rsid w:val="006A67BA"/>
    <w:rsid w:val="006D43C8"/>
    <w:rsid w:val="006D58DE"/>
    <w:rsid w:val="006E0566"/>
    <w:rsid w:val="006E7ED9"/>
    <w:rsid w:val="0073050A"/>
    <w:rsid w:val="00733D53"/>
    <w:rsid w:val="00753962"/>
    <w:rsid w:val="007629F8"/>
    <w:rsid w:val="00762B5D"/>
    <w:rsid w:val="00772A72"/>
    <w:rsid w:val="007736D0"/>
    <w:rsid w:val="007827A7"/>
    <w:rsid w:val="00783E86"/>
    <w:rsid w:val="00787AB8"/>
    <w:rsid w:val="007A0025"/>
    <w:rsid w:val="007B0C4D"/>
    <w:rsid w:val="007B4AAF"/>
    <w:rsid w:val="007D1079"/>
    <w:rsid w:val="00810E64"/>
    <w:rsid w:val="0081406C"/>
    <w:rsid w:val="00817201"/>
    <w:rsid w:val="00847A12"/>
    <w:rsid w:val="00867F44"/>
    <w:rsid w:val="0088076B"/>
    <w:rsid w:val="008A1154"/>
    <w:rsid w:val="008B1C1D"/>
    <w:rsid w:val="008B5AD7"/>
    <w:rsid w:val="008D6336"/>
    <w:rsid w:val="009021C2"/>
    <w:rsid w:val="00917859"/>
    <w:rsid w:val="00922D8C"/>
    <w:rsid w:val="00936AAF"/>
    <w:rsid w:val="009409FE"/>
    <w:rsid w:val="00940EE1"/>
    <w:rsid w:val="00963FFB"/>
    <w:rsid w:val="00973104"/>
    <w:rsid w:val="00984194"/>
    <w:rsid w:val="00993D03"/>
    <w:rsid w:val="00996DB6"/>
    <w:rsid w:val="009A62C4"/>
    <w:rsid w:val="009B1770"/>
    <w:rsid w:val="009D6F86"/>
    <w:rsid w:val="009E5072"/>
    <w:rsid w:val="009E6EFD"/>
    <w:rsid w:val="009E732F"/>
    <w:rsid w:val="009F6A70"/>
    <w:rsid w:val="00A020E1"/>
    <w:rsid w:val="00A24D18"/>
    <w:rsid w:val="00A35879"/>
    <w:rsid w:val="00A50ADE"/>
    <w:rsid w:val="00A51DC7"/>
    <w:rsid w:val="00A6715C"/>
    <w:rsid w:val="00A67167"/>
    <w:rsid w:val="00A730BC"/>
    <w:rsid w:val="00A73AE3"/>
    <w:rsid w:val="00A811C8"/>
    <w:rsid w:val="00A82C07"/>
    <w:rsid w:val="00AA1EBD"/>
    <w:rsid w:val="00AB6363"/>
    <w:rsid w:val="00AC02A2"/>
    <w:rsid w:val="00AC3E47"/>
    <w:rsid w:val="00AF66AA"/>
    <w:rsid w:val="00AF7804"/>
    <w:rsid w:val="00B00D9A"/>
    <w:rsid w:val="00B16BE4"/>
    <w:rsid w:val="00B3265D"/>
    <w:rsid w:val="00B54505"/>
    <w:rsid w:val="00B571BA"/>
    <w:rsid w:val="00B613C7"/>
    <w:rsid w:val="00B669B1"/>
    <w:rsid w:val="00B71422"/>
    <w:rsid w:val="00B77767"/>
    <w:rsid w:val="00B82574"/>
    <w:rsid w:val="00B83D24"/>
    <w:rsid w:val="00B96C6C"/>
    <w:rsid w:val="00BA4815"/>
    <w:rsid w:val="00BA5E48"/>
    <w:rsid w:val="00BA7B4B"/>
    <w:rsid w:val="00BB4131"/>
    <w:rsid w:val="00BC6FA3"/>
    <w:rsid w:val="00BD08C2"/>
    <w:rsid w:val="00BE0D3F"/>
    <w:rsid w:val="00C00E7E"/>
    <w:rsid w:val="00C038DE"/>
    <w:rsid w:val="00C03A0E"/>
    <w:rsid w:val="00C3301D"/>
    <w:rsid w:val="00C34195"/>
    <w:rsid w:val="00C366AF"/>
    <w:rsid w:val="00C40812"/>
    <w:rsid w:val="00C41FFA"/>
    <w:rsid w:val="00C51C1D"/>
    <w:rsid w:val="00C6659C"/>
    <w:rsid w:val="00C723C0"/>
    <w:rsid w:val="00CA2206"/>
    <w:rsid w:val="00CB6CA1"/>
    <w:rsid w:val="00CC3E2F"/>
    <w:rsid w:val="00CC683F"/>
    <w:rsid w:val="00CE2D49"/>
    <w:rsid w:val="00D009A9"/>
    <w:rsid w:val="00D02568"/>
    <w:rsid w:val="00D038BA"/>
    <w:rsid w:val="00D04CE8"/>
    <w:rsid w:val="00D20800"/>
    <w:rsid w:val="00D37D9E"/>
    <w:rsid w:val="00D57A3C"/>
    <w:rsid w:val="00D66429"/>
    <w:rsid w:val="00D8517D"/>
    <w:rsid w:val="00DA0DCD"/>
    <w:rsid w:val="00DA74D9"/>
    <w:rsid w:val="00DC0772"/>
    <w:rsid w:val="00DE169C"/>
    <w:rsid w:val="00DF2B24"/>
    <w:rsid w:val="00E12867"/>
    <w:rsid w:val="00E14FD4"/>
    <w:rsid w:val="00E20A2E"/>
    <w:rsid w:val="00E25D97"/>
    <w:rsid w:val="00E314A0"/>
    <w:rsid w:val="00E4475C"/>
    <w:rsid w:val="00E47FEC"/>
    <w:rsid w:val="00E54BFD"/>
    <w:rsid w:val="00E64E00"/>
    <w:rsid w:val="00E667E9"/>
    <w:rsid w:val="00E67FFC"/>
    <w:rsid w:val="00E728AF"/>
    <w:rsid w:val="00E742B7"/>
    <w:rsid w:val="00E765DB"/>
    <w:rsid w:val="00E77641"/>
    <w:rsid w:val="00E84B36"/>
    <w:rsid w:val="00E92150"/>
    <w:rsid w:val="00E92381"/>
    <w:rsid w:val="00EA14C1"/>
    <w:rsid w:val="00EB5091"/>
    <w:rsid w:val="00EC33CF"/>
    <w:rsid w:val="00EF3EE3"/>
    <w:rsid w:val="00EF6F1E"/>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00CD"/>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65DB"/>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E765DB"/>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E765DB"/>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E765DB"/>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E765DB"/>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E765DB"/>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E765DB"/>
    <w:pPr>
      <w:bidi w:val="0"/>
      <w:spacing w:before="240" w:after="60" w:line="240" w:lineRule="auto"/>
      <w:outlineLvl w:val="5"/>
    </w:pPr>
    <w:rPr>
      <w:rFonts w:eastAsia="Calibri" w:cs="Times New Roman"/>
      <w:b/>
      <w:bCs/>
    </w:rPr>
  </w:style>
  <w:style w:type="paragraph" w:styleId="7">
    <w:name w:val="heading 7"/>
    <w:basedOn w:val="a"/>
    <w:next w:val="a"/>
    <w:link w:val="70"/>
    <w:qFormat/>
    <w:rsid w:val="00E765DB"/>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E765DB"/>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E765DB"/>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765DB"/>
    <w:pPr>
      <w:tabs>
        <w:tab w:val="center" w:pos="4153"/>
        <w:tab w:val="right" w:pos="8306"/>
      </w:tabs>
      <w:spacing w:line="240" w:lineRule="auto"/>
    </w:pPr>
  </w:style>
  <w:style w:type="character" w:customStyle="1" w:styleId="a4">
    <w:name w:val="כותרת עליונה תו"/>
    <w:basedOn w:val="a0"/>
    <w:link w:val="a3"/>
    <w:rsid w:val="00E765DB"/>
  </w:style>
  <w:style w:type="paragraph" w:styleId="a5">
    <w:name w:val="footer"/>
    <w:basedOn w:val="a"/>
    <w:link w:val="a6"/>
    <w:unhideWhenUsed/>
    <w:rsid w:val="00E765DB"/>
    <w:pPr>
      <w:tabs>
        <w:tab w:val="center" w:pos="4153"/>
        <w:tab w:val="right" w:pos="8306"/>
      </w:tabs>
      <w:spacing w:line="240" w:lineRule="auto"/>
    </w:pPr>
  </w:style>
  <w:style w:type="character" w:customStyle="1" w:styleId="a6">
    <w:name w:val="כותרת תחתונה תו"/>
    <w:basedOn w:val="a0"/>
    <w:link w:val="a5"/>
    <w:rsid w:val="00E765DB"/>
  </w:style>
  <w:style w:type="paragraph" w:styleId="a7">
    <w:name w:val="Balloon Text"/>
    <w:basedOn w:val="a"/>
    <w:link w:val="a8"/>
    <w:semiHidden/>
    <w:unhideWhenUsed/>
    <w:rsid w:val="00E765DB"/>
    <w:pPr>
      <w:spacing w:line="240" w:lineRule="auto"/>
    </w:pPr>
    <w:rPr>
      <w:rFonts w:ascii="Tahoma" w:hAnsi="Tahoma" w:cs="Tahoma"/>
      <w:sz w:val="16"/>
      <w:szCs w:val="16"/>
    </w:rPr>
  </w:style>
  <w:style w:type="character" w:customStyle="1" w:styleId="a8">
    <w:name w:val="טקסט בלונים תו"/>
    <w:basedOn w:val="a0"/>
    <w:link w:val="a7"/>
    <w:semiHidden/>
    <w:rsid w:val="00E765DB"/>
    <w:rPr>
      <w:rFonts w:ascii="Tahoma" w:hAnsi="Tahoma" w:cs="Tahoma"/>
      <w:sz w:val="16"/>
      <w:szCs w:val="16"/>
    </w:rPr>
  </w:style>
  <w:style w:type="character" w:customStyle="1" w:styleId="10">
    <w:name w:val="כותרת 1 תו"/>
    <w:basedOn w:val="a0"/>
    <w:link w:val="1"/>
    <w:rsid w:val="00E765DB"/>
    <w:rPr>
      <w:rFonts w:ascii="Cambria" w:eastAsia="Calibri" w:hAnsi="Cambria" w:cs="Times New Roman"/>
      <w:b/>
      <w:bCs/>
      <w:kern w:val="32"/>
      <w:sz w:val="32"/>
      <w:szCs w:val="32"/>
    </w:rPr>
  </w:style>
  <w:style w:type="character" w:customStyle="1" w:styleId="20">
    <w:name w:val="כותרת 2 תו"/>
    <w:basedOn w:val="a0"/>
    <w:link w:val="2"/>
    <w:rsid w:val="00E765DB"/>
    <w:rPr>
      <w:rFonts w:ascii="Cambria" w:eastAsia="Calibri" w:hAnsi="Cambria" w:cs="Times New Roman"/>
      <w:b/>
      <w:bCs/>
      <w:i/>
      <w:iCs/>
      <w:sz w:val="28"/>
      <w:szCs w:val="28"/>
    </w:rPr>
  </w:style>
  <w:style w:type="character" w:customStyle="1" w:styleId="30">
    <w:name w:val="כותרת 3 תו"/>
    <w:basedOn w:val="a0"/>
    <w:link w:val="3"/>
    <w:rsid w:val="00E765DB"/>
    <w:rPr>
      <w:rFonts w:ascii="Cambria" w:eastAsia="Calibri" w:hAnsi="Cambria" w:cs="Times New Roman"/>
      <w:b/>
      <w:bCs/>
      <w:sz w:val="26"/>
      <w:szCs w:val="26"/>
    </w:rPr>
  </w:style>
  <w:style w:type="character" w:customStyle="1" w:styleId="40">
    <w:name w:val="כותרת 4 תו"/>
    <w:basedOn w:val="a0"/>
    <w:link w:val="4"/>
    <w:rsid w:val="00E765DB"/>
    <w:rPr>
      <w:rFonts w:ascii="Calibri" w:eastAsia="Calibri" w:hAnsi="Calibri" w:cs="Times New Roman"/>
      <w:b/>
      <w:bCs/>
      <w:sz w:val="28"/>
      <w:szCs w:val="28"/>
    </w:rPr>
  </w:style>
  <w:style w:type="character" w:customStyle="1" w:styleId="50">
    <w:name w:val="כותרת 5 תו"/>
    <w:basedOn w:val="a0"/>
    <w:link w:val="5"/>
    <w:rsid w:val="00E765DB"/>
    <w:rPr>
      <w:rFonts w:ascii="Calibri" w:eastAsia="Calibri" w:hAnsi="Calibri" w:cs="Times New Roman"/>
      <w:b/>
      <w:bCs/>
      <w:i/>
      <w:iCs/>
      <w:sz w:val="26"/>
      <w:szCs w:val="26"/>
    </w:rPr>
  </w:style>
  <w:style w:type="character" w:customStyle="1" w:styleId="60">
    <w:name w:val="כותרת 6 תו"/>
    <w:basedOn w:val="a0"/>
    <w:link w:val="6"/>
    <w:rsid w:val="00E765DB"/>
    <w:rPr>
      <w:rFonts w:ascii="Calibri" w:eastAsia="Calibri" w:hAnsi="Calibri" w:cs="Times New Roman"/>
      <w:b/>
      <w:bCs/>
      <w:sz w:val="22"/>
      <w:szCs w:val="22"/>
    </w:rPr>
  </w:style>
  <w:style w:type="character" w:customStyle="1" w:styleId="70">
    <w:name w:val="כותרת 7 תו"/>
    <w:basedOn w:val="a0"/>
    <w:link w:val="7"/>
    <w:rsid w:val="00E765DB"/>
    <w:rPr>
      <w:rFonts w:ascii="Calibri" w:eastAsia="Calibri" w:hAnsi="Calibri" w:cs="Times New Roman"/>
    </w:rPr>
  </w:style>
  <w:style w:type="character" w:customStyle="1" w:styleId="80">
    <w:name w:val="כותרת 8 תו"/>
    <w:basedOn w:val="a0"/>
    <w:link w:val="8"/>
    <w:rsid w:val="00E765DB"/>
    <w:rPr>
      <w:rFonts w:ascii="Calibri" w:eastAsia="Calibri" w:hAnsi="Calibri" w:cs="Times New Roman"/>
      <w:i/>
      <w:iCs/>
    </w:rPr>
  </w:style>
  <w:style w:type="character" w:customStyle="1" w:styleId="90">
    <w:name w:val="כותרת 9 תו"/>
    <w:basedOn w:val="a0"/>
    <w:link w:val="9"/>
    <w:rsid w:val="00E765DB"/>
    <w:rPr>
      <w:rFonts w:ascii="Cambria" w:eastAsia="Calibri" w:hAnsi="Cambria" w:cs="Times New Roman"/>
      <w:sz w:val="22"/>
      <w:szCs w:val="22"/>
    </w:rPr>
  </w:style>
  <w:style w:type="paragraph" w:styleId="a9">
    <w:name w:val="caption"/>
    <w:basedOn w:val="a"/>
    <w:next w:val="a"/>
    <w:qFormat/>
    <w:rsid w:val="00E765DB"/>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E765DB"/>
    <w:pPr>
      <w:ind w:left="720"/>
      <w:contextualSpacing/>
    </w:pPr>
  </w:style>
  <w:style w:type="paragraph" w:customStyle="1" w:styleId="aa">
    <w:name w:val="נבנצלים"/>
    <w:basedOn w:val="a"/>
    <w:next w:val="a"/>
    <w:autoRedefine/>
    <w:rsid w:val="00E765DB"/>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E765DB"/>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E765DB"/>
    <w:rPr>
      <w:rFonts w:ascii="Times New Roman" w:eastAsia="Calibri" w:hAnsi="Times New Roman"/>
      <w:sz w:val="20"/>
      <w:szCs w:val="20"/>
      <w:lang w:eastAsia="he-IL"/>
    </w:rPr>
  </w:style>
  <w:style w:type="character" w:styleId="ad">
    <w:name w:val="footnote reference"/>
    <w:basedOn w:val="a0"/>
    <w:semiHidden/>
    <w:rsid w:val="00E765DB"/>
    <w:rPr>
      <w:rFonts w:cs="David"/>
      <w:vertAlign w:val="superscript"/>
      <w:lang w:bidi="he-IL"/>
    </w:rPr>
  </w:style>
  <w:style w:type="paragraph" w:customStyle="1" w:styleId="ae">
    <w:name w:val="תו"/>
    <w:basedOn w:val="a"/>
    <w:rsid w:val="00E765DB"/>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E765DB"/>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E765DB"/>
    <w:rPr>
      <w:rFonts w:ascii="Cambria" w:eastAsia="Calibri" w:hAnsi="Cambria" w:cs="Times New Roman"/>
      <w:b/>
      <w:bCs/>
      <w:kern w:val="28"/>
      <w:sz w:val="32"/>
      <w:szCs w:val="32"/>
    </w:rPr>
  </w:style>
  <w:style w:type="paragraph" w:customStyle="1" w:styleId="12">
    <w:name w:val="ללא מרווח1"/>
    <w:basedOn w:val="a"/>
    <w:rsid w:val="00E765DB"/>
    <w:pPr>
      <w:spacing w:after="0" w:line="240" w:lineRule="auto"/>
    </w:pPr>
    <w:rPr>
      <w:rFonts w:eastAsia="Calibri" w:cs="Times New Roman"/>
      <w:sz w:val="24"/>
      <w:szCs w:val="32"/>
    </w:rPr>
  </w:style>
  <w:style w:type="character" w:customStyle="1" w:styleId="13">
    <w:name w:val="הדגשה חזקה1"/>
    <w:basedOn w:val="a0"/>
    <w:rsid w:val="00E765DB"/>
    <w:rPr>
      <w:rFonts w:cs="Times New Roman"/>
      <w:b/>
      <w:i/>
      <w:sz w:val="24"/>
      <w:szCs w:val="24"/>
      <w:u w:val="single"/>
    </w:rPr>
  </w:style>
  <w:style w:type="character" w:customStyle="1" w:styleId="14">
    <w:name w:val="הפניה מעודנת1"/>
    <w:basedOn w:val="a0"/>
    <w:rsid w:val="00E765DB"/>
    <w:rPr>
      <w:rFonts w:cs="Times New Roman"/>
      <w:sz w:val="24"/>
      <w:szCs w:val="24"/>
      <w:u w:val="single"/>
    </w:rPr>
  </w:style>
  <w:style w:type="character" w:customStyle="1" w:styleId="15">
    <w:name w:val="כותר הספר1"/>
    <w:basedOn w:val="a0"/>
    <w:rsid w:val="00E765DB"/>
    <w:rPr>
      <w:rFonts w:ascii="Cambria" w:hAnsi="Cambria" w:cs="Times New Roman"/>
      <w:b/>
      <w:i/>
      <w:sz w:val="24"/>
      <w:szCs w:val="24"/>
    </w:rPr>
  </w:style>
  <w:style w:type="character" w:customStyle="1" w:styleId="21">
    <w:name w:val="תו תו2"/>
    <w:basedOn w:val="a0"/>
    <w:rsid w:val="00E765DB"/>
    <w:rPr>
      <w:rFonts w:cs="Times New Roman"/>
      <w:b/>
      <w:bCs/>
      <w:i/>
      <w:iCs/>
      <w:sz w:val="26"/>
      <w:szCs w:val="26"/>
      <w:lang w:val="en-US" w:eastAsia="en-US" w:bidi="he-IL"/>
    </w:rPr>
  </w:style>
  <w:style w:type="character" w:customStyle="1" w:styleId="16">
    <w:name w:val="טקסט מציין מיקום1"/>
    <w:basedOn w:val="a0"/>
    <w:semiHidden/>
    <w:rsid w:val="00E765DB"/>
    <w:rPr>
      <w:rFonts w:cs="Times New Roman"/>
      <w:color w:val="808080"/>
    </w:rPr>
  </w:style>
  <w:style w:type="paragraph" w:styleId="af1">
    <w:name w:val="Subtitle"/>
    <w:basedOn w:val="a"/>
    <w:next w:val="a"/>
    <w:link w:val="af2"/>
    <w:qFormat/>
    <w:rsid w:val="00E765DB"/>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E765DB"/>
    <w:rPr>
      <w:rFonts w:ascii="Cambria" w:eastAsia="Calibri" w:hAnsi="Cambria" w:cs="Times New Roman"/>
    </w:rPr>
  </w:style>
  <w:style w:type="character" w:styleId="af3">
    <w:name w:val="Strong"/>
    <w:basedOn w:val="a0"/>
    <w:qFormat/>
    <w:rsid w:val="00E765DB"/>
    <w:rPr>
      <w:rFonts w:cs="Times New Roman"/>
      <w:b/>
      <w:bCs/>
    </w:rPr>
  </w:style>
  <w:style w:type="character" w:styleId="af4">
    <w:name w:val="Emphasis"/>
    <w:basedOn w:val="a0"/>
    <w:qFormat/>
    <w:rsid w:val="00E765DB"/>
    <w:rPr>
      <w:rFonts w:ascii="Calibri" w:hAnsi="Calibri" w:cs="Times New Roman"/>
      <w:b/>
      <w:i/>
      <w:iCs/>
    </w:rPr>
  </w:style>
  <w:style w:type="paragraph" w:customStyle="1" w:styleId="17">
    <w:name w:val="הצעת מחיר1"/>
    <w:basedOn w:val="a"/>
    <w:next w:val="a"/>
    <w:link w:val="QuoteChar"/>
    <w:rsid w:val="00E765DB"/>
    <w:pPr>
      <w:bidi w:val="0"/>
      <w:spacing w:after="0" w:line="240" w:lineRule="auto"/>
    </w:pPr>
    <w:rPr>
      <w:rFonts w:eastAsia="Calibri" w:cs="Times New Roman"/>
      <w:i/>
      <w:sz w:val="24"/>
      <w:szCs w:val="24"/>
    </w:rPr>
  </w:style>
  <w:style w:type="character" w:customStyle="1" w:styleId="QuoteChar">
    <w:name w:val="Quote Char"/>
    <w:basedOn w:val="a0"/>
    <w:link w:val="17"/>
    <w:locked/>
    <w:rsid w:val="00E765DB"/>
    <w:rPr>
      <w:rFonts w:ascii="Calibri" w:eastAsia="Calibri" w:hAnsi="Calibri" w:cs="Times New Roman"/>
      <w:i/>
    </w:rPr>
  </w:style>
  <w:style w:type="paragraph" w:customStyle="1" w:styleId="18">
    <w:name w:val="הצעת מחיר חזקה1"/>
    <w:basedOn w:val="a"/>
    <w:next w:val="a"/>
    <w:link w:val="IntenseQuoteChar"/>
    <w:rsid w:val="00E765DB"/>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E765DB"/>
    <w:rPr>
      <w:rFonts w:ascii="Calibri" w:eastAsia="Calibri" w:hAnsi="Calibri" w:cs="Times New Roman"/>
      <w:b/>
      <w:i/>
      <w:szCs w:val="22"/>
    </w:rPr>
  </w:style>
  <w:style w:type="character" w:customStyle="1" w:styleId="19">
    <w:name w:val="הדגשה מעודנת1"/>
    <w:rsid w:val="00E765DB"/>
    <w:rPr>
      <w:i/>
      <w:color w:val="5A5A5A"/>
    </w:rPr>
  </w:style>
  <w:style w:type="character" w:customStyle="1" w:styleId="1a">
    <w:name w:val="הפניה חזקה1"/>
    <w:basedOn w:val="a0"/>
    <w:rsid w:val="00E765DB"/>
    <w:rPr>
      <w:rFonts w:cs="Times New Roman"/>
      <w:b/>
      <w:sz w:val="24"/>
      <w:u w:val="single"/>
    </w:rPr>
  </w:style>
  <w:style w:type="paragraph" w:customStyle="1" w:styleId="1b">
    <w:name w:val="כותרת תוכן עניינים1"/>
    <w:basedOn w:val="1"/>
    <w:next w:val="a"/>
    <w:semiHidden/>
    <w:rsid w:val="00E765DB"/>
    <w:pPr>
      <w:bidi w:val="0"/>
      <w:outlineLvl w:val="9"/>
    </w:pPr>
  </w:style>
  <w:style w:type="table" w:styleId="af5">
    <w:name w:val="Table Grid"/>
    <w:basedOn w:val="a1"/>
    <w:rsid w:val="00E765DB"/>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847A12"/>
    <w:pPr>
      <w:spacing w:after="0" w:line="240" w:lineRule="auto"/>
      <w:ind w:left="720"/>
      <w:contextualSpacing/>
    </w:pPr>
    <w:rPr>
      <w:rFonts w:ascii="Times New Roman" w:hAnsi="Times New Roman" w:cs="Times New Roman"/>
      <w:sz w:val="24"/>
      <w:szCs w:val="24"/>
    </w:rPr>
  </w:style>
  <w:style w:type="paragraph" w:customStyle="1" w:styleId="-">
    <w:name w:val="כותרת מאמר-נטוי"/>
    <w:basedOn w:val="a"/>
    <w:uiPriority w:val="99"/>
    <w:rsid w:val="00171823"/>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7">
    <w:name w:val="כותרת מאמר"/>
    <w:basedOn w:val="a"/>
    <w:uiPriority w:val="99"/>
    <w:rsid w:val="00171823"/>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Header">
    <w:name w:val="Header"/>
    <w:basedOn w:val="a"/>
    <w:uiPriority w:val="99"/>
    <w:rsid w:val="00171823"/>
    <w:pPr>
      <w:tabs>
        <w:tab w:val="center" w:pos="4153"/>
        <w:tab w:val="right" w:pos="8306"/>
      </w:tabs>
      <w:autoSpaceDE w:val="0"/>
      <w:autoSpaceDN w:val="0"/>
      <w:adjustRightInd w:val="0"/>
      <w:spacing w:line="288" w:lineRule="auto"/>
      <w:textAlignment w:val="center"/>
    </w:pPr>
    <w:rPr>
      <w:rFonts w:eastAsiaTheme="minorHAnsi" w:cs="Calibri"/>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1197</Words>
  <Characters>5990</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2010-10-14T07:55:00Z</cp:lastPrinted>
  <dcterms:created xsi:type="dcterms:W3CDTF">2010-12-12T11:34:00Z</dcterms:created>
  <dcterms:modified xsi:type="dcterms:W3CDTF">2010-12-12T11:34:00Z</dcterms:modified>
</cp:coreProperties>
</file>