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20A" w:rsidRPr="0099620A" w:rsidRDefault="0099620A" w:rsidP="0099620A">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99620A">
        <w:rPr>
          <w:rFonts w:ascii="David" w:eastAsiaTheme="minorHAnsi" w:hAnsiTheme="minorHAnsi" w:cs="David" w:hint="cs"/>
          <w:b/>
          <w:bCs/>
          <w:color w:val="000000"/>
          <w:sz w:val="32"/>
          <w:szCs w:val="32"/>
          <w:rtl/>
        </w:rPr>
        <w:t xml:space="preserve">מערך משרתי הקבע במימון גופים אזרחיים </w:t>
      </w:r>
      <w:r w:rsidRPr="0099620A">
        <w:rPr>
          <w:rFonts w:ascii="David" w:eastAsiaTheme="minorHAnsi" w:hAnsiTheme="minorHAnsi" w:cs="David"/>
          <w:b/>
          <w:bCs/>
          <w:color w:val="000000"/>
          <w:sz w:val="32"/>
          <w:szCs w:val="32"/>
          <w:rtl/>
        </w:rPr>
        <w:br/>
      </w:r>
      <w:r w:rsidRPr="0099620A">
        <w:rPr>
          <w:rFonts w:ascii="David" w:eastAsiaTheme="minorHAnsi" w:hAnsiTheme="minorHAnsi" w:cs="David" w:hint="cs"/>
          <w:b/>
          <w:bCs/>
          <w:color w:val="000000"/>
          <w:sz w:val="32"/>
          <w:szCs w:val="32"/>
          <w:rtl/>
        </w:rPr>
        <w:t>(תקני קבע ייחודיים)</w:t>
      </w:r>
    </w:p>
    <w:p w:rsidR="0099620A" w:rsidRPr="0099620A" w:rsidRDefault="0099620A" w:rsidP="0099620A">
      <w:pPr>
        <w:tabs>
          <w:tab w:val="left" w:pos="3206"/>
          <w:tab w:val="center" w:pos="4153"/>
        </w:tabs>
        <w:autoSpaceDE w:val="0"/>
        <w:autoSpaceDN w:val="0"/>
        <w:adjustRightInd w:val="0"/>
        <w:textAlignment w:val="center"/>
        <w:rPr>
          <w:rFonts w:ascii="David" w:eastAsiaTheme="minorHAnsi" w:cs="David"/>
          <w:b/>
          <w:bCs/>
          <w:color w:val="000000"/>
          <w:sz w:val="24"/>
          <w:szCs w:val="24"/>
          <w:rtl/>
        </w:rPr>
      </w:pPr>
      <w:r w:rsidRPr="0099620A">
        <w:rPr>
          <w:rFonts w:ascii="David" w:eastAsiaTheme="minorHAnsi" w:cs="David" w:hint="cs"/>
          <w:b/>
          <w:bCs/>
          <w:color w:val="000000"/>
          <w:sz w:val="24"/>
          <w:szCs w:val="24"/>
          <w:rtl/>
        </w:rPr>
        <w:t>הגופים המבוקרים: משרד הביטחון, צבא ההגנה לישראל, משרד האוצר</w:t>
      </w:r>
    </w:p>
    <w:p w:rsidR="0099620A" w:rsidRPr="0099620A" w:rsidRDefault="0099620A" w:rsidP="0099620A">
      <w:pPr>
        <w:tabs>
          <w:tab w:val="left" w:pos="3206"/>
          <w:tab w:val="center" w:pos="4153"/>
        </w:tabs>
        <w:autoSpaceDE w:val="0"/>
        <w:autoSpaceDN w:val="0"/>
        <w:adjustRightInd w:val="0"/>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ליקויים 5,7 תוקנו. ראה הערות רה"מ </w:t>
      </w:r>
      <w:proofErr w:type="spellStart"/>
      <w:r w:rsidRPr="0099620A">
        <w:rPr>
          <w:rFonts w:ascii="David" w:eastAsiaTheme="minorHAnsi" w:cs="David" w:hint="cs"/>
          <w:color w:val="000000"/>
          <w:sz w:val="24"/>
          <w:szCs w:val="24"/>
          <w:rtl/>
        </w:rPr>
        <w:t>60א</w:t>
      </w:r>
      <w:proofErr w:type="spellEnd"/>
      <w:r w:rsidRPr="0099620A">
        <w:rPr>
          <w:rFonts w:ascii="David" w:eastAsiaTheme="minorHAnsi" w:cs="David" w:hint="cs"/>
          <w:color w:val="000000"/>
          <w:sz w:val="24"/>
          <w:szCs w:val="24"/>
          <w:rtl/>
        </w:rPr>
        <w:t xml:space="preserve">' </w:t>
      </w:r>
      <w:proofErr w:type="spellStart"/>
      <w:r w:rsidRPr="0099620A">
        <w:rPr>
          <w:rFonts w:ascii="David" w:eastAsiaTheme="minorHAnsi" w:cs="David" w:hint="cs"/>
          <w:color w:val="000000"/>
          <w:sz w:val="24"/>
          <w:szCs w:val="24"/>
          <w:rtl/>
        </w:rPr>
        <w:t>עמ</w:t>
      </w:r>
      <w:proofErr w:type="spellEnd"/>
      <w:r w:rsidRPr="0099620A">
        <w:rPr>
          <w:rFonts w:ascii="David" w:eastAsiaTheme="minorHAnsi" w:cs="David" w:hint="cs"/>
          <w:color w:val="000000"/>
          <w:sz w:val="24"/>
          <w:szCs w:val="24"/>
          <w:rtl/>
        </w:rPr>
        <w:t>' 31-32.</w:t>
      </w:r>
    </w:p>
    <w:p w:rsidR="0099620A" w:rsidRPr="0099620A" w:rsidRDefault="0099620A" w:rsidP="0099620A">
      <w:pPr>
        <w:autoSpaceDE w:val="0"/>
        <w:autoSpaceDN w:val="0"/>
        <w:adjustRightInd w:val="0"/>
        <w:spacing w:line="288" w:lineRule="auto"/>
        <w:ind w:left="12"/>
        <w:jc w:val="both"/>
        <w:textAlignment w:val="center"/>
        <w:rPr>
          <w:rFonts w:ascii="David" w:eastAsiaTheme="minorHAnsi" w:cs="David"/>
          <w:b/>
          <w:bCs/>
          <w:color w:val="000000"/>
          <w:szCs w:val="24"/>
          <w:rtl/>
        </w:rPr>
      </w:pPr>
      <w:r w:rsidRPr="0099620A">
        <w:rPr>
          <w:rFonts w:ascii="David" w:eastAsiaTheme="minorHAnsi" w:cs="David" w:hint="cs"/>
          <w:b/>
          <w:bCs/>
          <w:color w:val="000000"/>
          <w:szCs w:val="24"/>
          <w:rtl/>
        </w:rPr>
        <w:t>ליקוי</w:t>
      </w:r>
    </w:p>
    <w:p w:rsidR="0099620A" w:rsidRPr="0099620A" w:rsidRDefault="0099620A" w:rsidP="0099620A">
      <w:pPr>
        <w:suppressAutoHyphens/>
        <w:autoSpaceDE w:val="0"/>
        <w:autoSpaceDN w:val="0"/>
        <w:adjustRightInd w:val="0"/>
        <w:spacing w:line="288" w:lineRule="auto"/>
        <w:ind w:left="720" w:hanging="720"/>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1. </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 xml:space="preserve">צה"ל לא קבע נהלים המפרטים את הכללים בנוגע לאישור הצורך </w:t>
      </w:r>
      <w:proofErr w:type="spellStart"/>
      <w:r w:rsidRPr="0099620A">
        <w:rPr>
          <w:rFonts w:ascii="David" w:eastAsiaTheme="minorHAnsi" w:cs="David" w:hint="cs"/>
          <w:color w:val="000000"/>
          <w:sz w:val="24"/>
          <w:szCs w:val="24"/>
          <w:rtl/>
        </w:rPr>
        <w:t>בתק"י</w:t>
      </w:r>
      <w:proofErr w:type="spellEnd"/>
      <w:r w:rsidRPr="0099620A">
        <w:rPr>
          <w:rFonts w:ascii="David" w:eastAsiaTheme="minorHAnsi" w:cs="David" w:hint="cs"/>
          <w:color w:val="000000"/>
          <w:sz w:val="24"/>
          <w:szCs w:val="24"/>
          <w:rtl/>
        </w:rPr>
        <w:t xml:space="preserve"> (תקני קבע ייחודיים). מצב זה מאפשר אישור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שלא לצורך, תוך דלדול מאגר שיאי כוח אדם העומד לרשות צה"ל, או לחלופין, יש בו כדי להביא לדחייה לא מוצדקת של בקשות גופי צה"ל וגופים חיצוניים לאישור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תוך פגיעה בפעילותם ובבקרה של </w:t>
      </w:r>
      <w:proofErr w:type="spellStart"/>
      <w:r w:rsidRPr="0099620A">
        <w:rPr>
          <w:rFonts w:ascii="David" w:eastAsiaTheme="minorHAnsi" w:cs="David" w:hint="cs"/>
          <w:color w:val="000000"/>
          <w:sz w:val="24"/>
          <w:szCs w:val="24"/>
          <w:rtl/>
        </w:rPr>
        <w:t>אג"ת</w:t>
      </w:r>
      <w:proofErr w:type="spellEnd"/>
      <w:r w:rsidRPr="0099620A">
        <w:rPr>
          <w:rFonts w:ascii="David" w:eastAsiaTheme="minorHAnsi" w:cs="David" w:hint="cs"/>
          <w:color w:val="000000"/>
          <w:sz w:val="24"/>
          <w:szCs w:val="24"/>
          <w:rtl/>
        </w:rPr>
        <w:t xml:space="preserve"> על תהליך אישורם. חלק </w:t>
      </w:r>
      <w:proofErr w:type="spellStart"/>
      <w:r w:rsidRPr="0099620A">
        <w:rPr>
          <w:rFonts w:ascii="David" w:eastAsiaTheme="minorHAnsi" w:cs="David" w:hint="cs"/>
          <w:color w:val="000000"/>
          <w:sz w:val="24"/>
          <w:szCs w:val="24"/>
          <w:rtl/>
        </w:rPr>
        <w:t>מהתק"י</w:t>
      </w:r>
      <w:proofErr w:type="spellEnd"/>
      <w:r w:rsidRPr="0099620A">
        <w:rPr>
          <w:rFonts w:ascii="David" w:eastAsiaTheme="minorHAnsi" w:cs="David" w:hint="cs"/>
          <w:color w:val="000000"/>
          <w:sz w:val="24"/>
          <w:szCs w:val="24"/>
          <w:rtl/>
        </w:rPr>
        <w:t xml:space="preserve"> ממלאים תפקידים בעלי מאפיינים אזרחיים מובהקים, כגון תפקידים במערך הכספי, בתחום </w:t>
      </w:r>
      <w:proofErr w:type="spellStart"/>
      <w:r w:rsidRPr="0099620A">
        <w:rPr>
          <w:rFonts w:ascii="David" w:eastAsiaTheme="minorHAnsi" w:cs="David" w:hint="cs"/>
          <w:color w:val="000000"/>
          <w:sz w:val="24"/>
          <w:szCs w:val="24"/>
          <w:rtl/>
        </w:rPr>
        <w:t>המינהלי</w:t>
      </w:r>
      <w:proofErr w:type="spellEnd"/>
      <w:r w:rsidRPr="0099620A">
        <w:rPr>
          <w:rFonts w:ascii="David" w:eastAsiaTheme="minorHAnsi" w:cs="David" w:hint="cs"/>
          <w:color w:val="000000"/>
          <w:sz w:val="24"/>
          <w:szCs w:val="24"/>
          <w:rtl/>
        </w:rPr>
        <w:t xml:space="preserve"> ובתפקידי מטה. לא נמצא כי </w:t>
      </w:r>
      <w:proofErr w:type="spellStart"/>
      <w:r w:rsidRPr="0099620A">
        <w:rPr>
          <w:rFonts w:ascii="David" w:eastAsiaTheme="minorHAnsi" w:cs="David" w:hint="cs"/>
          <w:color w:val="000000"/>
          <w:sz w:val="24"/>
          <w:szCs w:val="24"/>
          <w:rtl/>
        </w:rPr>
        <w:t>אג"ת</w:t>
      </w:r>
      <w:proofErr w:type="spellEnd"/>
      <w:r w:rsidRPr="0099620A">
        <w:rPr>
          <w:rFonts w:ascii="David" w:eastAsiaTheme="minorHAnsi" w:cs="David" w:hint="cs"/>
          <w:color w:val="000000"/>
          <w:sz w:val="24"/>
          <w:szCs w:val="24"/>
          <w:rtl/>
        </w:rPr>
        <w:t xml:space="preserve"> בחן את החלופה של איוש תפקידים על ידי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אל מול החלופה לאיושם על ידי אזרחים. </w:t>
      </w:r>
    </w:p>
    <w:p w:rsidR="0099620A" w:rsidRPr="0099620A" w:rsidRDefault="0099620A" w:rsidP="0099620A">
      <w:pPr>
        <w:autoSpaceDE w:val="0"/>
        <w:autoSpaceDN w:val="0"/>
        <w:adjustRightInd w:val="0"/>
        <w:spacing w:line="288" w:lineRule="auto"/>
        <w:ind w:left="1134" w:hanging="1134"/>
        <w:jc w:val="both"/>
        <w:textAlignment w:val="center"/>
        <w:rPr>
          <w:rFonts w:ascii="David" w:eastAsiaTheme="minorHAnsi" w:cs="David"/>
          <w:b/>
          <w:bCs/>
          <w:color w:val="000000"/>
          <w:szCs w:val="24"/>
          <w:rtl/>
        </w:rPr>
      </w:pPr>
      <w:r w:rsidRPr="0099620A">
        <w:rPr>
          <w:rFonts w:ascii="David" w:eastAsiaTheme="minorHAnsi" w:cs="David" w:hint="cs"/>
          <w:b/>
          <w:bCs/>
          <w:color w:val="000000"/>
          <w:szCs w:val="24"/>
          <w:rtl/>
        </w:rPr>
        <w:t>ליקוי</w:t>
      </w:r>
    </w:p>
    <w:p w:rsidR="0099620A" w:rsidRPr="0099620A" w:rsidRDefault="0099620A" w:rsidP="0099620A">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2. </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 xml:space="preserve">צה"ל אינו מקבל שיאי כוח אדם תמורת אלה שהקצה </w:t>
      </w:r>
      <w:proofErr w:type="spellStart"/>
      <w:r w:rsidRPr="0099620A">
        <w:rPr>
          <w:rFonts w:ascii="David" w:eastAsiaTheme="minorHAnsi" w:cs="David" w:hint="cs"/>
          <w:color w:val="000000"/>
          <w:sz w:val="24"/>
          <w:szCs w:val="24"/>
          <w:rtl/>
        </w:rPr>
        <w:t>כתק"י</w:t>
      </w:r>
      <w:proofErr w:type="spellEnd"/>
      <w:r w:rsidRPr="0099620A">
        <w:rPr>
          <w:rFonts w:ascii="David" w:eastAsiaTheme="minorHAnsi" w:cs="David" w:hint="cs"/>
          <w:color w:val="000000"/>
          <w:sz w:val="24"/>
          <w:szCs w:val="24"/>
          <w:rtl/>
        </w:rPr>
        <w:t xml:space="preserve"> לגופים חיצוניים. זאת, גם כאשר מדובר </w:t>
      </w:r>
      <w:proofErr w:type="spellStart"/>
      <w:r w:rsidRPr="0099620A">
        <w:rPr>
          <w:rFonts w:ascii="David" w:eastAsiaTheme="minorHAnsi" w:cs="David" w:hint="cs"/>
          <w:color w:val="000000"/>
          <w:sz w:val="24"/>
          <w:szCs w:val="24"/>
          <w:rtl/>
        </w:rPr>
        <w:t>בתק"י</w:t>
      </w:r>
      <w:proofErr w:type="spellEnd"/>
      <w:r w:rsidRPr="0099620A">
        <w:rPr>
          <w:rFonts w:ascii="David" w:eastAsiaTheme="minorHAnsi" w:cs="David" w:hint="cs"/>
          <w:color w:val="000000"/>
          <w:sz w:val="24"/>
          <w:szCs w:val="24"/>
          <w:rtl/>
        </w:rPr>
        <w:t xml:space="preserve"> שמפעילים גופים חיצוניים המתוקצבים בתקציב המדינה, דוגמת משרדי ממשלה. משרד האוצר ונציבות שירות המדינה לא קבעו מדיניות ולא פרסמו כללים בנושא, ובכלל זה את האפשרויות: להקפיא שיאי כוח אדם בגופים המתוקצבים כנגד קבלת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כך שלא ניתן יהיה לעשות בהם שימוש; לאייש שיאים של גופים אלה </w:t>
      </w:r>
      <w:proofErr w:type="spellStart"/>
      <w:r w:rsidRPr="0099620A">
        <w:rPr>
          <w:rFonts w:ascii="David" w:eastAsiaTheme="minorHAnsi" w:cs="David" w:hint="cs"/>
          <w:color w:val="000000"/>
          <w:sz w:val="24"/>
          <w:szCs w:val="24"/>
          <w:rtl/>
        </w:rPr>
        <w:t>בתק"י</w:t>
      </w:r>
      <w:proofErr w:type="spellEnd"/>
      <w:r w:rsidRPr="0099620A">
        <w:rPr>
          <w:rFonts w:ascii="David" w:eastAsiaTheme="minorHAnsi" w:cs="David" w:hint="cs"/>
          <w:color w:val="000000"/>
          <w:sz w:val="24"/>
          <w:szCs w:val="24"/>
          <w:rtl/>
        </w:rPr>
        <w:t xml:space="preserve">; להפעיל בהם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מעבר לשיאים העומדים לרשותם; או להעביר מהגופים המתוקצבים לצה"ל את שיאי כוח האדם בגין </w:t>
      </w:r>
      <w:proofErr w:type="spellStart"/>
      <w:r w:rsidRPr="0099620A">
        <w:rPr>
          <w:rFonts w:ascii="David" w:eastAsiaTheme="minorHAnsi" w:cs="David" w:hint="cs"/>
          <w:color w:val="000000"/>
          <w:sz w:val="24"/>
          <w:szCs w:val="24"/>
          <w:rtl/>
        </w:rPr>
        <w:t>התק"י</w:t>
      </w:r>
      <w:proofErr w:type="spellEnd"/>
      <w:r w:rsidRPr="0099620A">
        <w:rPr>
          <w:rFonts w:ascii="David" w:eastAsiaTheme="minorHAnsi" w:cs="David" w:hint="cs"/>
          <w:color w:val="000000"/>
          <w:sz w:val="24"/>
          <w:szCs w:val="24"/>
          <w:rtl/>
        </w:rPr>
        <w:t xml:space="preserve"> שקיבלו. בהיעדר כללים בנושא, יש גופים חיצוניים שמקפיאים שיאים כנגד קבלת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ויש כאלה שאינם עושים כך.</w:t>
      </w:r>
    </w:p>
    <w:p w:rsidR="0099620A" w:rsidRPr="0099620A" w:rsidRDefault="0099620A" w:rsidP="0099620A">
      <w:pPr>
        <w:autoSpaceDE w:val="0"/>
        <w:autoSpaceDN w:val="0"/>
        <w:adjustRightInd w:val="0"/>
        <w:spacing w:line="288" w:lineRule="auto"/>
        <w:ind w:left="1134" w:hanging="1134"/>
        <w:jc w:val="both"/>
        <w:textAlignment w:val="center"/>
        <w:rPr>
          <w:rFonts w:ascii="David" w:eastAsiaTheme="minorHAnsi" w:cs="David"/>
          <w:b/>
          <w:bCs/>
          <w:color w:val="000000"/>
          <w:szCs w:val="24"/>
          <w:rtl/>
        </w:rPr>
      </w:pPr>
      <w:r w:rsidRPr="0099620A">
        <w:rPr>
          <w:rFonts w:ascii="David" w:eastAsiaTheme="minorHAnsi" w:cs="David" w:hint="cs"/>
          <w:b/>
          <w:bCs/>
          <w:color w:val="000000"/>
          <w:szCs w:val="24"/>
          <w:rtl/>
        </w:rPr>
        <w:t>ליקוי</w:t>
      </w:r>
    </w:p>
    <w:p w:rsidR="0099620A" w:rsidRPr="0099620A" w:rsidRDefault="0099620A" w:rsidP="0099620A">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3. </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 xml:space="preserve">שיא כוח אדם קבע מובהק בצה"ל נקבע בהתאם לסיכום בין אגף התקציבים במשרד האוצר לבין </w:t>
      </w:r>
      <w:proofErr w:type="spellStart"/>
      <w:r w:rsidRPr="0099620A">
        <w:rPr>
          <w:rFonts w:ascii="David" w:eastAsiaTheme="minorHAnsi" w:cs="David" w:hint="cs"/>
          <w:color w:val="000000"/>
          <w:sz w:val="24"/>
          <w:szCs w:val="24"/>
          <w:rtl/>
        </w:rPr>
        <w:t>את"ק</w:t>
      </w:r>
      <w:proofErr w:type="spellEnd"/>
      <w:r w:rsidRPr="0099620A">
        <w:rPr>
          <w:rFonts w:ascii="David" w:eastAsiaTheme="minorHAnsi" w:cs="David" w:hint="cs"/>
          <w:color w:val="000000"/>
          <w:sz w:val="24"/>
          <w:szCs w:val="24"/>
          <w:rtl/>
        </w:rPr>
        <w:t xml:space="preserve"> מאוקטובר 2003, ומנוהל על ידי </w:t>
      </w:r>
      <w:proofErr w:type="spellStart"/>
      <w:r w:rsidRPr="0099620A">
        <w:rPr>
          <w:rFonts w:ascii="David" w:eastAsiaTheme="minorHAnsi" w:cs="David" w:hint="cs"/>
          <w:color w:val="000000"/>
          <w:sz w:val="24"/>
          <w:szCs w:val="24"/>
          <w:rtl/>
        </w:rPr>
        <w:t>אג"ת</w:t>
      </w:r>
      <w:proofErr w:type="spellEnd"/>
      <w:r w:rsidRPr="0099620A">
        <w:rPr>
          <w:rFonts w:ascii="David" w:eastAsiaTheme="minorHAnsi" w:cs="David" w:hint="cs"/>
          <w:color w:val="000000"/>
          <w:sz w:val="24"/>
          <w:szCs w:val="24"/>
          <w:rtl/>
        </w:rPr>
        <w:t xml:space="preserve">. משך שנים מחלקות התכנון והארגון </w:t>
      </w:r>
      <w:proofErr w:type="spellStart"/>
      <w:r w:rsidRPr="0099620A">
        <w:rPr>
          <w:rFonts w:ascii="David" w:eastAsiaTheme="minorHAnsi" w:cs="David" w:hint="cs"/>
          <w:color w:val="000000"/>
          <w:sz w:val="24"/>
          <w:szCs w:val="24"/>
          <w:rtl/>
        </w:rPr>
        <w:t>באג"ת</w:t>
      </w:r>
      <w:proofErr w:type="spellEnd"/>
      <w:r w:rsidRPr="0099620A">
        <w:rPr>
          <w:rFonts w:ascii="David" w:eastAsiaTheme="minorHAnsi" w:cs="David" w:hint="cs"/>
          <w:color w:val="000000"/>
          <w:sz w:val="24"/>
          <w:szCs w:val="24"/>
          <w:rtl/>
        </w:rPr>
        <w:t xml:space="preserve">, העוסקות בתכנון ובהקצאת כוח האדם בצה"ל, לרבות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לא היו מודעות למסגרות שיאי כוח אדם קבע מובהק שעמדו לרשות צה"ל על פי הסיכום האמור. בפועל, העמיד </w:t>
      </w:r>
      <w:proofErr w:type="spellStart"/>
      <w:r w:rsidRPr="0099620A">
        <w:rPr>
          <w:rFonts w:ascii="David" w:eastAsiaTheme="minorHAnsi" w:cs="David" w:hint="cs"/>
          <w:color w:val="000000"/>
          <w:sz w:val="24"/>
          <w:szCs w:val="24"/>
          <w:rtl/>
        </w:rPr>
        <w:t>את"ק</w:t>
      </w:r>
      <w:proofErr w:type="spellEnd"/>
      <w:r w:rsidRPr="0099620A">
        <w:rPr>
          <w:rFonts w:ascii="David" w:eastAsiaTheme="minorHAnsi" w:cs="David" w:hint="cs"/>
          <w:color w:val="000000"/>
          <w:sz w:val="24"/>
          <w:szCs w:val="24"/>
          <w:rtl/>
        </w:rPr>
        <w:t xml:space="preserve"> </w:t>
      </w:r>
      <w:proofErr w:type="spellStart"/>
      <w:r w:rsidRPr="0099620A">
        <w:rPr>
          <w:rFonts w:ascii="David" w:eastAsiaTheme="minorHAnsi" w:cs="David" w:hint="cs"/>
          <w:color w:val="000000"/>
          <w:sz w:val="24"/>
          <w:szCs w:val="24"/>
          <w:rtl/>
        </w:rPr>
        <w:t>לאג"ת</w:t>
      </w:r>
      <w:proofErr w:type="spellEnd"/>
      <w:r w:rsidRPr="0099620A">
        <w:rPr>
          <w:rFonts w:ascii="David" w:eastAsiaTheme="minorHAnsi" w:cs="David" w:hint="cs"/>
          <w:color w:val="000000"/>
          <w:sz w:val="24"/>
          <w:szCs w:val="24"/>
          <w:rtl/>
        </w:rPr>
        <w:t xml:space="preserve"> מסגרות שיאי כוח האדם קבע מובהק, שהיו נמוכות מהמסגרות שבסיכום. מנתוני </w:t>
      </w:r>
      <w:proofErr w:type="spellStart"/>
      <w:r w:rsidRPr="0099620A">
        <w:rPr>
          <w:rFonts w:ascii="David" w:eastAsiaTheme="minorHAnsi" w:cs="David" w:hint="cs"/>
          <w:color w:val="000000"/>
          <w:sz w:val="24"/>
          <w:szCs w:val="24"/>
          <w:rtl/>
        </w:rPr>
        <w:t>את"ק</w:t>
      </w:r>
      <w:proofErr w:type="spellEnd"/>
      <w:r w:rsidRPr="0099620A">
        <w:rPr>
          <w:rFonts w:ascii="David" w:eastAsiaTheme="minorHAnsi" w:cs="David" w:hint="cs"/>
          <w:color w:val="000000"/>
          <w:sz w:val="24"/>
          <w:szCs w:val="24"/>
          <w:rtl/>
        </w:rPr>
        <w:t xml:space="preserve"> עולה, כי בשנים 2007 ו-2008 הוא הותיר בידיו עתודות של מאות שיאי קבע מובהק ללא ידיעת המחלקות האמורות </w:t>
      </w:r>
      <w:proofErr w:type="spellStart"/>
      <w:r w:rsidRPr="0099620A">
        <w:rPr>
          <w:rFonts w:ascii="David" w:eastAsiaTheme="minorHAnsi" w:cs="David" w:hint="cs"/>
          <w:color w:val="000000"/>
          <w:sz w:val="24"/>
          <w:szCs w:val="24"/>
          <w:rtl/>
        </w:rPr>
        <w:t>באג"ת</w:t>
      </w:r>
      <w:proofErr w:type="spellEnd"/>
      <w:r w:rsidRPr="0099620A">
        <w:rPr>
          <w:rFonts w:ascii="David" w:eastAsiaTheme="minorHAnsi" w:cs="David" w:hint="cs"/>
          <w:color w:val="000000"/>
          <w:sz w:val="24"/>
          <w:szCs w:val="24"/>
          <w:rtl/>
        </w:rPr>
        <w:t xml:space="preserve">. קביעת מסגרת חלקית של שיאי כוח אדם, ללא ידיעת הגורמים הנוגעים </w:t>
      </w:r>
      <w:proofErr w:type="spellStart"/>
      <w:r w:rsidRPr="0099620A">
        <w:rPr>
          <w:rFonts w:ascii="David" w:eastAsiaTheme="minorHAnsi" w:cs="David" w:hint="cs"/>
          <w:color w:val="000000"/>
          <w:sz w:val="24"/>
          <w:szCs w:val="24"/>
          <w:rtl/>
        </w:rPr>
        <w:t>באג"ת</w:t>
      </w:r>
      <w:proofErr w:type="spellEnd"/>
      <w:r w:rsidRPr="0099620A">
        <w:rPr>
          <w:rFonts w:ascii="David" w:eastAsiaTheme="minorHAnsi" w:cs="David" w:hint="cs"/>
          <w:color w:val="000000"/>
          <w:sz w:val="24"/>
          <w:szCs w:val="24"/>
          <w:rtl/>
        </w:rPr>
        <w:t xml:space="preserve">, העוסקים בתכנון ובהקצאת כוח אדם, יש בה כדי להשפיע על שיקוליהם בשגרה, בבואם להחליט על אישור או על דחייה של בקשות גופי צה"ל להקצאת תקנים, לרבות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וזאת נוכח יתרת כוח האדם המצומצמת שבידיהם. </w:t>
      </w:r>
    </w:p>
    <w:p w:rsidR="0099620A" w:rsidRPr="0099620A" w:rsidRDefault="0099620A" w:rsidP="0099620A">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99620A">
        <w:rPr>
          <w:rFonts w:ascii="David" w:eastAsiaTheme="minorHAnsi" w:cs="David" w:hint="cs"/>
          <w:b/>
          <w:bCs/>
          <w:color w:val="000000"/>
          <w:sz w:val="24"/>
          <w:szCs w:val="24"/>
          <w:rtl/>
        </w:rPr>
        <w:t>מעקב</w:t>
      </w:r>
    </w:p>
    <w:p w:rsidR="0099620A" w:rsidRPr="0099620A" w:rsidRDefault="0099620A" w:rsidP="0099620A">
      <w:pPr>
        <w:autoSpaceDE w:val="0"/>
        <w:autoSpaceDN w:val="0"/>
        <w:adjustRightInd w:val="0"/>
        <w:spacing w:line="288" w:lineRule="auto"/>
        <w:ind w:left="566" w:hanging="566"/>
        <w:jc w:val="both"/>
        <w:textAlignment w:val="center"/>
        <w:rPr>
          <w:rFonts w:ascii="David" w:eastAsiaTheme="minorHAnsi" w:cs="David"/>
          <w:b/>
          <w:bCs/>
          <w:color w:val="000000"/>
          <w:sz w:val="24"/>
          <w:szCs w:val="24"/>
          <w:rtl/>
        </w:rPr>
      </w:pPr>
      <w:r w:rsidRPr="0099620A">
        <w:rPr>
          <w:rFonts w:ascii="David" w:eastAsiaTheme="minorHAnsi" w:cs="David" w:hint="cs"/>
          <w:b/>
          <w:bCs/>
          <w:color w:val="000000"/>
          <w:sz w:val="24"/>
          <w:szCs w:val="24"/>
          <w:rtl/>
        </w:rPr>
        <w:t>צבא ההגנה לישראל</w:t>
      </w:r>
    </w:p>
    <w:p w:rsidR="0099620A" w:rsidRPr="0099620A" w:rsidRDefault="0099620A" w:rsidP="0099620A">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1-3.</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פקודת מטכ"ל 6.0112 העוסקת בתקנים ייחודיים נמצאת בתהליך עדכון. צפי לפרסום הפקודה – סוף שנת 2010.</w:t>
      </w:r>
    </w:p>
    <w:p w:rsidR="0099620A" w:rsidRPr="0099620A" w:rsidRDefault="0099620A" w:rsidP="0099620A">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ראה הערות רה"מ </w:t>
      </w:r>
      <w:proofErr w:type="spellStart"/>
      <w:r w:rsidRPr="0099620A">
        <w:rPr>
          <w:rFonts w:ascii="David" w:eastAsiaTheme="minorHAnsi" w:cs="David" w:hint="cs"/>
          <w:color w:val="000000"/>
          <w:sz w:val="24"/>
          <w:szCs w:val="24"/>
          <w:rtl/>
        </w:rPr>
        <w:t>60א</w:t>
      </w:r>
      <w:proofErr w:type="spellEnd"/>
      <w:r w:rsidRPr="0099620A">
        <w:rPr>
          <w:rFonts w:ascii="David" w:eastAsiaTheme="minorHAnsi" w:cs="David" w:hint="cs"/>
          <w:color w:val="000000"/>
          <w:sz w:val="24"/>
          <w:szCs w:val="24"/>
          <w:rtl/>
        </w:rPr>
        <w:t xml:space="preserve">' </w:t>
      </w:r>
      <w:proofErr w:type="spellStart"/>
      <w:r w:rsidRPr="0099620A">
        <w:rPr>
          <w:rFonts w:ascii="David" w:eastAsiaTheme="minorHAnsi" w:cs="David" w:hint="cs"/>
          <w:color w:val="000000"/>
          <w:sz w:val="24"/>
          <w:szCs w:val="24"/>
          <w:rtl/>
        </w:rPr>
        <w:t>עמ</w:t>
      </w:r>
      <w:proofErr w:type="spellEnd"/>
      <w:r w:rsidRPr="0099620A">
        <w:rPr>
          <w:rFonts w:ascii="David" w:eastAsiaTheme="minorHAnsi" w:cs="David" w:hint="cs"/>
          <w:color w:val="000000"/>
          <w:sz w:val="24"/>
          <w:szCs w:val="24"/>
          <w:rtl/>
        </w:rPr>
        <w:t>' 28-29.</w:t>
      </w:r>
    </w:p>
    <w:p w:rsidR="0099620A" w:rsidRDefault="0099620A" w:rsidP="0099620A">
      <w:pPr>
        <w:autoSpaceDE w:val="0"/>
        <w:autoSpaceDN w:val="0"/>
        <w:adjustRightInd w:val="0"/>
        <w:spacing w:line="288" w:lineRule="auto"/>
        <w:ind w:left="1134" w:hanging="1134"/>
        <w:jc w:val="both"/>
        <w:textAlignment w:val="center"/>
        <w:rPr>
          <w:rFonts w:ascii="David" w:eastAsiaTheme="minorHAnsi" w:cs="David" w:hint="cs"/>
          <w:b/>
          <w:bCs/>
          <w:color w:val="000000"/>
          <w:szCs w:val="24"/>
          <w:rtl/>
        </w:rPr>
      </w:pPr>
    </w:p>
    <w:p w:rsidR="0099620A" w:rsidRPr="0099620A" w:rsidRDefault="0099620A" w:rsidP="0099620A">
      <w:pPr>
        <w:autoSpaceDE w:val="0"/>
        <w:autoSpaceDN w:val="0"/>
        <w:adjustRightInd w:val="0"/>
        <w:spacing w:line="288" w:lineRule="auto"/>
        <w:ind w:left="1134" w:hanging="1134"/>
        <w:jc w:val="both"/>
        <w:textAlignment w:val="center"/>
        <w:rPr>
          <w:rFonts w:ascii="David" w:eastAsiaTheme="minorHAnsi" w:cs="David"/>
          <w:b/>
          <w:bCs/>
          <w:color w:val="000000"/>
          <w:szCs w:val="24"/>
          <w:rtl/>
        </w:rPr>
      </w:pPr>
      <w:r w:rsidRPr="0099620A">
        <w:rPr>
          <w:rFonts w:ascii="David" w:eastAsiaTheme="minorHAnsi" w:cs="David" w:hint="cs"/>
          <w:b/>
          <w:bCs/>
          <w:color w:val="000000"/>
          <w:szCs w:val="24"/>
          <w:rtl/>
        </w:rPr>
        <w:lastRenderedPageBreak/>
        <w:t>ליקוי</w:t>
      </w:r>
    </w:p>
    <w:p w:rsidR="0099620A" w:rsidRPr="0099620A" w:rsidRDefault="0099620A" w:rsidP="0099620A">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4. </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 xml:space="preserve">על אף העיקרון העולה מהוראות </w:t>
      </w:r>
      <w:proofErr w:type="spellStart"/>
      <w:r w:rsidRPr="0099620A">
        <w:rPr>
          <w:rFonts w:ascii="David" w:eastAsiaTheme="minorHAnsi" w:cs="David" w:hint="cs"/>
          <w:color w:val="000000"/>
          <w:sz w:val="24"/>
          <w:szCs w:val="24"/>
          <w:rtl/>
        </w:rPr>
        <w:t>משהב"ט</w:t>
      </w:r>
      <w:proofErr w:type="spellEnd"/>
      <w:r w:rsidRPr="0099620A">
        <w:rPr>
          <w:rFonts w:ascii="David" w:eastAsiaTheme="minorHAnsi" w:cs="David" w:hint="cs"/>
          <w:color w:val="000000"/>
          <w:sz w:val="24"/>
          <w:szCs w:val="24"/>
          <w:rtl/>
        </w:rPr>
        <w:t xml:space="preserve">, ולפיו גוף חיצוני ישלם לצה"ל את מלוא עלות </w:t>
      </w:r>
      <w:proofErr w:type="spellStart"/>
      <w:r w:rsidRPr="0099620A">
        <w:rPr>
          <w:rFonts w:ascii="David" w:eastAsiaTheme="minorHAnsi" w:cs="David" w:hint="cs"/>
          <w:color w:val="000000"/>
          <w:sz w:val="24"/>
          <w:szCs w:val="24"/>
          <w:rtl/>
        </w:rPr>
        <w:t>התק"י</w:t>
      </w:r>
      <w:proofErr w:type="spellEnd"/>
      <w:r w:rsidRPr="0099620A">
        <w:rPr>
          <w:rFonts w:ascii="David" w:eastAsiaTheme="minorHAnsi" w:cs="David" w:hint="cs"/>
          <w:color w:val="000000"/>
          <w:sz w:val="24"/>
          <w:szCs w:val="24"/>
          <w:rtl/>
        </w:rPr>
        <w:t xml:space="preserve">, התעריף להתחשבנות עם גופים חיצוניים שקובע </w:t>
      </w:r>
      <w:proofErr w:type="spellStart"/>
      <w:r w:rsidRPr="0099620A">
        <w:rPr>
          <w:rFonts w:ascii="David" w:eastAsiaTheme="minorHAnsi" w:cs="David" w:hint="cs"/>
          <w:color w:val="000000"/>
          <w:sz w:val="24"/>
          <w:szCs w:val="24"/>
          <w:rtl/>
        </w:rPr>
        <w:t>את"ק</w:t>
      </w:r>
      <w:proofErr w:type="spellEnd"/>
      <w:r w:rsidRPr="0099620A">
        <w:rPr>
          <w:rFonts w:ascii="David" w:eastAsiaTheme="minorHAnsi" w:cs="David" w:hint="cs"/>
          <w:color w:val="000000"/>
          <w:sz w:val="24"/>
          <w:szCs w:val="24"/>
          <w:rtl/>
        </w:rPr>
        <w:t xml:space="preserve"> אינו מגלם את כלל העלויות שחלות על צה"ל. בעת חיוב גופים חיצוניים בגין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השתתפות אגף תקציבים עושה שימוש בתעריפי התחשבנות לא אחידים, שלעתים כוללים מרכיב גמלה ולעתים לא. כמו כן, אין </w:t>
      </w:r>
      <w:proofErr w:type="spellStart"/>
      <w:r w:rsidRPr="0099620A">
        <w:rPr>
          <w:rFonts w:ascii="David" w:eastAsiaTheme="minorHAnsi" w:cs="David" w:hint="cs"/>
          <w:color w:val="000000"/>
          <w:sz w:val="24"/>
          <w:szCs w:val="24"/>
          <w:rtl/>
        </w:rPr>
        <w:t>באת"ק</w:t>
      </w:r>
      <w:proofErr w:type="spellEnd"/>
      <w:r w:rsidRPr="0099620A">
        <w:rPr>
          <w:rFonts w:ascii="David" w:eastAsiaTheme="minorHAnsi" w:cs="David" w:hint="cs"/>
          <w:color w:val="000000"/>
          <w:sz w:val="24"/>
          <w:szCs w:val="24"/>
          <w:rtl/>
        </w:rPr>
        <w:t xml:space="preserve"> נוהלי עבודה בדבר אופן קביעת התעריף להתחשבנות עם הגופים החיצוניים המתוקצבים בתקציב המדינה, המפעילים את </w:t>
      </w:r>
      <w:proofErr w:type="spellStart"/>
      <w:r w:rsidRPr="0099620A">
        <w:rPr>
          <w:rFonts w:ascii="David" w:eastAsiaTheme="minorHAnsi" w:cs="David" w:hint="cs"/>
          <w:color w:val="000000"/>
          <w:sz w:val="24"/>
          <w:szCs w:val="24"/>
          <w:rtl/>
        </w:rPr>
        <w:t>התק"י</w:t>
      </w:r>
      <w:proofErr w:type="spellEnd"/>
      <w:r w:rsidRPr="0099620A">
        <w:rPr>
          <w:rFonts w:ascii="David" w:eastAsiaTheme="minorHAnsi" w:cs="David" w:hint="cs"/>
          <w:color w:val="000000"/>
          <w:sz w:val="24"/>
          <w:szCs w:val="24"/>
          <w:rtl/>
        </w:rPr>
        <w:t xml:space="preserve">. </w:t>
      </w:r>
    </w:p>
    <w:p w:rsidR="0099620A" w:rsidRPr="0099620A" w:rsidRDefault="0099620A" w:rsidP="0099620A">
      <w:pPr>
        <w:autoSpaceDE w:val="0"/>
        <w:autoSpaceDN w:val="0"/>
        <w:adjustRightInd w:val="0"/>
        <w:spacing w:line="288" w:lineRule="auto"/>
        <w:jc w:val="both"/>
        <w:textAlignment w:val="center"/>
        <w:rPr>
          <w:rFonts w:ascii="David" w:eastAsiaTheme="minorHAnsi" w:cs="David"/>
          <w:b/>
          <w:bCs/>
          <w:color w:val="000000"/>
          <w:sz w:val="24"/>
          <w:szCs w:val="24"/>
          <w:rtl/>
        </w:rPr>
      </w:pPr>
      <w:r w:rsidRPr="0099620A">
        <w:rPr>
          <w:rFonts w:ascii="David" w:eastAsiaTheme="minorHAnsi" w:cs="David" w:hint="cs"/>
          <w:b/>
          <w:bCs/>
          <w:color w:val="000000"/>
          <w:sz w:val="24"/>
          <w:szCs w:val="24"/>
          <w:rtl/>
        </w:rPr>
        <w:t>מעקב</w:t>
      </w:r>
    </w:p>
    <w:p w:rsidR="0099620A" w:rsidRPr="0099620A" w:rsidRDefault="0099620A" w:rsidP="0099620A">
      <w:pPr>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4.</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לא דווח על התקדמות בתיקון הליקוי.</w:t>
      </w:r>
    </w:p>
    <w:p w:rsidR="0099620A" w:rsidRPr="0099620A" w:rsidRDefault="0099620A" w:rsidP="0099620A">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ראה הערות רה"מ </w:t>
      </w:r>
      <w:proofErr w:type="spellStart"/>
      <w:r w:rsidRPr="0099620A">
        <w:rPr>
          <w:rFonts w:ascii="David" w:eastAsiaTheme="minorHAnsi" w:cs="David" w:hint="cs"/>
          <w:color w:val="000000"/>
          <w:sz w:val="24"/>
          <w:szCs w:val="24"/>
          <w:rtl/>
        </w:rPr>
        <w:t>60א</w:t>
      </w:r>
      <w:proofErr w:type="spellEnd"/>
      <w:r w:rsidRPr="0099620A">
        <w:rPr>
          <w:rFonts w:ascii="David" w:eastAsiaTheme="minorHAnsi" w:cs="David" w:hint="cs"/>
          <w:color w:val="000000"/>
          <w:sz w:val="24"/>
          <w:szCs w:val="24"/>
          <w:rtl/>
        </w:rPr>
        <w:t xml:space="preserve">' </w:t>
      </w:r>
      <w:proofErr w:type="spellStart"/>
      <w:r w:rsidRPr="0099620A">
        <w:rPr>
          <w:rFonts w:ascii="David" w:eastAsiaTheme="minorHAnsi" w:cs="David" w:hint="cs"/>
          <w:color w:val="000000"/>
          <w:sz w:val="24"/>
          <w:szCs w:val="24"/>
          <w:rtl/>
        </w:rPr>
        <w:t>עמ</w:t>
      </w:r>
      <w:proofErr w:type="spellEnd"/>
      <w:r w:rsidRPr="0099620A">
        <w:rPr>
          <w:rFonts w:ascii="David" w:eastAsiaTheme="minorHAnsi" w:cs="David" w:hint="cs"/>
          <w:color w:val="000000"/>
          <w:sz w:val="24"/>
          <w:szCs w:val="24"/>
          <w:rtl/>
        </w:rPr>
        <w:t>' 30.</w:t>
      </w:r>
    </w:p>
    <w:p w:rsidR="0099620A" w:rsidRPr="0099620A" w:rsidRDefault="0099620A" w:rsidP="0099620A">
      <w:pPr>
        <w:autoSpaceDE w:val="0"/>
        <w:autoSpaceDN w:val="0"/>
        <w:adjustRightInd w:val="0"/>
        <w:spacing w:line="288" w:lineRule="auto"/>
        <w:jc w:val="both"/>
        <w:textAlignment w:val="center"/>
        <w:rPr>
          <w:rFonts w:ascii="David" w:eastAsiaTheme="minorHAnsi" w:cs="David"/>
          <w:b/>
          <w:bCs/>
          <w:color w:val="000000"/>
          <w:szCs w:val="24"/>
          <w:rtl/>
        </w:rPr>
      </w:pPr>
      <w:r w:rsidRPr="0099620A">
        <w:rPr>
          <w:rFonts w:ascii="David" w:eastAsiaTheme="minorHAnsi" w:cs="David" w:hint="cs"/>
          <w:b/>
          <w:bCs/>
          <w:color w:val="000000"/>
          <w:szCs w:val="24"/>
          <w:rtl/>
        </w:rPr>
        <w:t>ליקוי</w:t>
      </w:r>
    </w:p>
    <w:p w:rsidR="0099620A" w:rsidRPr="0099620A" w:rsidRDefault="0099620A" w:rsidP="0099620A">
      <w:pPr>
        <w:suppressAutoHyphens/>
        <w:autoSpaceDE w:val="0"/>
        <w:autoSpaceDN w:val="0"/>
        <w:adjustRightInd w:val="0"/>
        <w:spacing w:line="288" w:lineRule="auto"/>
        <w:ind w:left="720" w:hanging="720"/>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6. </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 xml:space="preserve">חלק </w:t>
      </w:r>
      <w:proofErr w:type="spellStart"/>
      <w:r w:rsidRPr="0099620A">
        <w:rPr>
          <w:rFonts w:ascii="David" w:eastAsiaTheme="minorHAnsi" w:cs="David" w:hint="cs"/>
          <w:color w:val="000000"/>
          <w:sz w:val="24"/>
          <w:szCs w:val="24"/>
          <w:rtl/>
        </w:rPr>
        <w:t>מהתק"י</w:t>
      </w:r>
      <w:proofErr w:type="spellEnd"/>
      <w:r w:rsidRPr="0099620A">
        <w:rPr>
          <w:rFonts w:ascii="David" w:eastAsiaTheme="minorHAnsi" w:cs="David" w:hint="cs"/>
          <w:color w:val="000000"/>
          <w:sz w:val="24"/>
          <w:szCs w:val="24"/>
          <w:rtl/>
        </w:rPr>
        <w:t xml:space="preserve"> עוסקים בפרויקטים של שיתוף פעולה ביטחוני, המתבצעים בתעשיות הביטחוניות. </w:t>
      </w:r>
      <w:proofErr w:type="spellStart"/>
      <w:r w:rsidRPr="0099620A">
        <w:rPr>
          <w:rFonts w:ascii="David" w:eastAsiaTheme="minorHAnsi" w:cs="David" w:hint="cs"/>
          <w:color w:val="000000"/>
          <w:sz w:val="24"/>
          <w:szCs w:val="24"/>
          <w:rtl/>
        </w:rPr>
        <w:t>במפא"ת</w:t>
      </w:r>
      <w:proofErr w:type="spellEnd"/>
      <w:r w:rsidRPr="0099620A">
        <w:rPr>
          <w:rFonts w:ascii="David" w:eastAsiaTheme="minorHAnsi" w:cs="David" w:hint="cs"/>
          <w:color w:val="000000"/>
          <w:sz w:val="24"/>
          <w:szCs w:val="24"/>
          <w:rtl/>
        </w:rPr>
        <w:t xml:space="preserve">, העוסק בייזום ובקידום של פרויקטים אלה, אין נהלים בנושא קביעת גובה תשלום התעשיות למשרד הביטחון בגין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בהתחשב במכלול הנתונים הרלוונטיים, ובכלל זה העלות שמשלם </w:t>
      </w:r>
      <w:proofErr w:type="spellStart"/>
      <w:r w:rsidRPr="0099620A">
        <w:rPr>
          <w:rFonts w:ascii="David" w:eastAsiaTheme="minorHAnsi" w:cs="David" w:hint="cs"/>
          <w:color w:val="000000"/>
          <w:sz w:val="24"/>
          <w:szCs w:val="24"/>
          <w:rtl/>
        </w:rPr>
        <w:t>מפא"ת</w:t>
      </w:r>
      <w:proofErr w:type="spellEnd"/>
      <w:r w:rsidRPr="0099620A">
        <w:rPr>
          <w:rFonts w:ascii="David" w:eastAsiaTheme="minorHAnsi" w:cs="David" w:hint="cs"/>
          <w:color w:val="000000"/>
          <w:sz w:val="24"/>
          <w:szCs w:val="24"/>
          <w:rtl/>
        </w:rPr>
        <w:t xml:space="preserve"> לצה"ל בגינם והתועלת שיש לצה"ל מביצוע הפרויקט.</w:t>
      </w:r>
    </w:p>
    <w:p w:rsidR="0099620A" w:rsidRPr="0099620A" w:rsidRDefault="0099620A" w:rsidP="0099620A">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99620A">
        <w:rPr>
          <w:rFonts w:ascii="David" w:eastAsiaTheme="minorHAnsi" w:cs="David" w:hint="cs"/>
          <w:b/>
          <w:bCs/>
          <w:color w:val="000000"/>
          <w:sz w:val="24"/>
          <w:szCs w:val="24"/>
          <w:rtl/>
        </w:rPr>
        <w:t>מעקב</w:t>
      </w:r>
    </w:p>
    <w:p w:rsidR="0099620A" w:rsidRPr="0099620A" w:rsidRDefault="0099620A" w:rsidP="0099620A">
      <w:pPr>
        <w:autoSpaceDE w:val="0"/>
        <w:autoSpaceDN w:val="0"/>
        <w:adjustRightInd w:val="0"/>
        <w:spacing w:line="288" w:lineRule="auto"/>
        <w:ind w:left="566" w:hanging="566"/>
        <w:jc w:val="both"/>
        <w:textAlignment w:val="center"/>
        <w:rPr>
          <w:rFonts w:ascii="David" w:eastAsiaTheme="minorHAnsi" w:cs="David"/>
          <w:b/>
          <w:bCs/>
          <w:color w:val="000000"/>
          <w:sz w:val="24"/>
          <w:szCs w:val="24"/>
          <w:rtl/>
        </w:rPr>
      </w:pPr>
      <w:r w:rsidRPr="0099620A">
        <w:rPr>
          <w:rFonts w:ascii="David" w:eastAsiaTheme="minorHAnsi" w:cs="David" w:hint="cs"/>
          <w:b/>
          <w:bCs/>
          <w:color w:val="000000"/>
          <w:sz w:val="24"/>
          <w:szCs w:val="24"/>
          <w:rtl/>
        </w:rPr>
        <w:t>משרד הביטחון</w:t>
      </w:r>
    </w:p>
    <w:p w:rsidR="0099620A" w:rsidRPr="0099620A" w:rsidRDefault="0099620A" w:rsidP="0099620A">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6.</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 xml:space="preserve">בהמשך לדוח הביקורת נכתבה </w:t>
      </w:r>
      <w:proofErr w:type="spellStart"/>
      <w:r w:rsidRPr="0099620A">
        <w:rPr>
          <w:rFonts w:ascii="David" w:eastAsiaTheme="minorHAnsi" w:cs="David" w:hint="cs"/>
          <w:color w:val="000000"/>
          <w:sz w:val="24"/>
          <w:szCs w:val="24"/>
          <w:rtl/>
        </w:rPr>
        <w:t>במפא"ת</w:t>
      </w:r>
      <w:proofErr w:type="spellEnd"/>
      <w:r w:rsidRPr="0099620A">
        <w:rPr>
          <w:rFonts w:ascii="David" w:eastAsiaTheme="minorHAnsi" w:cs="David" w:hint="cs"/>
          <w:color w:val="000000"/>
          <w:sz w:val="24"/>
          <w:szCs w:val="24"/>
          <w:rtl/>
        </w:rPr>
        <w:t xml:space="preserve"> במחצית 2010 הוראה פנימית מפורטת על מנת להסדיר את הפעילויות מול כלל הגורמים המעורבים בתהליך לקראת חתימה על חוזה. </w:t>
      </w:r>
      <w:proofErr w:type="spellStart"/>
      <w:r w:rsidRPr="0099620A">
        <w:rPr>
          <w:rFonts w:ascii="David" w:eastAsiaTheme="minorHAnsi" w:cs="David" w:hint="cs"/>
          <w:color w:val="000000"/>
          <w:sz w:val="24"/>
          <w:szCs w:val="24"/>
          <w:rtl/>
        </w:rPr>
        <w:t>מפא"ת</w:t>
      </w:r>
      <w:proofErr w:type="spellEnd"/>
      <w:r w:rsidRPr="0099620A">
        <w:rPr>
          <w:rFonts w:ascii="David" w:eastAsiaTheme="minorHAnsi" w:cs="David" w:hint="cs"/>
          <w:color w:val="000000"/>
          <w:sz w:val="24"/>
          <w:szCs w:val="24"/>
          <w:rtl/>
        </w:rPr>
        <w:t xml:space="preserve"> קובעת כי אין צורך בנוהל כתוב בנושא קביעת גובה תשלום התקורות הניהוליות וזאת משום שעלות השכר עבור כל דרגה לרבות </w:t>
      </w:r>
      <w:proofErr w:type="spellStart"/>
      <w:r w:rsidRPr="0099620A">
        <w:rPr>
          <w:rFonts w:ascii="David" w:eastAsiaTheme="minorHAnsi" w:cs="David" w:hint="cs"/>
          <w:color w:val="000000"/>
          <w:sz w:val="24"/>
          <w:szCs w:val="24"/>
          <w:rtl/>
        </w:rPr>
        <w:t>תק"י</w:t>
      </w:r>
      <w:proofErr w:type="spellEnd"/>
      <w:r w:rsidRPr="0099620A">
        <w:rPr>
          <w:rFonts w:ascii="David" w:eastAsiaTheme="minorHAnsi" w:cs="David" w:hint="cs"/>
          <w:color w:val="000000"/>
          <w:sz w:val="24"/>
          <w:szCs w:val="24"/>
          <w:rtl/>
        </w:rPr>
        <w:t xml:space="preserve"> (תקני קבע ייחודיים) וגמלאות נקבעת על-ידי אגף תקציבים ועל עלות זו </w:t>
      </w:r>
      <w:proofErr w:type="spellStart"/>
      <w:r w:rsidRPr="0099620A">
        <w:rPr>
          <w:rFonts w:ascii="David" w:eastAsiaTheme="minorHAnsi" w:cs="David" w:hint="cs"/>
          <w:color w:val="000000"/>
          <w:sz w:val="24"/>
          <w:szCs w:val="24"/>
          <w:rtl/>
        </w:rPr>
        <w:t>מפא"ת</w:t>
      </w:r>
      <w:proofErr w:type="spellEnd"/>
      <w:r w:rsidRPr="0099620A">
        <w:rPr>
          <w:rFonts w:ascii="David" w:eastAsiaTheme="minorHAnsi" w:cs="David" w:hint="cs"/>
          <w:color w:val="000000"/>
          <w:sz w:val="24"/>
          <w:szCs w:val="24"/>
          <w:rtl/>
        </w:rPr>
        <w:t xml:space="preserve"> מוסיפה תקורה ניהולית של 30% על בסיס ניסיון העבר.</w:t>
      </w:r>
    </w:p>
    <w:p w:rsidR="0099620A" w:rsidRPr="0099620A" w:rsidRDefault="0099620A" w:rsidP="0099620A">
      <w:pPr>
        <w:suppressAutoHyphens/>
        <w:autoSpaceDE w:val="0"/>
        <w:autoSpaceDN w:val="0"/>
        <w:adjustRightInd w:val="0"/>
        <w:spacing w:after="0"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סעיף 3.15.2.2 בהוראת השעה מפנה את המתאם למחלקת </w:t>
      </w:r>
      <w:proofErr w:type="spellStart"/>
      <w:r w:rsidRPr="0099620A">
        <w:rPr>
          <w:rFonts w:ascii="David" w:eastAsiaTheme="minorHAnsi" w:cs="David" w:hint="cs"/>
          <w:color w:val="000000"/>
          <w:sz w:val="24"/>
          <w:szCs w:val="24"/>
          <w:rtl/>
        </w:rPr>
        <w:t>תוכ"ן</w:t>
      </w:r>
      <w:proofErr w:type="spellEnd"/>
      <w:r w:rsidRPr="0099620A">
        <w:rPr>
          <w:rFonts w:ascii="David" w:eastAsiaTheme="minorHAnsi" w:cs="David" w:hint="cs"/>
          <w:color w:val="000000"/>
          <w:sz w:val="24"/>
          <w:szCs w:val="24"/>
          <w:rtl/>
        </w:rPr>
        <w:t xml:space="preserve"> (תכנון, כלכלה ונהלים) לשם תמחור התקורות שנקבעות כפי שהוצג בסעיף 2 שלעיל והכולל כדלהלן:</w:t>
      </w:r>
    </w:p>
    <w:p w:rsidR="0099620A" w:rsidRPr="0099620A" w:rsidRDefault="0099620A" w:rsidP="0099620A">
      <w:pPr>
        <w:suppressAutoHyphens/>
        <w:autoSpaceDE w:val="0"/>
        <w:autoSpaceDN w:val="0"/>
        <w:adjustRightInd w:val="0"/>
        <w:spacing w:after="0"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3.15.2.2 כיסוי / תמיכה בהוצאות נלוות:</w:t>
      </w:r>
    </w:p>
    <w:p w:rsidR="0099620A" w:rsidRPr="0099620A" w:rsidRDefault="0099620A" w:rsidP="0099620A">
      <w:pPr>
        <w:suppressAutoHyphens/>
        <w:autoSpaceDE w:val="0"/>
        <w:autoSpaceDN w:val="0"/>
        <w:adjustRightInd w:val="0"/>
        <w:spacing w:after="0"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א. תקורות ניהוליות – הסכום שייכלל בחוזה הינו הסכום בהתאם לתחשיב שיבוצע על-ידי </w:t>
      </w:r>
      <w:proofErr w:type="spellStart"/>
      <w:r w:rsidRPr="0099620A">
        <w:rPr>
          <w:rFonts w:ascii="David" w:eastAsiaTheme="minorHAnsi" w:cs="David" w:hint="cs"/>
          <w:color w:val="000000"/>
          <w:sz w:val="24"/>
          <w:szCs w:val="24"/>
          <w:rtl/>
        </w:rPr>
        <w:t>תוכ"ן</w:t>
      </w:r>
      <w:proofErr w:type="spellEnd"/>
      <w:r w:rsidRPr="0099620A">
        <w:rPr>
          <w:rFonts w:ascii="David" w:eastAsiaTheme="minorHAnsi" w:cs="David" w:hint="cs"/>
          <w:color w:val="000000"/>
          <w:sz w:val="24"/>
          <w:szCs w:val="24"/>
          <w:rtl/>
        </w:rPr>
        <w:t>, אשר תנחה בנוסף גם על מועדי גבייתו ואופן הניסוח בחוזה (גביית התקורות תיעשה על-ידי קיזוז הסכום מתקבולי השותף בבסיס טרם העברת התקציב לתעשייה). לרבות התייחסות לתוספת תקורות במידה והפרויקט מתארך.</w:t>
      </w:r>
    </w:p>
    <w:p w:rsidR="0099620A" w:rsidRPr="0099620A" w:rsidRDefault="0099620A" w:rsidP="0099620A">
      <w:pPr>
        <w:autoSpaceDE w:val="0"/>
        <w:autoSpaceDN w:val="0"/>
        <w:adjustRightInd w:val="0"/>
        <w:spacing w:after="0"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ב. תמיכה בניסויים, תשתית וידע מבצעי.</w:t>
      </w:r>
    </w:p>
    <w:p w:rsidR="0099620A" w:rsidRPr="0099620A" w:rsidRDefault="0099620A" w:rsidP="0099620A">
      <w:pPr>
        <w:autoSpaceDE w:val="0"/>
        <w:autoSpaceDN w:val="0"/>
        <w:adjustRightInd w:val="0"/>
        <w:spacing w:after="0"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ג. תמלוגי משרד הביטחון.</w:t>
      </w:r>
    </w:p>
    <w:p w:rsidR="0099620A" w:rsidRPr="0099620A" w:rsidRDefault="0099620A" w:rsidP="0099620A">
      <w:pPr>
        <w:autoSpaceDE w:val="0"/>
        <w:autoSpaceDN w:val="0"/>
        <w:adjustRightInd w:val="0"/>
        <w:spacing w:after="0"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ד. עמלת סיב"ט.</w:t>
      </w:r>
    </w:p>
    <w:p w:rsidR="0099620A" w:rsidRPr="0099620A" w:rsidRDefault="0099620A" w:rsidP="0099620A">
      <w:pPr>
        <w:autoSpaceDE w:val="0"/>
        <w:autoSpaceDN w:val="0"/>
        <w:adjustRightInd w:val="0"/>
        <w:spacing w:after="0"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ה. תכולות / מערכות / פיתוחים של מערכות ויכולות נוספות (כולל של תעשיות אחרות) ההכרחיות לצורך קיום העסקה עליהם סוכם עם השותף.</w:t>
      </w:r>
    </w:p>
    <w:p w:rsidR="0099620A" w:rsidRPr="0099620A" w:rsidRDefault="0099620A" w:rsidP="0099620A">
      <w:pPr>
        <w:autoSpaceDE w:val="0"/>
        <w:autoSpaceDN w:val="0"/>
        <w:adjustRightInd w:val="0"/>
        <w:spacing w:after="0"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ראה הערות רה"מ </w:t>
      </w:r>
      <w:proofErr w:type="spellStart"/>
      <w:r w:rsidRPr="0099620A">
        <w:rPr>
          <w:rFonts w:ascii="David" w:eastAsiaTheme="minorHAnsi" w:cs="David" w:hint="cs"/>
          <w:color w:val="000000"/>
          <w:sz w:val="24"/>
          <w:szCs w:val="24"/>
          <w:rtl/>
        </w:rPr>
        <w:t>60א</w:t>
      </w:r>
      <w:proofErr w:type="spellEnd"/>
      <w:r w:rsidRPr="0099620A">
        <w:rPr>
          <w:rFonts w:ascii="David" w:eastAsiaTheme="minorHAnsi" w:cs="David" w:hint="cs"/>
          <w:color w:val="000000"/>
          <w:sz w:val="24"/>
          <w:szCs w:val="24"/>
          <w:rtl/>
        </w:rPr>
        <w:t xml:space="preserve">' </w:t>
      </w:r>
      <w:proofErr w:type="spellStart"/>
      <w:r w:rsidRPr="0099620A">
        <w:rPr>
          <w:rFonts w:ascii="David" w:eastAsiaTheme="minorHAnsi" w:cs="David" w:hint="cs"/>
          <w:color w:val="000000"/>
          <w:sz w:val="24"/>
          <w:szCs w:val="24"/>
          <w:rtl/>
        </w:rPr>
        <w:t>עמ</w:t>
      </w:r>
      <w:proofErr w:type="spellEnd"/>
      <w:r w:rsidRPr="0099620A">
        <w:rPr>
          <w:rFonts w:ascii="David" w:eastAsiaTheme="minorHAnsi" w:cs="David" w:hint="cs"/>
          <w:color w:val="000000"/>
          <w:sz w:val="24"/>
          <w:szCs w:val="24"/>
          <w:rtl/>
        </w:rPr>
        <w:t>' 31.</w:t>
      </w:r>
    </w:p>
    <w:p w:rsidR="0099620A" w:rsidRPr="0099620A" w:rsidRDefault="0099620A" w:rsidP="0099620A">
      <w:pPr>
        <w:autoSpaceDE w:val="0"/>
        <w:autoSpaceDN w:val="0"/>
        <w:adjustRightInd w:val="0"/>
        <w:spacing w:line="288" w:lineRule="auto"/>
        <w:ind w:left="1134" w:hanging="1134"/>
        <w:jc w:val="both"/>
        <w:textAlignment w:val="center"/>
        <w:rPr>
          <w:rFonts w:ascii="David" w:eastAsiaTheme="minorHAnsi" w:cs="David"/>
          <w:b/>
          <w:bCs/>
          <w:color w:val="000000"/>
          <w:szCs w:val="24"/>
          <w:rtl/>
        </w:rPr>
      </w:pPr>
      <w:r w:rsidRPr="0099620A">
        <w:rPr>
          <w:rFonts w:ascii="David" w:eastAsiaTheme="minorHAnsi" w:cs="David" w:hint="cs"/>
          <w:b/>
          <w:bCs/>
          <w:color w:val="000000"/>
          <w:szCs w:val="24"/>
          <w:rtl/>
        </w:rPr>
        <w:t>ליקוי</w:t>
      </w:r>
    </w:p>
    <w:p w:rsidR="0099620A" w:rsidRPr="0099620A" w:rsidRDefault="0099620A" w:rsidP="0099620A">
      <w:pPr>
        <w:suppressAutoHyphens/>
        <w:autoSpaceDE w:val="0"/>
        <w:autoSpaceDN w:val="0"/>
        <w:adjustRightInd w:val="0"/>
        <w:spacing w:line="288" w:lineRule="auto"/>
        <w:ind w:left="720" w:hanging="720"/>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8. </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 xml:space="preserve">על צה"ל לערוך בחינה מקיפה בנושא מערך תקני הקבע הייחודיים, יעדיו ומטרותיו, ובכלל זה: ניתוח הצרכים בתקנים אלה והתאמתם לאינטרס הצה"לי, בין היתר, בהשוואה לחלופות אחרות; בדיקת אופן קביעת העלויות והתועלות שיש לצה"ל מהצבת </w:t>
      </w:r>
      <w:r w:rsidRPr="0099620A">
        <w:rPr>
          <w:rFonts w:ascii="David" w:eastAsiaTheme="minorHAnsi" w:cs="David" w:hint="cs"/>
          <w:color w:val="000000"/>
          <w:sz w:val="24"/>
          <w:szCs w:val="24"/>
          <w:rtl/>
        </w:rPr>
        <w:lastRenderedPageBreak/>
        <w:t>משרתי קבע לפעילות בגופים חיצוניים מסוגים שונים; וקביעת מדיניות וכללים להתחשבנות עם הגופים החיצוניים השונים. כמו כן, על משרד האוצר לבחון את המשמעויות המשקיות שיש להצבת תקני קבע ייחודיים בתפקידים שבהם ניתן להעסיק אזרחים, בעיקר בהתייחס להתחייבות המדינה לתשלום הגמלאות של משרתי הקבע בהשוואה לעובדים אזרחיים.</w:t>
      </w:r>
    </w:p>
    <w:p w:rsidR="0099620A" w:rsidRPr="0099620A" w:rsidRDefault="0099620A" w:rsidP="0099620A">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99620A">
        <w:rPr>
          <w:rFonts w:ascii="David" w:eastAsiaTheme="minorHAnsi" w:cs="David" w:hint="cs"/>
          <w:b/>
          <w:bCs/>
          <w:color w:val="000000"/>
          <w:sz w:val="24"/>
          <w:szCs w:val="24"/>
          <w:rtl/>
        </w:rPr>
        <w:t>מעקב</w:t>
      </w:r>
    </w:p>
    <w:p w:rsidR="0099620A" w:rsidRPr="0099620A" w:rsidRDefault="0099620A" w:rsidP="0099620A">
      <w:pPr>
        <w:autoSpaceDE w:val="0"/>
        <w:autoSpaceDN w:val="0"/>
        <w:adjustRightInd w:val="0"/>
        <w:spacing w:line="288" w:lineRule="auto"/>
        <w:ind w:left="566" w:hanging="566"/>
        <w:jc w:val="both"/>
        <w:textAlignment w:val="center"/>
        <w:rPr>
          <w:rFonts w:ascii="David" w:eastAsiaTheme="minorHAnsi" w:cs="David"/>
          <w:b/>
          <w:bCs/>
          <w:color w:val="000000"/>
          <w:sz w:val="24"/>
          <w:szCs w:val="24"/>
          <w:rtl/>
        </w:rPr>
      </w:pPr>
      <w:r w:rsidRPr="0099620A">
        <w:rPr>
          <w:rFonts w:ascii="David" w:eastAsiaTheme="minorHAnsi" w:cs="David" w:hint="cs"/>
          <w:b/>
          <w:bCs/>
          <w:color w:val="000000"/>
          <w:sz w:val="24"/>
          <w:szCs w:val="24"/>
          <w:rtl/>
        </w:rPr>
        <w:t>צבא ההגנה לישראל</w:t>
      </w:r>
    </w:p>
    <w:p w:rsidR="0099620A" w:rsidRPr="0099620A" w:rsidRDefault="0099620A" w:rsidP="0099620A">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8.</w:t>
      </w:r>
      <w:r w:rsidRPr="0099620A">
        <w:rPr>
          <w:rFonts w:ascii="David" w:eastAsiaTheme="minorHAnsi" w:cs="David"/>
          <w:color w:val="000000"/>
          <w:sz w:val="24"/>
          <w:szCs w:val="24"/>
          <w:rtl/>
        </w:rPr>
        <w:tab/>
      </w:r>
      <w:r w:rsidRPr="0099620A">
        <w:rPr>
          <w:rFonts w:ascii="David" w:eastAsiaTheme="minorHAnsi" w:cs="David" w:hint="cs"/>
          <w:color w:val="000000"/>
          <w:sz w:val="24"/>
          <w:szCs w:val="24"/>
          <w:rtl/>
        </w:rPr>
        <w:t>פקודת מטכ"ל 6.0112 העוסקת בתקנים ייחודיים נמצאת בהליך עדכון. צפי לפרסום הפקודה – סוף שנת 2010.</w:t>
      </w:r>
    </w:p>
    <w:p w:rsidR="0099620A" w:rsidRPr="0099620A" w:rsidRDefault="0099620A" w:rsidP="0099620A">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99620A">
        <w:rPr>
          <w:rFonts w:ascii="David" w:eastAsiaTheme="minorHAnsi" w:cs="David" w:hint="cs"/>
          <w:color w:val="000000"/>
          <w:sz w:val="24"/>
          <w:szCs w:val="24"/>
          <w:rtl/>
        </w:rPr>
        <w:t xml:space="preserve">ראה הערות רה"מ </w:t>
      </w:r>
      <w:proofErr w:type="spellStart"/>
      <w:r w:rsidRPr="0099620A">
        <w:rPr>
          <w:rFonts w:ascii="David" w:eastAsiaTheme="minorHAnsi" w:cs="David" w:hint="cs"/>
          <w:color w:val="000000"/>
          <w:sz w:val="24"/>
          <w:szCs w:val="24"/>
          <w:rtl/>
        </w:rPr>
        <w:t>60א</w:t>
      </w:r>
      <w:proofErr w:type="spellEnd"/>
      <w:r w:rsidRPr="0099620A">
        <w:rPr>
          <w:rFonts w:ascii="David" w:eastAsiaTheme="minorHAnsi" w:cs="David" w:hint="cs"/>
          <w:color w:val="000000"/>
          <w:sz w:val="24"/>
          <w:szCs w:val="24"/>
          <w:rtl/>
        </w:rPr>
        <w:t xml:space="preserve">' </w:t>
      </w:r>
      <w:proofErr w:type="spellStart"/>
      <w:r w:rsidRPr="0099620A">
        <w:rPr>
          <w:rFonts w:ascii="David" w:eastAsiaTheme="minorHAnsi" w:cs="David" w:hint="cs"/>
          <w:color w:val="000000"/>
          <w:sz w:val="24"/>
          <w:szCs w:val="24"/>
          <w:rtl/>
        </w:rPr>
        <w:t>עמ</w:t>
      </w:r>
      <w:proofErr w:type="spellEnd"/>
      <w:r w:rsidRPr="0099620A">
        <w:rPr>
          <w:rFonts w:ascii="David" w:eastAsiaTheme="minorHAnsi" w:cs="David" w:hint="cs"/>
          <w:color w:val="000000"/>
          <w:sz w:val="24"/>
          <w:szCs w:val="24"/>
          <w:rtl/>
        </w:rPr>
        <w:t>' 32.</w:t>
      </w:r>
    </w:p>
    <w:p w:rsidR="009021C2" w:rsidRPr="0099620A" w:rsidRDefault="009021C2" w:rsidP="0099620A"/>
    <w:sectPr w:rsidR="009021C2" w:rsidRPr="0099620A" w:rsidSect="00533C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957" w:rsidRDefault="00D33957" w:rsidP="00D33957">
      <w:pPr>
        <w:spacing w:after="0" w:line="240" w:lineRule="auto"/>
      </w:pPr>
      <w:r>
        <w:separator/>
      </w:r>
    </w:p>
  </w:endnote>
  <w:endnote w:type="continuationSeparator" w:id="1">
    <w:p w:rsidR="00D33957" w:rsidRDefault="00D33957" w:rsidP="00D33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9A" w:rsidRDefault="0038709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9A" w:rsidRDefault="0038709A">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9A" w:rsidRDefault="003870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957" w:rsidRDefault="00D33957" w:rsidP="00D33957">
      <w:pPr>
        <w:spacing w:after="0" w:line="240" w:lineRule="auto"/>
      </w:pPr>
      <w:r>
        <w:separator/>
      </w:r>
    </w:p>
  </w:footnote>
  <w:footnote w:type="continuationSeparator" w:id="1">
    <w:p w:rsidR="00D33957" w:rsidRDefault="00D33957" w:rsidP="00D339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9A" w:rsidRDefault="0038709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957" w:rsidRPr="002A74E8" w:rsidRDefault="007F35B8" w:rsidP="00D33957">
    <w:pPr>
      <w:pStyle w:val="a3"/>
      <w:tabs>
        <w:tab w:val="clear" w:pos="4153"/>
      </w:tabs>
      <w:ind w:left="84" w:hanging="483"/>
      <w:jc w:val="right"/>
      <w:rPr>
        <w:sz w:val="16"/>
        <w:szCs w:val="16"/>
        <w:rtl/>
      </w:rPr>
    </w:pPr>
    <w:r w:rsidRPr="002A74E8">
      <w:rPr>
        <w:sz w:val="16"/>
        <w:szCs w:val="16"/>
        <w:rtl/>
      </w:rPr>
      <w:fldChar w:fldCharType="begin"/>
    </w:r>
    <w:r w:rsidR="00D33957" w:rsidRPr="002A74E8">
      <w:rPr>
        <w:sz w:val="16"/>
        <w:szCs w:val="16"/>
        <w:rtl/>
      </w:rPr>
      <w:instrText xml:space="preserve"> </w:instrText>
    </w:r>
    <w:r w:rsidR="00D33957" w:rsidRPr="002A74E8">
      <w:rPr>
        <w:rFonts w:hint="cs"/>
        <w:sz w:val="16"/>
        <w:szCs w:val="16"/>
      </w:rPr>
      <w:instrText>TIME  \@ "HH:mm"  \* MERGEFORMAT</w:instrText>
    </w:r>
    <w:r w:rsidR="00D33957" w:rsidRPr="002A74E8">
      <w:rPr>
        <w:sz w:val="16"/>
        <w:szCs w:val="16"/>
        <w:rtl/>
      </w:rPr>
      <w:instrText xml:space="preserve"> </w:instrText>
    </w:r>
    <w:r w:rsidRPr="002A74E8">
      <w:rPr>
        <w:sz w:val="16"/>
        <w:szCs w:val="16"/>
        <w:rtl/>
      </w:rPr>
      <w:fldChar w:fldCharType="separate"/>
    </w:r>
    <w:r w:rsidR="0099620A">
      <w:rPr>
        <w:rFonts w:hint="eastAsia"/>
        <w:noProof/>
        <w:sz w:val="16"/>
        <w:szCs w:val="16"/>
        <w:rtl/>
      </w:rPr>
      <w:t>‏</w:t>
    </w:r>
    <w:r w:rsidR="0099620A">
      <w:rPr>
        <w:noProof/>
        <w:sz w:val="16"/>
        <w:szCs w:val="16"/>
        <w:rtl/>
      </w:rPr>
      <w:t>13:41</w:t>
    </w:r>
    <w:r w:rsidRPr="002A74E8">
      <w:rPr>
        <w:sz w:val="16"/>
        <w:szCs w:val="16"/>
        <w:rtl/>
      </w:rPr>
      <w:fldChar w:fldCharType="end"/>
    </w:r>
    <w:r w:rsidR="00D33957" w:rsidRPr="002A74E8">
      <w:rPr>
        <w:rFonts w:hint="cs"/>
        <w:sz w:val="16"/>
        <w:szCs w:val="16"/>
        <w:rtl/>
      </w:rPr>
      <w:t xml:space="preserve">  </w:t>
    </w:r>
    <w:r w:rsidRPr="002A74E8">
      <w:rPr>
        <w:sz w:val="16"/>
        <w:szCs w:val="16"/>
        <w:rtl/>
      </w:rPr>
      <w:fldChar w:fldCharType="begin"/>
    </w:r>
    <w:r w:rsidR="00D33957" w:rsidRPr="002A74E8">
      <w:rPr>
        <w:sz w:val="16"/>
        <w:szCs w:val="16"/>
        <w:rtl/>
      </w:rPr>
      <w:instrText xml:space="preserve"> </w:instrText>
    </w:r>
    <w:r w:rsidR="00D33957" w:rsidRPr="002A74E8">
      <w:rPr>
        <w:rFonts w:hint="cs"/>
        <w:sz w:val="16"/>
        <w:szCs w:val="16"/>
      </w:rPr>
      <w:instrText>DATE  \@ "yyyy-MM-dd"  \* MERGEFORMAT</w:instrText>
    </w:r>
    <w:r w:rsidR="00D33957" w:rsidRPr="002A74E8">
      <w:rPr>
        <w:sz w:val="16"/>
        <w:szCs w:val="16"/>
        <w:rtl/>
      </w:rPr>
      <w:instrText xml:space="preserve"> </w:instrText>
    </w:r>
    <w:r w:rsidRPr="002A74E8">
      <w:rPr>
        <w:sz w:val="16"/>
        <w:szCs w:val="16"/>
        <w:rtl/>
      </w:rPr>
      <w:fldChar w:fldCharType="separate"/>
    </w:r>
    <w:r w:rsidR="0099620A">
      <w:rPr>
        <w:rFonts w:hint="eastAsia"/>
        <w:noProof/>
        <w:sz w:val="16"/>
        <w:szCs w:val="16"/>
        <w:rtl/>
      </w:rPr>
      <w:t>‏</w:t>
    </w:r>
    <w:r w:rsidR="0099620A">
      <w:rPr>
        <w:noProof/>
        <w:sz w:val="16"/>
        <w:szCs w:val="16"/>
        <w:rtl/>
      </w:rPr>
      <w:t>2010–12–12</w:t>
    </w:r>
    <w:r w:rsidRPr="002A74E8">
      <w:rPr>
        <w:sz w:val="16"/>
        <w:szCs w:val="16"/>
        <w:rtl/>
      </w:rPr>
      <w:fldChar w:fldCharType="end"/>
    </w:r>
    <w:r w:rsidR="00D33957" w:rsidRPr="002A74E8">
      <w:rPr>
        <w:rFonts w:hint="cs"/>
        <w:sz w:val="16"/>
        <w:szCs w:val="16"/>
        <w:rtl/>
      </w:rPr>
      <w:t xml:space="preserve">   </w:t>
    </w:r>
    <w:fldSimple w:instr=" FILENAME  \* FirstCap \p  \* MERGEFORMAT ">
      <w:r w:rsidR="0078726C" w:rsidRPr="0078726C">
        <w:rPr>
          <w:noProof/>
          <w:sz w:val="16"/>
          <w:szCs w:val="16"/>
        </w:rPr>
        <w:t>L:\</w:t>
      </w:r>
      <w:r w:rsidR="0078726C" w:rsidRPr="0078726C">
        <w:rPr>
          <w:rFonts w:hint="eastAsia"/>
          <w:noProof/>
          <w:sz w:val="16"/>
          <w:szCs w:val="16"/>
          <w:rtl/>
        </w:rPr>
        <w:t>הספר</w:t>
      </w:r>
      <w:r w:rsidR="0078726C" w:rsidRPr="0078726C">
        <w:rPr>
          <w:noProof/>
          <w:sz w:val="16"/>
          <w:szCs w:val="16"/>
          <w:rtl/>
        </w:rPr>
        <w:t xml:space="preserve"> - </w:t>
      </w:r>
      <w:r w:rsidR="0078726C" w:rsidRPr="0078726C">
        <w:rPr>
          <w:rFonts w:hint="eastAsia"/>
          <w:noProof/>
          <w:sz w:val="16"/>
          <w:szCs w:val="16"/>
          <w:rtl/>
        </w:rPr>
        <w:t>מעקבים</w:t>
      </w:r>
      <w:r w:rsidR="0078726C" w:rsidRPr="0078726C">
        <w:rPr>
          <w:noProof/>
          <w:sz w:val="16"/>
          <w:szCs w:val="16"/>
          <w:rtl/>
        </w:rPr>
        <w:t xml:space="preserve"> 60</w:t>
      </w:r>
      <w:r w:rsidR="0078726C" w:rsidRPr="0078726C">
        <w:rPr>
          <w:rFonts w:hint="eastAsia"/>
          <w:noProof/>
          <w:sz w:val="16"/>
          <w:szCs w:val="16"/>
          <w:rtl/>
        </w:rPr>
        <w:t>ב</w:t>
      </w:r>
      <w:r w:rsidR="0078726C" w:rsidRPr="0078726C">
        <w:rPr>
          <w:noProof/>
          <w:sz w:val="16"/>
          <w:szCs w:val="16"/>
          <w:rtl/>
        </w:rPr>
        <w:t>\</w:t>
      </w:r>
      <w:r w:rsidR="0078726C" w:rsidRPr="0078726C">
        <w:rPr>
          <w:rFonts w:hint="eastAsia"/>
          <w:noProof/>
          <w:sz w:val="16"/>
          <w:szCs w:val="16"/>
          <w:rtl/>
        </w:rPr>
        <w:t>עקיבא</w:t>
      </w:r>
      <w:r w:rsidR="0078726C" w:rsidRPr="0078726C">
        <w:rPr>
          <w:noProof/>
          <w:sz w:val="16"/>
          <w:szCs w:val="16"/>
          <w:rtl/>
        </w:rPr>
        <w:t>\</w:t>
      </w:r>
      <w:r w:rsidR="0078726C" w:rsidRPr="0078726C">
        <w:rPr>
          <w:rFonts w:hint="eastAsia"/>
          <w:noProof/>
          <w:sz w:val="16"/>
          <w:szCs w:val="16"/>
          <w:rtl/>
        </w:rPr>
        <w:t>מערכת</w:t>
      </w:r>
      <w:r w:rsidR="0078726C" w:rsidRPr="0078726C">
        <w:rPr>
          <w:noProof/>
          <w:sz w:val="16"/>
          <w:szCs w:val="16"/>
          <w:rtl/>
        </w:rPr>
        <w:t xml:space="preserve"> </w:t>
      </w:r>
      <w:r w:rsidR="0078726C" w:rsidRPr="0078726C">
        <w:rPr>
          <w:rFonts w:hint="eastAsia"/>
          <w:noProof/>
          <w:sz w:val="16"/>
          <w:szCs w:val="16"/>
          <w:rtl/>
        </w:rPr>
        <w:t>הביטחון</w:t>
      </w:r>
      <w:r w:rsidR="0078726C" w:rsidRPr="0078726C">
        <w:rPr>
          <w:noProof/>
          <w:sz w:val="16"/>
          <w:szCs w:val="16"/>
          <w:rtl/>
        </w:rPr>
        <w:t>\60</w:t>
      </w:r>
      <w:r w:rsidR="0078726C" w:rsidRPr="0078726C">
        <w:rPr>
          <w:rFonts w:hint="eastAsia"/>
          <w:noProof/>
          <w:sz w:val="16"/>
          <w:szCs w:val="16"/>
          <w:rtl/>
        </w:rPr>
        <w:t>א</w:t>
      </w:r>
      <w:r w:rsidR="0078726C" w:rsidRPr="0078726C">
        <w:rPr>
          <w:noProof/>
          <w:sz w:val="16"/>
          <w:szCs w:val="16"/>
          <w:rtl/>
        </w:rPr>
        <w:t>\</w:t>
      </w:r>
      <w:r w:rsidR="0078726C" w:rsidRPr="0078726C">
        <w:rPr>
          <w:rFonts w:hint="eastAsia"/>
          <w:noProof/>
          <w:sz w:val="16"/>
          <w:szCs w:val="16"/>
          <w:rtl/>
        </w:rPr>
        <w:t>מערך</w:t>
      </w:r>
      <w:r w:rsidR="0078726C" w:rsidRPr="0078726C">
        <w:rPr>
          <w:noProof/>
          <w:sz w:val="16"/>
          <w:szCs w:val="16"/>
          <w:rtl/>
        </w:rPr>
        <w:t xml:space="preserve"> </w:t>
      </w:r>
      <w:r w:rsidR="0078726C" w:rsidRPr="0078726C">
        <w:rPr>
          <w:rFonts w:hint="eastAsia"/>
          <w:noProof/>
          <w:sz w:val="16"/>
          <w:szCs w:val="16"/>
          <w:rtl/>
        </w:rPr>
        <w:t>משרתי</w:t>
      </w:r>
      <w:r w:rsidR="0078726C" w:rsidRPr="0078726C">
        <w:rPr>
          <w:noProof/>
          <w:sz w:val="16"/>
          <w:szCs w:val="16"/>
          <w:rtl/>
        </w:rPr>
        <w:t xml:space="preserve"> </w:t>
      </w:r>
      <w:r w:rsidR="0078726C" w:rsidRPr="0078726C">
        <w:rPr>
          <w:rFonts w:hint="eastAsia"/>
          <w:noProof/>
          <w:sz w:val="16"/>
          <w:szCs w:val="16"/>
          <w:rtl/>
        </w:rPr>
        <w:t>הקבע</w:t>
      </w:r>
      <w:r w:rsidR="0078726C" w:rsidRPr="0078726C">
        <w:rPr>
          <w:noProof/>
          <w:sz w:val="16"/>
          <w:szCs w:val="16"/>
          <w:rtl/>
        </w:rPr>
        <w:t xml:space="preserve"> </w:t>
      </w:r>
      <w:r w:rsidR="0078726C" w:rsidRPr="0078726C">
        <w:rPr>
          <w:rFonts w:hint="eastAsia"/>
          <w:noProof/>
          <w:sz w:val="16"/>
          <w:szCs w:val="16"/>
          <w:rtl/>
        </w:rPr>
        <w:t>במימון</w:t>
      </w:r>
      <w:r w:rsidR="0078726C" w:rsidRPr="0078726C">
        <w:rPr>
          <w:noProof/>
          <w:sz w:val="16"/>
          <w:szCs w:val="16"/>
          <w:rtl/>
        </w:rPr>
        <w:t xml:space="preserve"> </w:t>
      </w:r>
      <w:r w:rsidR="0078726C" w:rsidRPr="0078726C">
        <w:rPr>
          <w:rFonts w:hint="eastAsia"/>
          <w:noProof/>
          <w:sz w:val="16"/>
          <w:szCs w:val="16"/>
          <w:rtl/>
        </w:rPr>
        <w:t>גופים</w:t>
      </w:r>
      <w:r w:rsidR="0078726C" w:rsidRPr="0078726C">
        <w:rPr>
          <w:noProof/>
          <w:sz w:val="16"/>
          <w:szCs w:val="16"/>
          <w:rtl/>
        </w:rPr>
        <w:t xml:space="preserve"> </w:t>
      </w:r>
      <w:r w:rsidR="0078726C" w:rsidRPr="0078726C">
        <w:rPr>
          <w:rFonts w:hint="eastAsia"/>
          <w:noProof/>
          <w:sz w:val="16"/>
          <w:szCs w:val="16"/>
          <w:rtl/>
        </w:rPr>
        <w:t>אזרחיים</w:t>
      </w:r>
      <w:r w:rsidR="0078726C" w:rsidRPr="0078726C">
        <w:rPr>
          <w:noProof/>
          <w:sz w:val="16"/>
          <w:szCs w:val="16"/>
        </w:rPr>
        <w:t>.docx</w:t>
      </w:r>
    </w:fldSimple>
    <w:r w:rsidR="00D33957" w:rsidRPr="002A74E8">
      <w:rPr>
        <w:rFonts w:hint="cs"/>
        <w:sz w:val="16"/>
        <w:szCs w:val="16"/>
        <w:rtl/>
      </w:rPr>
      <w:t xml:space="preserve">    -</w:t>
    </w:r>
    <w:r w:rsidRPr="002A74E8">
      <w:rPr>
        <w:sz w:val="16"/>
        <w:szCs w:val="16"/>
        <w:rtl/>
      </w:rPr>
      <w:fldChar w:fldCharType="begin"/>
    </w:r>
    <w:r w:rsidR="00D33957" w:rsidRPr="002A74E8">
      <w:rPr>
        <w:sz w:val="16"/>
        <w:szCs w:val="16"/>
        <w:rtl/>
      </w:rPr>
      <w:instrText xml:space="preserve"> </w:instrText>
    </w:r>
    <w:r w:rsidR="00D33957" w:rsidRPr="002A74E8">
      <w:rPr>
        <w:sz w:val="16"/>
        <w:szCs w:val="16"/>
      </w:rPr>
      <w:instrText>PAGE   \* MERGEFORMAT</w:instrText>
    </w:r>
    <w:r w:rsidR="00D33957" w:rsidRPr="002A74E8">
      <w:rPr>
        <w:sz w:val="16"/>
        <w:szCs w:val="16"/>
        <w:rtl/>
      </w:rPr>
      <w:instrText xml:space="preserve"> </w:instrText>
    </w:r>
    <w:r w:rsidRPr="002A74E8">
      <w:rPr>
        <w:sz w:val="16"/>
        <w:szCs w:val="16"/>
        <w:rtl/>
      </w:rPr>
      <w:fldChar w:fldCharType="separate"/>
    </w:r>
    <w:r w:rsidR="0099620A">
      <w:rPr>
        <w:noProof/>
        <w:sz w:val="16"/>
        <w:szCs w:val="16"/>
        <w:rtl/>
      </w:rPr>
      <w:t>3</w:t>
    </w:r>
    <w:r w:rsidRPr="002A74E8">
      <w:rPr>
        <w:sz w:val="16"/>
        <w:szCs w:val="16"/>
        <w:rtl/>
      </w:rPr>
      <w:fldChar w:fldCharType="end"/>
    </w:r>
    <w:r w:rsidR="00D33957" w:rsidRPr="002A74E8">
      <w:rPr>
        <w:rFonts w:hint="cs"/>
        <w:sz w:val="16"/>
        <w:szCs w:val="16"/>
        <w:rtl/>
      </w:rPr>
      <w:t>-</w:t>
    </w:r>
  </w:p>
  <w:p w:rsidR="00D33957" w:rsidRPr="00B90376" w:rsidRDefault="00D33957" w:rsidP="00D33957">
    <w:pPr>
      <w:tabs>
        <w:tab w:val="left" w:pos="1316"/>
        <w:tab w:val="center" w:pos="4153"/>
      </w:tabs>
      <w:ind w:hanging="483"/>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                                                                                מערכת הביטחון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9A" w:rsidRDefault="0038709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33957"/>
    <w:rsid w:val="00000243"/>
    <w:rsid w:val="00000739"/>
    <w:rsid w:val="00027667"/>
    <w:rsid w:val="00043D5A"/>
    <w:rsid w:val="000510D6"/>
    <w:rsid w:val="00073FA9"/>
    <w:rsid w:val="00082BAA"/>
    <w:rsid w:val="000865F5"/>
    <w:rsid w:val="00087487"/>
    <w:rsid w:val="000B2B5D"/>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A2A79"/>
    <w:rsid w:val="001C723E"/>
    <w:rsid w:val="001D2CC6"/>
    <w:rsid w:val="001E5006"/>
    <w:rsid w:val="001E6A43"/>
    <w:rsid w:val="00232852"/>
    <w:rsid w:val="00237AB5"/>
    <w:rsid w:val="00274039"/>
    <w:rsid w:val="00280509"/>
    <w:rsid w:val="00282D49"/>
    <w:rsid w:val="002831EA"/>
    <w:rsid w:val="0029553E"/>
    <w:rsid w:val="00297441"/>
    <w:rsid w:val="002A6F8F"/>
    <w:rsid w:val="002B03DD"/>
    <w:rsid w:val="002B3D39"/>
    <w:rsid w:val="002B6CF7"/>
    <w:rsid w:val="002D02ED"/>
    <w:rsid w:val="002D0694"/>
    <w:rsid w:val="002E2B52"/>
    <w:rsid w:val="002E5016"/>
    <w:rsid w:val="002E6760"/>
    <w:rsid w:val="002E6B4E"/>
    <w:rsid w:val="0030735E"/>
    <w:rsid w:val="00310136"/>
    <w:rsid w:val="0033198C"/>
    <w:rsid w:val="003344B0"/>
    <w:rsid w:val="00354067"/>
    <w:rsid w:val="00360A13"/>
    <w:rsid w:val="00377C35"/>
    <w:rsid w:val="0038709A"/>
    <w:rsid w:val="003A6D84"/>
    <w:rsid w:val="003A7C4A"/>
    <w:rsid w:val="003C75F5"/>
    <w:rsid w:val="003D223E"/>
    <w:rsid w:val="003E14BC"/>
    <w:rsid w:val="003E1745"/>
    <w:rsid w:val="003E260D"/>
    <w:rsid w:val="003E7AD3"/>
    <w:rsid w:val="003F0D44"/>
    <w:rsid w:val="003F131D"/>
    <w:rsid w:val="003F3165"/>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33C78"/>
    <w:rsid w:val="00537BD2"/>
    <w:rsid w:val="00547425"/>
    <w:rsid w:val="0055111F"/>
    <w:rsid w:val="0055268D"/>
    <w:rsid w:val="00563607"/>
    <w:rsid w:val="005762A5"/>
    <w:rsid w:val="005A548B"/>
    <w:rsid w:val="005A6E05"/>
    <w:rsid w:val="005D57C1"/>
    <w:rsid w:val="0060499E"/>
    <w:rsid w:val="00606B34"/>
    <w:rsid w:val="00606CCF"/>
    <w:rsid w:val="00624530"/>
    <w:rsid w:val="00624861"/>
    <w:rsid w:val="00632551"/>
    <w:rsid w:val="00642830"/>
    <w:rsid w:val="00646F69"/>
    <w:rsid w:val="006643DF"/>
    <w:rsid w:val="006653A5"/>
    <w:rsid w:val="0067780E"/>
    <w:rsid w:val="006807A6"/>
    <w:rsid w:val="006942D9"/>
    <w:rsid w:val="006A67BA"/>
    <w:rsid w:val="006E0566"/>
    <w:rsid w:val="006E7ED9"/>
    <w:rsid w:val="0073050A"/>
    <w:rsid w:val="00733D53"/>
    <w:rsid w:val="00741058"/>
    <w:rsid w:val="00753962"/>
    <w:rsid w:val="007629F8"/>
    <w:rsid w:val="00762B5D"/>
    <w:rsid w:val="00772A72"/>
    <w:rsid w:val="007736D0"/>
    <w:rsid w:val="007827A7"/>
    <w:rsid w:val="00783E86"/>
    <w:rsid w:val="0078726C"/>
    <w:rsid w:val="00787AB8"/>
    <w:rsid w:val="007B0C4D"/>
    <w:rsid w:val="007B4AAF"/>
    <w:rsid w:val="007D1079"/>
    <w:rsid w:val="007F35B8"/>
    <w:rsid w:val="00810E64"/>
    <w:rsid w:val="0081406C"/>
    <w:rsid w:val="00817201"/>
    <w:rsid w:val="00845A2C"/>
    <w:rsid w:val="00867F44"/>
    <w:rsid w:val="0088076B"/>
    <w:rsid w:val="008A1154"/>
    <w:rsid w:val="008B1C1D"/>
    <w:rsid w:val="008B5AD7"/>
    <w:rsid w:val="008D6336"/>
    <w:rsid w:val="008F7447"/>
    <w:rsid w:val="009021C2"/>
    <w:rsid w:val="00917859"/>
    <w:rsid w:val="00922D8C"/>
    <w:rsid w:val="009409FE"/>
    <w:rsid w:val="00963FFB"/>
    <w:rsid w:val="00973104"/>
    <w:rsid w:val="00984194"/>
    <w:rsid w:val="00993D03"/>
    <w:rsid w:val="0099620A"/>
    <w:rsid w:val="00996DB6"/>
    <w:rsid w:val="009A62C4"/>
    <w:rsid w:val="009B1770"/>
    <w:rsid w:val="009D6F86"/>
    <w:rsid w:val="009E5072"/>
    <w:rsid w:val="009E6EFD"/>
    <w:rsid w:val="009E732F"/>
    <w:rsid w:val="00A020E1"/>
    <w:rsid w:val="00A24D18"/>
    <w:rsid w:val="00A26D89"/>
    <w:rsid w:val="00A50ADE"/>
    <w:rsid w:val="00A51DC7"/>
    <w:rsid w:val="00A55CF7"/>
    <w:rsid w:val="00A6715C"/>
    <w:rsid w:val="00A67167"/>
    <w:rsid w:val="00A730BC"/>
    <w:rsid w:val="00A73AE3"/>
    <w:rsid w:val="00A811C8"/>
    <w:rsid w:val="00A867D2"/>
    <w:rsid w:val="00AA1EBD"/>
    <w:rsid w:val="00AC02A2"/>
    <w:rsid w:val="00AC3E47"/>
    <w:rsid w:val="00AD3499"/>
    <w:rsid w:val="00AF66AA"/>
    <w:rsid w:val="00AF7804"/>
    <w:rsid w:val="00B00D9A"/>
    <w:rsid w:val="00B07273"/>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3315"/>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20800"/>
    <w:rsid w:val="00D33957"/>
    <w:rsid w:val="00D37D9E"/>
    <w:rsid w:val="00D57A3C"/>
    <w:rsid w:val="00D66429"/>
    <w:rsid w:val="00D8517D"/>
    <w:rsid w:val="00DA0DCD"/>
    <w:rsid w:val="00DA74D9"/>
    <w:rsid w:val="00DC0772"/>
    <w:rsid w:val="00DC4F4F"/>
    <w:rsid w:val="00DE169C"/>
    <w:rsid w:val="00DF2B24"/>
    <w:rsid w:val="00E01EA3"/>
    <w:rsid w:val="00E12867"/>
    <w:rsid w:val="00E20A2E"/>
    <w:rsid w:val="00E25D97"/>
    <w:rsid w:val="00E314A0"/>
    <w:rsid w:val="00E4475C"/>
    <w:rsid w:val="00E46D2C"/>
    <w:rsid w:val="00E47FEC"/>
    <w:rsid w:val="00E54BFD"/>
    <w:rsid w:val="00E64E00"/>
    <w:rsid w:val="00E667E9"/>
    <w:rsid w:val="00E67FFC"/>
    <w:rsid w:val="00E728AF"/>
    <w:rsid w:val="00E77641"/>
    <w:rsid w:val="00E84B36"/>
    <w:rsid w:val="00E92150"/>
    <w:rsid w:val="00E92381"/>
    <w:rsid w:val="00E929B7"/>
    <w:rsid w:val="00EA14C1"/>
    <w:rsid w:val="00EC33CF"/>
    <w:rsid w:val="00EF3EE3"/>
    <w:rsid w:val="00EF6F1E"/>
    <w:rsid w:val="00F17E20"/>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C7605"/>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957"/>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D33957"/>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D33957"/>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D33957"/>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D33957"/>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D33957"/>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D33957"/>
    <w:pPr>
      <w:bidi w:val="0"/>
      <w:spacing w:before="240" w:after="60" w:line="240" w:lineRule="auto"/>
      <w:outlineLvl w:val="5"/>
    </w:pPr>
    <w:rPr>
      <w:rFonts w:eastAsia="Calibri" w:cs="Times New Roman"/>
      <w:b/>
      <w:bCs/>
    </w:rPr>
  </w:style>
  <w:style w:type="paragraph" w:styleId="7">
    <w:name w:val="heading 7"/>
    <w:basedOn w:val="a"/>
    <w:next w:val="a"/>
    <w:link w:val="70"/>
    <w:qFormat/>
    <w:rsid w:val="00D33957"/>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D33957"/>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D33957"/>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33957"/>
    <w:pPr>
      <w:tabs>
        <w:tab w:val="center" w:pos="4153"/>
        <w:tab w:val="right" w:pos="8306"/>
      </w:tabs>
      <w:spacing w:line="240" w:lineRule="auto"/>
    </w:pPr>
  </w:style>
  <w:style w:type="character" w:customStyle="1" w:styleId="a4">
    <w:name w:val="כותרת עליונה תו"/>
    <w:basedOn w:val="a0"/>
    <w:link w:val="a3"/>
    <w:rsid w:val="00D33957"/>
  </w:style>
  <w:style w:type="paragraph" w:styleId="a5">
    <w:name w:val="footer"/>
    <w:basedOn w:val="a"/>
    <w:link w:val="a6"/>
    <w:unhideWhenUsed/>
    <w:rsid w:val="00D33957"/>
    <w:pPr>
      <w:tabs>
        <w:tab w:val="center" w:pos="4153"/>
        <w:tab w:val="right" w:pos="8306"/>
      </w:tabs>
      <w:spacing w:line="240" w:lineRule="auto"/>
    </w:pPr>
  </w:style>
  <w:style w:type="character" w:customStyle="1" w:styleId="a6">
    <w:name w:val="כותרת תחתונה תו"/>
    <w:basedOn w:val="a0"/>
    <w:link w:val="a5"/>
    <w:rsid w:val="00D33957"/>
  </w:style>
  <w:style w:type="paragraph" w:styleId="a7">
    <w:name w:val="Balloon Text"/>
    <w:basedOn w:val="a"/>
    <w:link w:val="a8"/>
    <w:semiHidden/>
    <w:unhideWhenUsed/>
    <w:rsid w:val="00D33957"/>
    <w:pPr>
      <w:spacing w:line="240" w:lineRule="auto"/>
    </w:pPr>
    <w:rPr>
      <w:rFonts w:ascii="Tahoma" w:hAnsi="Tahoma" w:cs="Tahoma"/>
      <w:sz w:val="16"/>
      <w:szCs w:val="16"/>
    </w:rPr>
  </w:style>
  <w:style w:type="character" w:customStyle="1" w:styleId="a8">
    <w:name w:val="טקסט בלונים תו"/>
    <w:basedOn w:val="a0"/>
    <w:link w:val="a7"/>
    <w:semiHidden/>
    <w:rsid w:val="00D33957"/>
    <w:rPr>
      <w:rFonts w:ascii="Tahoma" w:hAnsi="Tahoma" w:cs="Tahoma"/>
      <w:sz w:val="16"/>
      <w:szCs w:val="16"/>
    </w:rPr>
  </w:style>
  <w:style w:type="character" w:customStyle="1" w:styleId="10">
    <w:name w:val="כותרת 1 תו"/>
    <w:basedOn w:val="a0"/>
    <w:link w:val="1"/>
    <w:rsid w:val="00D33957"/>
    <w:rPr>
      <w:rFonts w:ascii="Cambria" w:eastAsia="Calibri" w:hAnsi="Cambria" w:cs="Times New Roman"/>
      <w:b/>
      <w:bCs/>
      <w:kern w:val="32"/>
      <w:sz w:val="32"/>
      <w:szCs w:val="32"/>
    </w:rPr>
  </w:style>
  <w:style w:type="character" w:customStyle="1" w:styleId="20">
    <w:name w:val="כותרת 2 תו"/>
    <w:basedOn w:val="a0"/>
    <w:link w:val="2"/>
    <w:rsid w:val="00D33957"/>
    <w:rPr>
      <w:rFonts w:ascii="Cambria" w:eastAsia="Calibri" w:hAnsi="Cambria" w:cs="Times New Roman"/>
      <w:b/>
      <w:bCs/>
      <w:i/>
      <w:iCs/>
      <w:sz w:val="28"/>
      <w:szCs w:val="28"/>
    </w:rPr>
  </w:style>
  <w:style w:type="character" w:customStyle="1" w:styleId="30">
    <w:name w:val="כותרת 3 תו"/>
    <w:basedOn w:val="a0"/>
    <w:link w:val="3"/>
    <w:rsid w:val="00D33957"/>
    <w:rPr>
      <w:rFonts w:ascii="Cambria" w:eastAsia="Calibri" w:hAnsi="Cambria" w:cs="Times New Roman"/>
      <w:b/>
      <w:bCs/>
      <w:sz w:val="26"/>
      <w:szCs w:val="26"/>
    </w:rPr>
  </w:style>
  <w:style w:type="character" w:customStyle="1" w:styleId="40">
    <w:name w:val="כותרת 4 תו"/>
    <w:basedOn w:val="a0"/>
    <w:link w:val="4"/>
    <w:rsid w:val="00D33957"/>
    <w:rPr>
      <w:rFonts w:ascii="Calibri" w:eastAsia="Calibri" w:hAnsi="Calibri" w:cs="Times New Roman"/>
      <w:b/>
      <w:bCs/>
      <w:sz w:val="28"/>
      <w:szCs w:val="28"/>
    </w:rPr>
  </w:style>
  <w:style w:type="character" w:customStyle="1" w:styleId="50">
    <w:name w:val="כותרת 5 תו"/>
    <w:basedOn w:val="a0"/>
    <w:link w:val="5"/>
    <w:rsid w:val="00D33957"/>
    <w:rPr>
      <w:rFonts w:ascii="Calibri" w:eastAsia="Calibri" w:hAnsi="Calibri" w:cs="Times New Roman"/>
      <w:b/>
      <w:bCs/>
      <w:i/>
      <w:iCs/>
      <w:sz w:val="26"/>
      <w:szCs w:val="26"/>
    </w:rPr>
  </w:style>
  <w:style w:type="character" w:customStyle="1" w:styleId="60">
    <w:name w:val="כותרת 6 תו"/>
    <w:basedOn w:val="a0"/>
    <w:link w:val="6"/>
    <w:rsid w:val="00D33957"/>
    <w:rPr>
      <w:rFonts w:ascii="Calibri" w:eastAsia="Calibri" w:hAnsi="Calibri" w:cs="Times New Roman"/>
      <w:b/>
      <w:bCs/>
      <w:sz w:val="22"/>
      <w:szCs w:val="22"/>
    </w:rPr>
  </w:style>
  <w:style w:type="character" w:customStyle="1" w:styleId="70">
    <w:name w:val="כותרת 7 תו"/>
    <w:basedOn w:val="a0"/>
    <w:link w:val="7"/>
    <w:rsid w:val="00D33957"/>
    <w:rPr>
      <w:rFonts w:ascii="Calibri" w:eastAsia="Calibri" w:hAnsi="Calibri" w:cs="Times New Roman"/>
    </w:rPr>
  </w:style>
  <w:style w:type="character" w:customStyle="1" w:styleId="80">
    <w:name w:val="כותרת 8 תו"/>
    <w:basedOn w:val="a0"/>
    <w:link w:val="8"/>
    <w:rsid w:val="00D33957"/>
    <w:rPr>
      <w:rFonts w:ascii="Calibri" w:eastAsia="Calibri" w:hAnsi="Calibri" w:cs="Times New Roman"/>
      <w:i/>
      <w:iCs/>
    </w:rPr>
  </w:style>
  <w:style w:type="character" w:customStyle="1" w:styleId="90">
    <w:name w:val="כותרת 9 תו"/>
    <w:basedOn w:val="a0"/>
    <w:link w:val="9"/>
    <w:rsid w:val="00D33957"/>
    <w:rPr>
      <w:rFonts w:ascii="Cambria" w:eastAsia="Calibri" w:hAnsi="Cambria" w:cs="Times New Roman"/>
      <w:sz w:val="22"/>
      <w:szCs w:val="22"/>
    </w:rPr>
  </w:style>
  <w:style w:type="paragraph" w:styleId="a9">
    <w:name w:val="caption"/>
    <w:basedOn w:val="a"/>
    <w:next w:val="a"/>
    <w:qFormat/>
    <w:rsid w:val="00D33957"/>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D33957"/>
    <w:pPr>
      <w:ind w:left="720"/>
      <w:contextualSpacing/>
    </w:pPr>
  </w:style>
  <w:style w:type="paragraph" w:customStyle="1" w:styleId="aa">
    <w:name w:val="נבנצלים"/>
    <w:basedOn w:val="a"/>
    <w:next w:val="a"/>
    <w:autoRedefine/>
    <w:rsid w:val="00D33957"/>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D33957"/>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D33957"/>
    <w:rPr>
      <w:rFonts w:ascii="Times New Roman" w:eastAsia="Calibri" w:hAnsi="Times New Roman"/>
      <w:sz w:val="20"/>
      <w:szCs w:val="20"/>
      <w:lang w:eastAsia="he-IL"/>
    </w:rPr>
  </w:style>
  <w:style w:type="character" w:styleId="ad">
    <w:name w:val="footnote reference"/>
    <w:basedOn w:val="a0"/>
    <w:semiHidden/>
    <w:rsid w:val="00D33957"/>
    <w:rPr>
      <w:rFonts w:cs="David"/>
      <w:vertAlign w:val="superscript"/>
      <w:lang w:bidi="he-IL"/>
    </w:rPr>
  </w:style>
  <w:style w:type="paragraph" w:customStyle="1" w:styleId="ae">
    <w:name w:val="תו"/>
    <w:basedOn w:val="a"/>
    <w:rsid w:val="00D33957"/>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D33957"/>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D33957"/>
    <w:rPr>
      <w:rFonts w:ascii="Cambria" w:eastAsia="Calibri" w:hAnsi="Cambria" w:cs="Times New Roman"/>
      <w:b/>
      <w:bCs/>
      <w:kern w:val="28"/>
      <w:sz w:val="32"/>
      <w:szCs w:val="32"/>
    </w:rPr>
  </w:style>
  <w:style w:type="paragraph" w:customStyle="1" w:styleId="12">
    <w:name w:val="ללא מרווח1"/>
    <w:basedOn w:val="a"/>
    <w:rsid w:val="00D33957"/>
    <w:pPr>
      <w:spacing w:after="0" w:line="240" w:lineRule="auto"/>
    </w:pPr>
    <w:rPr>
      <w:rFonts w:eastAsia="Calibri" w:cs="Times New Roman"/>
      <w:sz w:val="24"/>
      <w:szCs w:val="32"/>
    </w:rPr>
  </w:style>
  <w:style w:type="character" w:customStyle="1" w:styleId="13">
    <w:name w:val="הדגשה חזקה1"/>
    <w:basedOn w:val="a0"/>
    <w:rsid w:val="00D33957"/>
    <w:rPr>
      <w:rFonts w:cs="Times New Roman"/>
      <w:b/>
      <w:i/>
      <w:sz w:val="24"/>
      <w:szCs w:val="24"/>
      <w:u w:val="single"/>
    </w:rPr>
  </w:style>
  <w:style w:type="character" w:customStyle="1" w:styleId="14">
    <w:name w:val="הפניה מעודנת1"/>
    <w:basedOn w:val="a0"/>
    <w:rsid w:val="00D33957"/>
    <w:rPr>
      <w:rFonts w:cs="Times New Roman"/>
      <w:sz w:val="24"/>
      <w:szCs w:val="24"/>
      <w:u w:val="single"/>
    </w:rPr>
  </w:style>
  <w:style w:type="character" w:customStyle="1" w:styleId="15">
    <w:name w:val="כותר הספר1"/>
    <w:basedOn w:val="a0"/>
    <w:rsid w:val="00D33957"/>
    <w:rPr>
      <w:rFonts w:ascii="Cambria" w:hAnsi="Cambria" w:cs="Times New Roman"/>
      <w:b/>
      <w:i/>
      <w:sz w:val="24"/>
      <w:szCs w:val="24"/>
    </w:rPr>
  </w:style>
  <w:style w:type="character" w:customStyle="1" w:styleId="21">
    <w:name w:val="תו תו2"/>
    <w:basedOn w:val="a0"/>
    <w:uiPriority w:val="99"/>
    <w:rsid w:val="00D33957"/>
    <w:rPr>
      <w:rFonts w:cs="Times New Roman"/>
      <w:b/>
      <w:bCs/>
      <w:i/>
      <w:iCs/>
      <w:sz w:val="26"/>
      <w:szCs w:val="26"/>
      <w:lang w:val="en-US" w:eastAsia="en-US" w:bidi="he-IL"/>
    </w:rPr>
  </w:style>
  <w:style w:type="character" w:customStyle="1" w:styleId="16">
    <w:name w:val="טקסט מציין מיקום1"/>
    <w:basedOn w:val="a0"/>
    <w:semiHidden/>
    <w:rsid w:val="00D33957"/>
    <w:rPr>
      <w:rFonts w:cs="Times New Roman"/>
      <w:color w:val="808080"/>
    </w:rPr>
  </w:style>
  <w:style w:type="paragraph" w:styleId="af1">
    <w:name w:val="Subtitle"/>
    <w:basedOn w:val="a"/>
    <w:next w:val="a"/>
    <w:link w:val="af2"/>
    <w:qFormat/>
    <w:rsid w:val="00D33957"/>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D33957"/>
    <w:rPr>
      <w:rFonts w:ascii="Cambria" w:eastAsia="Calibri" w:hAnsi="Cambria" w:cs="Times New Roman"/>
    </w:rPr>
  </w:style>
  <w:style w:type="character" w:styleId="af3">
    <w:name w:val="Strong"/>
    <w:basedOn w:val="a0"/>
    <w:qFormat/>
    <w:rsid w:val="00D33957"/>
    <w:rPr>
      <w:rFonts w:cs="Times New Roman"/>
      <w:b/>
      <w:bCs/>
    </w:rPr>
  </w:style>
  <w:style w:type="character" w:styleId="af4">
    <w:name w:val="Emphasis"/>
    <w:basedOn w:val="a0"/>
    <w:qFormat/>
    <w:rsid w:val="00D33957"/>
    <w:rPr>
      <w:rFonts w:ascii="Calibri" w:hAnsi="Calibri" w:cs="Times New Roman"/>
      <w:b/>
      <w:i/>
      <w:iCs/>
    </w:rPr>
  </w:style>
  <w:style w:type="paragraph" w:customStyle="1" w:styleId="17">
    <w:name w:val="הצעת מחיר1"/>
    <w:basedOn w:val="a"/>
    <w:next w:val="a"/>
    <w:link w:val="QuoteChar"/>
    <w:rsid w:val="00D33957"/>
    <w:pPr>
      <w:bidi w:val="0"/>
      <w:spacing w:after="0" w:line="240" w:lineRule="auto"/>
    </w:pPr>
    <w:rPr>
      <w:rFonts w:eastAsia="Calibri" w:cs="Times New Roman"/>
      <w:i/>
      <w:sz w:val="24"/>
      <w:szCs w:val="24"/>
    </w:rPr>
  </w:style>
  <w:style w:type="character" w:customStyle="1" w:styleId="QuoteChar">
    <w:name w:val="Quote Char"/>
    <w:basedOn w:val="a0"/>
    <w:link w:val="17"/>
    <w:locked/>
    <w:rsid w:val="00D33957"/>
    <w:rPr>
      <w:rFonts w:ascii="Calibri" w:eastAsia="Calibri" w:hAnsi="Calibri" w:cs="Times New Roman"/>
      <w:i/>
    </w:rPr>
  </w:style>
  <w:style w:type="paragraph" w:customStyle="1" w:styleId="18">
    <w:name w:val="הצעת מחיר חזקה1"/>
    <w:basedOn w:val="a"/>
    <w:next w:val="a"/>
    <w:link w:val="IntenseQuoteChar"/>
    <w:rsid w:val="00D33957"/>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D33957"/>
    <w:rPr>
      <w:rFonts w:ascii="Calibri" w:eastAsia="Calibri" w:hAnsi="Calibri" w:cs="Times New Roman"/>
      <w:b/>
      <w:i/>
      <w:szCs w:val="22"/>
    </w:rPr>
  </w:style>
  <w:style w:type="character" w:customStyle="1" w:styleId="19">
    <w:name w:val="הדגשה מעודנת1"/>
    <w:rsid w:val="00D33957"/>
    <w:rPr>
      <w:i/>
      <w:color w:val="5A5A5A"/>
    </w:rPr>
  </w:style>
  <w:style w:type="character" w:customStyle="1" w:styleId="1a">
    <w:name w:val="הפניה חזקה1"/>
    <w:basedOn w:val="a0"/>
    <w:rsid w:val="00D33957"/>
    <w:rPr>
      <w:rFonts w:cs="Times New Roman"/>
      <w:b/>
      <w:sz w:val="24"/>
      <w:u w:val="single"/>
    </w:rPr>
  </w:style>
  <w:style w:type="paragraph" w:customStyle="1" w:styleId="1b">
    <w:name w:val="כותרת תוכן עניינים1"/>
    <w:basedOn w:val="1"/>
    <w:next w:val="a"/>
    <w:semiHidden/>
    <w:rsid w:val="00D33957"/>
    <w:pPr>
      <w:bidi w:val="0"/>
      <w:outlineLvl w:val="9"/>
    </w:pPr>
  </w:style>
  <w:style w:type="table" w:styleId="af5">
    <w:name w:val="Table Grid"/>
    <w:basedOn w:val="a1"/>
    <w:rsid w:val="00D33957"/>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כותרת מאמר"/>
    <w:basedOn w:val="a"/>
    <w:uiPriority w:val="99"/>
    <w:rsid w:val="0099620A"/>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3985</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2010-10-14T07:57:00Z</cp:lastPrinted>
  <dcterms:created xsi:type="dcterms:W3CDTF">2010-12-12T11:41:00Z</dcterms:created>
  <dcterms:modified xsi:type="dcterms:W3CDTF">2010-12-12T11:41:00Z</dcterms:modified>
</cp:coreProperties>
</file>