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F36" w:rsidRPr="00622F36" w:rsidRDefault="00622F36" w:rsidP="00622F36">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622F36">
        <w:rPr>
          <w:rFonts w:ascii="David" w:eastAsiaTheme="minorHAnsi" w:hAnsiTheme="minorHAnsi" w:cs="David" w:hint="cs"/>
          <w:b/>
          <w:bCs/>
          <w:color w:val="000000"/>
          <w:sz w:val="32"/>
          <w:szCs w:val="32"/>
          <w:rtl/>
        </w:rPr>
        <w:t>מקרקעי תעש</w:t>
      </w:r>
    </w:p>
    <w:p w:rsidR="00622F36" w:rsidRPr="00622F36" w:rsidRDefault="00622F36" w:rsidP="00622F36">
      <w:pPr>
        <w:suppressAutoHyphens/>
        <w:autoSpaceDE w:val="0"/>
        <w:autoSpaceDN w:val="0"/>
        <w:adjustRightInd w:val="0"/>
        <w:spacing w:after="0" w:line="360" w:lineRule="auto"/>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הגופים המבוקרים:משרד הביטחון, תעשייה צבאית (</w:t>
      </w:r>
      <w:proofErr w:type="spellStart"/>
      <w:r w:rsidRPr="00622F36">
        <w:rPr>
          <w:rFonts w:ascii="David" w:eastAsiaTheme="minorHAnsi" w:hAnsiTheme="minorHAnsi" w:cs="David" w:hint="cs"/>
          <w:b/>
          <w:bCs/>
          <w:color w:val="000000"/>
          <w:sz w:val="24"/>
          <w:szCs w:val="24"/>
          <w:rtl/>
        </w:rPr>
        <w:t>תע"ש</w:t>
      </w:r>
      <w:proofErr w:type="spellEnd"/>
      <w:r w:rsidRPr="00622F36">
        <w:rPr>
          <w:rFonts w:ascii="David" w:eastAsiaTheme="minorHAnsi" w:hAnsiTheme="minorHAnsi" w:cs="David" w:hint="cs"/>
          <w:b/>
          <w:bCs/>
          <w:color w:val="000000"/>
          <w:sz w:val="24"/>
          <w:szCs w:val="24"/>
          <w:rtl/>
        </w:rPr>
        <w:t>), מינהל מקרקעי ישראל, המשרד להגנת הסביבה</w:t>
      </w:r>
    </w:p>
    <w:p w:rsidR="00622F36" w:rsidRPr="00622F36" w:rsidRDefault="00622F36" w:rsidP="00622F36">
      <w:pPr>
        <w:autoSpaceDE w:val="0"/>
        <w:autoSpaceDN w:val="0"/>
        <w:adjustRightInd w:val="0"/>
        <w:spacing w:after="0" w:line="360" w:lineRule="auto"/>
        <w:ind w:left="12"/>
        <w:jc w:val="both"/>
        <w:textAlignment w:val="center"/>
        <w:rPr>
          <w:rFonts w:ascii="David" w:eastAsiaTheme="minorHAnsi" w:hAnsiTheme="minorHAnsi" w:cs="David"/>
          <w:b/>
          <w:bCs/>
          <w:color w:val="000000"/>
          <w:szCs w:val="24"/>
          <w:rtl/>
        </w:rPr>
      </w:pPr>
    </w:p>
    <w:p w:rsidR="00622F36" w:rsidRPr="00622F36" w:rsidRDefault="00622F36" w:rsidP="00622F36">
      <w:pPr>
        <w:autoSpaceDE w:val="0"/>
        <w:autoSpaceDN w:val="0"/>
        <w:adjustRightInd w:val="0"/>
        <w:spacing w:after="0" w:line="360" w:lineRule="auto"/>
        <w:ind w:left="12"/>
        <w:jc w:val="both"/>
        <w:textAlignment w:val="center"/>
        <w:rPr>
          <w:rFonts w:ascii="David" w:eastAsiaTheme="minorHAnsi" w:hAnsiTheme="minorHAnsi" w:cs="David"/>
          <w:b/>
          <w:bCs/>
          <w:color w:val="000000"/>
          <w:szCs w:val="24"/>
          <w:rtl/>
        </w:rPr>
      </w:pPr>
      <w:r w:rsidRPr="00622F36">
        <w:rPr>
          <w:rFonts w:ascii="David" w:eastAsiaTheme="minorHAnsi" w:hAnsiTheme="minorHAnsi" w:cs="David" w:hint="cs"/>
          <w:b/>
          <w:bCs/>
          <w:color w:val="000000"/>
          <w:szCs w:val="24"/>
          <w:rtl/>
        </w:rPr>
        <w:t>ליקוי</w:t>
      </w:r>
    </w:p>
    <w:p w:rsidR="00622F36" w:rsidRPr="00622F36" w:rsidRDefault="00622F36" w:rsidP="00622F36">
      <w:pPr>
        <w:autoSpaceDE w:val="0"/>
        <w:autoSpaceDN w:val="0"/>
        <w:adjustRightInd w:val="0"/>
        <w:spacing w:after="0" w:line="360" w:lineRule="auto"/>
        <w:ind w:left="12"/>
        <w:jc w:val="both"/>
        <w:textAlignment w:val="center"/>
        <w:rPr>
          <w:rFonts w:ascii="David" w:eastAsiaTheme="minorHAnsi" w:hAnsiTheme="minorHAnsi" w:cs="David"/>
          <w:b/>
          <w:bCs/>
          <w:color w:val="000000"/>
          <w:szCs w:val="24"/>
          <w:rtl/>
        </w:rPr>
      </w:pPr>
    </w:p>
    <w:p w:rsidR="00622F36" w:rsidRPr="00622F36" w:rsidRDefault="00622F36" w:rsidP="00622F36">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1. </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גם בחלוף כארבע שנים ממועד הביקורת הקודמת לא נערכו סקרי הקרקע הדרושים במתחמי תעש ולא בוצע טיפול מקיף בזיהומים הקיימים בהם. משרד האוצר, המשרד להגנת הסביבה, הרשות הממשלתית למים ולביוב (רשות המים), המינהל ותעש כשלו בטיפול בזיהום הקרקע שבמתחמי תעש ובזיהום מי התהום. גם הטיפול בנזקי איכות הסביבה במקרקעי תעש, שנועד להתבצע במסגרת יישום החלטת הממשלה מאוגוסט 2005 להפריט את תעש, לא התבצע, נוכח העיכוב המתמשך בתהליך ההפרטה, שאין לדעת מתי ייצא אל הפועל. </w:t>
      </w: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מעקב</w:t>
      </w:r>
    </w:p>
    <w:p w:rsidR="00622F36" w:rsidRPr="00622F36" w:rsidRDefault="00622F36" w:rsidP="00622F36">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משרד הביטחון</w:t>
      </w:r>
    </w:p>
    <w:p w:rsidR="00622F36" w:rsidRPr="00622F36" w:rsidRDefault="00622F36" w:rsidP="00622F36">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1.</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נושא זיהומי הקרקע בקרקעות </w:t>
      </w:r>
      <w:proofErr w:type="spellStart"/>
      <w:r w:rsidRPr="00622F36">
        <w:rPr>
          <w:rFonts w:ascii="David" w:eastAsiaTheme="minorHAnsi" w:hAnsiTheme="minorHAnsi" w:cs="David" w:hint="cs"/>
          <w:color w:val="000000"/>
          <w:sz w:val="24"/>
          <w:szCs w:val="24"/>
          <w:rtl/>
        </w:rPr>
        <w:t>תע"ש</w:t>
      </w:r>
      <w:proofErr w:type="spellEnd"/>
      <w:r w:rsidRPr="00622F36">
        <w:rPr>
          <w:rFonts w:ascii="David" w:eastAsiaTheme="minorHAnsi" w:hAnsiTheme="minorHAnsi" w:cs="David" w:hint="cs"/>
          <w:color w:val="000000"/>
          <w:sz w:val="24"/>
          <w:szCs w:val="24"/>
          <w:rtl/>
        </w:rPr>
        <w:t xml:space="preserve"> – אינו מטופל על ידי המשרד -אגף </w:t>
      </w:r>
      <w:proofErr w:type="spellStart"/>
      <w:r w:rsidRPr="00622F36">
        <w:rPr>
          <w:rFonts w:ascii="David" w:eastAsiaTheme="minorHAnsi" w:hAnsiTheme="minorHAnsi" w:cs="David" w:hint="cs"/>
          <w:color w:val="000000"/>
          <w:sz w:val="24"/>
          <w:szCs w:val="24"/>
          <w:rtl/>
        </w:rPr>
        <w:t>אמו"ן</w:t>
      </w:r>
      <w:proofErr w:type="spellEnd"/>
      <w:r w:rsidRPr="00622F36">
        <w:rPr>
          <w:rFonts w:ascii="David" w:eastAsiaTheme="minorHAnsi" w:hAnsiTheme="minorHAnsi" w:cs="David" w:hint="cs"/>
          <w:color w:val="000000"/>
          <w:sz w:val="24"/>
          <w:szCs w:val="24"/>
          <w:rtl/>
        </w:rPr>
        <w:t xml:space="preserve">, הנושא מצוי באחריות החברה (תעש). לגבי פינוי הנפלים העיליים </w:t>
      </w:r>
      <w:proofErr w:type="spellStart"/>
      <w:r w:rsidRPr="00622F36">
        <w:rPr>
          <w:rFonts w:ascii="David" w:eastAsiaTheme="minorHAnsi" w:hAnsiTheme="minorHAnsi" w:cs="David" w:hint="cs"/>
          <w:color w:val="000000"/>
          <w:sz w:val="24"/>
          <w:szCs w:val="24"/>
          <w:rtl/>
        </w:rPr>
        <w:t>מנה"ר</w:t>
      </w:r>
      <w:proofErr w:type="spellEnd"/>
      <w:r w:rsidRPr="00622F36">
        <w:rPr>
          <w:rFonts w:ascii="David" w:eastAsiaTheme="minorHAnsi" w:hAnsiTheme="minorHAnsi" w:cs="David" w:hint="cs"/>
          <w:color w:val="000000"/>
          <w:sz w:val="24"/>
          <w:szCs w:val="24"/>
          <w:rtl/>
        </w:rPr>
        <w:t xml:space="preserve"> מנהל את ההתקשרות עם </w:t>
      </w:r>
      <w:proofErr w:type="spellStart"/>
      <w:r w:rsidRPr="00622F36">
        <w:rPr>
          <w:rFonts w:ascii="David" w:eastAsiaTheme="minorHAnsi" w:hAnsiTheme="minorHAnsi" w:cs="David" w:hint="cs"/>
          <w:color w:val="000000"/>
          <w:sz w:val="24"/>
          <w:szCs w:val="24"/>
          <w:rtl/>
        </w:rPr>
        <w:t>התע"ש</w:t>
      </w:r>
      <w:proofErr w:type="spellEnd"/>
      <w:r w:rsidRPr="00622F36">
        <w:rPr>
          <w:rFonts w:ascii="David" w:eastAsiaTheme="minorHAnsi" w:hAnsiTheme="minorHAnsi" w:cs="David" w:hint="cs"/>
          <w:color w:val="000000"/>
          <w:sz w:val="24"/>
          <w:szCs w:val="24"/>
          <w:rtl/>
        </w:rPr>
        <w:t>. באשר לפינוי הנפלים הקבורים בעומק השטח, ולרלבנטיות כריית החול באתר (בין היתר למימון הוצאות תפעוליות שוטפות, ככל והנושא יעלה), המצב התכנוני הנוכחי אינו מאפשר כרייה של חול ושיווקו על ידי מינהל מקרקעי ישראל. לפיכך, נדרש וטיפל מנכ"ל המשרד בהקצאת משאבים פנימיים לפינוי הנפלים העיליים אשר היוו את עיקר הבעיה הבטיחותית והביטחונית.</w:t>
      </w: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עבודת מטה בגין הליכי ההפרטה של תעש עליהם הוחלט, הביאו להקמת צוותי גיבוש בהם מעורבים כלל גורמי המטה במערכת הביטחון בדגש על היועץ הכלכלי למערכת הביטחון, לרבות ניתוח משמעויות והתחשבנות על כל מרכיב ומרכיב. עבודת מטה זו תוצג למנכ"ל המשרד במהלך חציון ב' 2010.</w:t>
      </w:r>
    </w:p>
    <w:p w:rsidR="00622F36" w:rsidRPr="00622F36" w:rsidRDefault="00622F36" w:rsidP="00622F36">
      <w:pPr>
        <w:suppressAutoHyphens/>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ראה הערות רה"מ </w:t>
      </w:r>
      <w:proofErr w:type="spellStart"/>
      <w:r w:rsidRPr="00622F36">
        <w:rPr>
          <w:rFonts w:ascii="David" w:eastAsiaTheme="minorHAnsi" w:hAnsiTheme="minorHAnsi" w:cs="David" w:hint="cs"/>
          <w:color w:val="000000"/>
          <w:sz w:val="24"/>
          <w:szCs w:val="24"/>
          <w:rtl/>
        </w:rPr>
        <w:t>60א</w:t>
      </w:r>
      <w:proofErr w:type="spellEnd"/>
      <w:r w:rsidRPr="00622F36">
        <w:rPr>
          <w:rFonts w:ascii="David" w:eastAsiaTheme="minorHAnsi" w:hAnsiTheme="minorHAnsi" w:cs="David" w:hint="cs"/>
          <w:color w:val="000000"/>
          <w:sz w:val="24"/>
          <w:szCs w:val="24"/>
          <w:rtl/>
        </w:rPr>
        <w:t xml:space="preserve">' </w:t>
      </w:r>
      <w:proofErr w:type="spellStart"/>
      <w:r w:rsidRPr="00622F36">
        <w:rPr>
          <w:rFonts w:ascii="David" w:eastAsiaTheme="minorHAnsi" w:hAnsiTheme="minorHAnsi" w:cs="David" w:hint="cs"/>
          <w:color w:val="000000"/>
          <w:sz w:val="24"/>
          <w:szCs w:val="24"/>
          <w:rtl/>
        </w:rPr>
        <w:t>עמ</w:t>
      </w:r>
      <w:proofErr w:type="spellEnd"/>
      <w:r w:rsidRPr="00622F36">
        <w:rPr>
          <w:rFonts w:ascii="David" w:eastAsiaTheme="minorHAnsi" w:hAnsiTheme="minorHAnsi" w:cs="David" w:hint="cs"/>
          <w:color w:val="000000"/>
          <w:sz w:val="24"/>
          <w:szCs w:val="24"/>
          <w:rtl/>
        </w:rPr>
        <w:t>' 66.</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622F36">
        <w:rPr>
          <w:rFonts w:ascii="David" w:eastAsiaTheme="minorHAnsi" w:hAnsiTheme="minorHAnsi" w:cs="David" w:hint="cs"/>
          <w:b/>
          <w:bCs/>
          <w:color w:val="000000"/>
          <w:szCs w:val="24"/>
          <w:rtl/>
        </w:rPr>
        <w:t>ליקוי</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622F36" w:rsidRPr="00622F36" w:rsidRDefault="00622F36" w:rsidP="00622F36">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2. </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בביקורת הקודמת נמצא, כי תעש פינתה בשנות התשעים מתחמים </w:t>
      </w:r>
      <w:proofErr w:type="spellStart"/>
      <w:r w:rsidRPr="00622F36">
        <w:rPr>
          <w:rFonts w:ascii="David" w:eastAsiaTheme="minorHAnsi" w:hAnsiTheme="minorHAnsi" w:cs="David" w:hint="cs"/>
          <w:color w:val="000000"/>
          <w:sz w:val="24"/>
          <w:szCs w:val="24"/>
          <w:rtl/>
        </w:rPr>
        <w:t>בהרצליה</w:t>
      </w:r>
      <w:proofErr w:type="spellEnd"/>
      <w:r w:rsidRPr="00622F36">
        <w:rPr>
          <w:rFonts w:ascii="David" w:eastAsiaTheme="minorHAnsi" w:hAnsiTheme="minorHAnsi" w:cs="David" w:hint="cs"/>
          <w:color w:val="000000"/>
          <w:sz w:val="24"/>
          <w:szCs w:val="24"/>
          <w:rtl/>
        </w:rPr>
        <w:t>, בתל-אביב ובירושלים, אך המינהל לא קיבל אותם ממנה. כך אין בפועל אחראי לקרקע, שומר עליה או מאתר מקרי פלישה והסגת גבול. בביקורת המעקב נמצא, כי ליקויים אלו לא תוקנו.</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מעקב</w:t>
      </w:r>
    </w:p>
    <w:p w:rsidR="00622F36" w:rsidRPr="00622F36" w:rsidRDefault="00622F36" w:rsidP="00622F36">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תעשייה צבאית</w:t>
      </w:r>
    </w:p>
    <w:p w:rsidR="00622F36" w:rsidRPr="00622F36" w:rsidRDefault="00622F36" w:rsidP="00622F36">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622F36" w:rsidRPr="00622F36" w:rsidRDefault="00622F36" w:rsidP="00622F36">
      <w:pPr>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2.</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לא דווח על התקדמות בתיקון הליקוי.</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622F36">
        <w:rPr>
          <w:rFonts w:ascii="David" w:eastAsiaTheme="minorHAnsi" w:hAnsiTheme="minorHAnsi" w:cs="David" w:hint="cs"/>
          <w:b/>
          <w:bCs/>
          <w:color w:val="000000"/>
          <w:szCs w:val="24"/>
          <w:rtl/>
        </w:rPr>
        <w:t>ליקוי</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622F36" w:rsidRPr="00622F36" w:rsidRDefault="00622F36" w:rsidP="00622F36">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3. </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הנהלת המינהל לא העלתה בפני מועצת מקרקעי ישראל את סוגיית השמירה, האחזקה והפיקוח על קרקעות שתעש פינתה. ממילא המועצה לא קיבלה החלטות בעניין זה או בעניין החזקת המינהל בקרקעות שפונו. זאת למרות הדיווח של המינהל לוועדה לענייני ביקורת המדינה בדצמבר 2004, שייעשה כן בעקבות ממצאי הביקורת הקודמת. </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מעקב</w:t>
      </w:r>
    </w:p>
    <w:p w:rsidR="00622F36" w:rsidRPr="00622F36" w:rsidRDefault="00622F36" w:rsidP="00622F36">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מינהל מקרקעי ישראל</w:t>
      </w:r>
    </w:p>
    <w:p w:rsidR="00622F36" w:rsidRPr="00622F36" w:rsidRDefault="00622F36" w:rsidP="00622F36">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622F36" w:rsidRPr="00622F36" w:rsidRDefault="00622F36" w:rsidP="00622F36">
      <w:pPr>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3.</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לא דווח על התקדמות בתיקון הליקוי. ראה הערות רה"מ </w:t>
      </w:r>
      <w:proofErr w:type="spellStart"/>
      <w:r w:rsidRPr="00622F36">
        <w:rPr>
          <w:rFonts w:ascii="David" w:eastAsiaTheme="minorHAnsi" w:hAnsiTheme="minorHAnsi" w:cs="David" w:hint="cs"/>
          <w:color w:val="000000"/>
          <w:sz w:val="24"/>
          <w:szCs w:val="24"/>
          <w:rtl/>
        </w:rPr>
        <w:t>60א</w:t>
      </w:r>
      <w:proofErr w:type="spellEnd"/>
      <w:r w:rsidRPr="00622F36">
        <w:rPr>
          <w:rFonts w:ascii="David" w:eastAsiaTheme="minorHAnsi" w:hAnsiTheme="minorHAnsi" w:cs="David" w:hint="cs"/>
          <w:color w:val="000000"/>
          <w:sz w:val="24"/>
          <w:szCs w:val="24"/>
          <w:rtl/>
        </w:rPr>
        <w:t xml:space="preserve">' </w:t>
      </w:r>
      <w:proofErr w:type="spellStart"/>
      <w:r w:rsidRPr="00622F36">
        <w:rPr>
          <w:rFonts w:ascii="David" w:eastAsiaTheme="minorHAnsi" w:hAnsiTheme="minorHAnsi" w:cs="David" w:hint="cs"/>
          <w:color w:val="000000"/>
          <w:sz w:val="24"/>
          <w:szCs w:val="24"/>
          <w:rtl/>
        </w:rPr>
        <w:t>עמ</w:t>
      </w:r>
      <w:proofErr w:type="spellEnd"/>
      <w:r w:rsidRPr="00622F36">
        <w:rPr>
          <w:rFonts w:ascii="David" w:eastAsiaTheme="minorHAnsi" w:hAnsiTheme="minorHAnsi" w:cs="David" w:hint="cs"/>
          <w:color w:val="000000"/>
          <w:sz w:val="24"/>
          <w:szCs w:val="24"/>
          <w:rtl/>
        </w:rPr>
        <w:t>' 67.</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622F36">
        <w:rPr>
          <w:rFonts w:ascii="David" w:eastAsiaTheme="minorHAnsi" w:hAnsiTheme="minorHAnsi" w:cs="David" w:hint="cs"/>
          <w:b/>
          <w:bCs/>
          <w:color w:val="000000"/>
          <w:szCs w:val="24"/>
          <w:rtl/>
        </w:rPr>
        <w:t>ליקוי</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622F36" w:rsidRPr="00622F36" w:rsidRDefault="00622F36" w:rsidP="00622F36">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4. </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בעקבות הביקורת הקודמת החליטה הממשלה באוקטובר 2004, כי המינהל, </w:t>
      </w:r>
      <w:proofErr w:type="spellStart"/>
      <w:r w:rsidRPr="00622F36">
        <w:rPr>
          <w:rFonts w:ascii="David" w:eastAsiaTheme="minorHAnsi" w:hAnsiTheme="minorHAnsi" w:cs="David" w:hint="cs"/>
          <w:color w:val="000000"/>
          <w:sz w:val="24"/>
          <w:szCs w:val="24"/>
          <w:rtl/>
        </w:rPr>
        <w:t>משהב"ט</w:t>
      </w:r>
      <w:proofErr w:type="spellEnd"/>
      <w:r w:rsidRPr="00622F36">
        <w:rPr>
          <w:rFonts w:ascii="David" w:eastAsiaTheme="minorHAnsi" w:hAnsiTheme="minorHAnsi" w:cs="David" w:hint="cs"/>
          <w:color w:val="000000"/>
          <w:sz w:val="24"/>
          <w:szCs w:val="24"/>
          <w:rtl/>
        </w:rPr>
        <w:t xml:space="preserve">, תעש והמשרד להגנת הסביבה יגבשו תכנית לניקוי מתחם מסוים מתחמושת, נפלים וכל פסולת אחרת. בביקורת המעקב נמצא, כי גורמים אלה לא הגיעו לכלל תכנית מוסכמת, לרבות המקורות הכספיים הדרושים להוצאה לפועל של תכנית כזו. </w:t>
      </w:r>
    </w:p>
    <w:p w:rsidR="00622F36" w:rsidRPr="00622F36" w:rsidRDefault="00622F36" w:rsidP="00622F36">
      <w:pPr>
        <w:autoSpaceDE w:val="0"/>
        <w:autoSpaceDN w:val="0"/>
        <w:adjustRightInd w:val="0"/>
        <w:spacing w:after="0" w:line="288" w:lineRule="auto"/>
        <w:ind w:left="1134" w:hanging="1134"/>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622F36">
        <w:rPr>
          <w:rFonts w:ascii="David" w:eastAsiaTheme="minorHAnsi" w:hAnsiTheme="minorHAnsi" w:cs="David" w:hint="cs"/>
          <w:b/>
          <w:bCs/>
          <w:color w:val="000000"/>
          <w:szCs w:val="24"/>
          <w:rtl/>
        </w:rPr>
        <w:t>ליקוי</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622F36" w:rsidRPr="00622F36" w:rsidRDefault="00622F36" w:rsidP="00622F36">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5. </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בדצמבר 2004 דיווח </w:t>
      </w:r>
      <w:proofErr w:type="spellStart"/>
      <w:r w:rsidRPr="00622F36">
        <w:rPr>
          <w:rFonts w:ascii="David" w:eastAsiaTheme="minorHAnsi" w:hAnsiTheme="minorHAnsi" w:cs="David" w:hint="cs"/>
          <w:color w:val="000000"/>
          <w:sz w:val="24"/>
          <w:szCs w:val="24"/>
          <w:rtl/>
        </w:rPr>
        <w:t>משהב"ט</w:t>
      </w:r>
      <w:proofErr w:type="spellEnd"/>
      <w:r w:rsidRPr="00622F36">
        <w:rPr>
          <w:rFonts w:ascii="David" w:eastAsiaTheme="minorHAnsi" w:hAnsiTheme="minorHAnsi" w:cs="David" w:hint="cs"/>
          <w:color w:val="000000"/>
          <w:sz w:val="24"/>
          <w:szCs w:val="24"/>
          <w:rtl/>
        </w:rPr>
        <w:t xml:space="preserve"> לוועדה לענייני ביקורת המדינה של הכנסת, כי "אין גניבה בשטח [הנפלים</w:t>
      </w:r>
      <w:proofErr w:type="spellStart"/>
      <w:r w:rsidRPr="00622F36">
        <w:rPr>
          <w:rFonts w:ascii="David" w:eastAsiaTheme="minorHAnsi" w:hAnsiTheme="minorHAnsi" w:cs="David" w:hint="cs"/>
          <w:color w:val="000000"/>
          <w:sz w:val="24"/>
          <w:szCs w:val="24"/>
          <w:rtl/>
        </w:rPr>
        <w:t>]".</w:t>
      </w:r>
      <w:proofErr w:type="spellEnd"/>
      <w:r w:rsidRPr="00622F36">
        <w:rPr>
          <w:rFonts w:ascii="David" w:eastAsiaTheme="minorHAnsi" w:hAnsiTheme="minorHAnsi" w:cs="David" w:hint="cs"/>
          <w:color w:val="000000"/>
          <w:sz w:val="24"/>
          <w:szCs w:val="24"/>
          <w:rtl/>
        </w:rPr>
        <w:t xml:space="preserve"> בביקורת המעקב נמצא, כי אבטחת שטח הנפלים, שהחלה במהלך הביקורת הקודמת בנובמבר 2003, לא מנעה באופן מספק כניסה של בלתי מורשים לשטח, ועל פי מסמך של הממונה על הביטחון במערכת הביטחון (להלן - </w:t>
      </w:r>
      <w:proofErr w:type="spellStart"/>
      <w:r w:rsidRPr="00622F36">
        <w:rPr>
          <w:rFonts w:ascii="David" w:eastAsiaTheme="minorHAnsi" w:hAnsiTheme="minorHAnsi" w:cs="David" w:hint="cs"/>
          <w:color w:val="000000"/>
          <w:sz w:val="24"/>
          <w:szCs w:val="24"/>
          <w:rtl/>
        </w:rPr>
        <w:t>מלמ"ב</w:t>
      </w:r>
      <w:proofErr w:type="spellEnd"/>
      <w:r w:rsidRPr="00622F36">
        <w:rPr>
          <w:rFonts w:ascii="David" w:eastAsiaTheme="minorHAnsi" w:hAnsiTheme="minorHAnsi" w:cs="David" w:hint="cs"/>
          <w:color w:val="000000"/>
          <w:sz w:val="24"/>
          <w:szCs w:val="24"/>
          <w:rtl/>
        </w:rPr>
        <w:t xml:space="preserve">) ממרס 2008, קרו מספר אירועים חריגים שבהם נגנבו חומרי נפץ מהמתחם. העובדות המתוארות מקבלות ממד חומרה נוסף על רקע סכנת העימות והטרור, שכן עדיין מתאפשר לגורמים עוינים ואחרים לגנוב אמצעי לחימה שעלולים לשמש למטרות טרור או למעשים פליליים. </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622F36">
        <w:rPr>
          <w:rFonts w:ascii="David" w:eastAsiaTheme="minorHAnsi" w:hAnsiTheme="minorHAnsi" w:cs="David" w:hint="cs"/>
          <w:b/>
          <w:bCs/>
          <w:color w:val="000000"/>
          <w:szCs w:val="24"/>
          <w:rtl/>
        </w:rPr>
        <w:t>ליקוי</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622F36" w:rsidRPr="00622F36" w:rsidRDefault="00622F36" w:rsidP="00622F36">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6. </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בביקורת המעקב נמצא, כי הפתרון הזמני, כשלושה חודשים, של אבטחת המתחם במימון </w:t>
      </w:r>
      <w:proofErr w:type="spellStart"/>
      <w:r w:rsidRPr="00622F36">
        <w:rPr>
          <w:rFonts w:ascii="David" w:eastAsiaTheme="minorHAnsi" w:hAnsiTheme="minorHAnsi" w:cs="David" w:hint="cs"/>
          <w:color w:val="000000"/>
          <w:sz w:val="24"/>
          <w:szCs w:val="24"/>
          <w:rtl/>
        </w:rPr>
        <w:t>משהב"ט</w:t>
      </w:r>
      <w:proofErr w:type="spellEnd"/>
      <w:r w:rsidRPr="00622F36">
        <w:rPr>
          <w:rFonts w:ascii="David" w:eastAsiaTheme="minorHAnsi" w:hAnsiTheme="minorHAnsi" w:cs="David" w:hint="cs"/>
          <w:color w:val="000000"/>
          <w:sz w:val="24"/>
          <w:szCs w:val="24"/>
          <w:rtl/>
        </w:rPr>
        <w:t xml:space="preserve">, שנכתב בהחלטת הממשלה מאוקטובר 2004, נמשך כבר מעל לארבע שנים. בפועל הסתכמו עלויות האבטחה של שטח הנפלים בכ-10.8 מיליון ש"ח בתקופה נובמבר 2003 - דצמבר 2008. עלות זו מהווה יותר ממחצית העלות לפינוי המערומים והנפלים העיליים שנאמדה </w:t>
      </w:r>
      <w:proofErr w:type="spellStart"/>
      <w:r w:rsidRPr="00622F36">
        <w:rPr>
          <w:rFonts w:ascii="David" w:eastAsiaTheme="minorHAnsi" w:hAnsiTheme="minorHAnsi" w:cs="David" w:hint="cs"/>
          <w:color w:val="000000"/>
          <w:sz w:val="24"/>
          <w:szCs w:val="24"/>
          <w:rtl/>
        </w:rPr>
        <w:t>במשהב"ט</w:t>
      </w:r>
      <w:proofErr w:type="spellEnd"/>
      <w:r w:rsidRPr="00622F36">
        <w:rPr>
          <w:rFonts w:ascii="David" w:eastAsiaTheme="minorHAnsi" w:hAnsiTheme="minorHAnsi" w:cs="David" w:hint="cs"/>
          <w:color w:val="000000"/>
          <w:sz w:val="24"/>
          <w:szCs w:val="24"/>
          <w:rtl/>
        </w:rPr>
        <w:t xml:space="preserve"> במרס 2008. אבטחת המתחם לאורך שנים ללא פינוי הנפלים מובילה לבזבוז מתמשך של כספי הציבור. </w:t>
      </w: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622F36">
        <w:rPr>
          <w:rFonts w:ascii="David" w:eastAsiaTheme="minorHAnsi" w:hAnsiTheme="minorHAnsi" w:cs="David" w:hint="cs"/>
          <w:b/>
          <w:bCs/>
          <w:color w:val="000000"/>
          <w:szCs w:val="24"/>
          <w:rtl/>
        </w:rPr>
        <w:t>ליקוי</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622F36" w:rsidRPr="00622F36" w:rsidRDefault="00622F36" w:rsidP="00622F36">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7. </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בהערות ראש הממשלה מאוקטובר 2004 לדוח שנתי 55א של מבקר המדינה נכתב, כי פרויקט פינוי התחמושת והנפלים אמור לצאת לדרך, וכי בפברואר 2004 סיכמו תעש, המינהל </w:t>
      </w:r>
      <w:proofErr w:type="spellStart"/>
      <w:r w:rsidRPr="00622F36">
        <w:rPr>
          <w:rFonts w:ascii="David" w:eastAsiaTheme="minorHAnsi" w:hAnsiTheme="minorHAnsi" w:cs="David" w:hint="cs"/>
          <w:color w:val="000000"/>
          <w:sz w:val="24"/>
          <w:szCs w:val="24"/>
          <w:rtl/>
        </w:rPr>
        <w:t>ומשהב"ט</w:t>
      </w:r>
      <w:proofErr w:type="spellEnd"/>
      <w:r w:rsidRPr="00622F36">
        <w:rPr>
          <w:rFonts w:ascii="David" w:eastAsiaTheme="minorHAnsi" w:hAnsiTheme="minorHAnsi" w:cs="David" w:hint="cs"/>
          <w:color w:val="000000"/>
          <w:sz w:val="24"/>
          <w:szCs w:val="24"/>
          <w:rtl/>
        </w:rPr>
        <w:t xml:space="preserve"> את דרך הטיפול במתחם. בביקורת המעקב נמצא, כי המשא ומתן בין תעש למינהל לפינוי המתחם לרבות שטח הנפלים נמשך כשנתיים נוספות עד יולי 2006, חלקו נערך בהשתתפות </w:t>
      </w:r>
      <w:proofErr w:type="spellStart"/>
      <w:r w:rsidRPr="00622F36">
        <w:rPr>
          <w:rFonts w:ascii="David" w:eastAsiaTheme="minorHAnsi" w:hAnsiTheme="minorHAnsi" w:cs="David" w:hint="cs"/>
          <w:color w:val="000000"/>
          <w:sz w:val="24"/>
          <w:szCs w:val="24"/>
          <w:rtl/>
        </w:rPr>
        <w:t>משהב"ט</w:t>
      </w:r>
      <w:proofErr w:type="spellEnd"/>
      <w:r w:rsidRPr="00622F36">
        <w:rPr>
          <w:rFonts w:ascii="David" w:eastAsiaTheme="minorHAnsi" w:hAnsiTheme="minorHAnsi" w:cs="David" w:hint="cs"/>
          <w:color w:val="000000"/>
          <w:sz w:val="24"/>
          <w:szCs w:val="24"/>
          <w:rtl/>
        </w:rPr>
        <w:t xml:space="preserve">, אך הוא לא הבשיל לכדי הסכם בין הצדדים. גם </w:t>
      </w:r>
      <w:proofErr w:type="spellStart"/>
      <w:r w:rsidRPr="00622F36">
        <w:rPr>
          <w:rFonts w:ascii="David" w:eastAsiaTheme="minorHAnsi" w:hAnsiTheme="minorHAnsi" w:cs="David" w:hint="cs"/>
          <w:color w:val="000000"/>
          <w:sz w:val="24"/>
          <w:szCs w:val="24"/>
          <w:rtl/>
        </w:rPr>
        <w:t>משהב"ט</w:t>
      </w:r>
      <w:proofErr w:type="spellEnd"/>
      <w:r w:rsidRPr="00622F36">
        <w:rPr>
          <w:rFonts w:ascii="David" w:eastAsiaTheme="minorHAnsi" w:hAnsiTheme="minorHAnsi" w:cs="David" w:hint="cs"/>
          <w:color w:val="000000"/>
          <w:sz w:val="24"/>
          <w:szCs w:val="24"/>
          <w:rtl/>
        </w:rPr>
        <w:t xml:space="preserve"> ותעש לא הגיעו להסכמה עד מאי 2008 על פינוי מערומי התחמושת העיליים בלבד. עד למועד סיום ביקורת המעקב בדצמבר 2008 טרם עלה בידי </w:t>
      </w:r>
      <w:proofErr w:type="spellStart"/>
      <w:r w:rsidRPr="00622F36">
        <w:rPr>
          <w:rFonts w:ascii="David" w:eastAsiaTheme="minorHAnsi" w:hAnsiTheme="minorHAnsi" w:cs="David" w:hint="cs"/>
          <w:color w:val="000000"/>
          <w:sz w:val="24"/>
          <w:szCs w:val="24"/>
          <w:rtl/>
        </w:rPr>
        <w:t>משהב"ט</w:t>
      </w:r>
      <w:proofErr w:type="spellEnd"/>
      <w:r w:rsidRPr="00622F36">
        <w:rPr>
          <w:rFonts w:ascii="David" w:eastAsiaTheme="minorHAnsi" w:hAnsiTheme="minorHAnsi" w:cs="David" w:hint="cs"/>
          <w:color w:val="000000"/>
          <w:sz w:val="24"/>
          <w:szCs w:val="24"/>
          <w:rtl/>
        </w:rPr>
        <w:t xml:space="preserve"> והמינהל להסכים על תכנית אופרטיבית לפינוי מתחם יבנה מהתחמושת ומהנפלים שבו.</w:t>
      </w: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מעקב</w:t>
      </w: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משרד הביטחון</w:t>
      </w: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4-7.</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להלן פרוט סטאטוס התקדמות תהליך פינוי שטח הנפלים:</w:t>
      </w: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א.</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נובמבר 2009:נחתם חוזה בין תעש למשרד הביטחון / מינהל ההרכשה.</w:t>
      </w:r>
    </w:p>
    <w:p w:rsidR="00622F36" w:rsidRPr="00622F36" w:rsidRDefault="00622F36" w:rsidP="00622F36">
      <w:pPr>
        <w:suppressAutoHyphens/>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lastRenderedPageBreak/>
        <w:t>ב.</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ינואר-אפריל 2010:</w:t>
      </w: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1) השלמת גדר ושילוט בהיקף שטח הנפלים.</w:t>
      </w:r>
    </w:p>
    <w:p w:rsidR="00622F36" w:rsidRPr="00622F36" w:rsidRDefault="00622F36" w:rsidP="00622F36">
      <w:pPr>
        <w:suppressAutoHyphens/>
        <w:autoSpaceDE w:val="0"/>
        <w:autoSpaceDN w:val="0"/>
        <w:adjustRightInd w:val="0"/>
        <w:spacing w:after="0" w:line="288" w:lineRule="auto"/>
        <w:ind w:left="1643" w:hanging="283"/>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 2) ביצוע ביקורות שוטפות למערך האבטחה על ידי ממונה הביטחון של הפרויקט והחטיבה לאבטחה פיזית </w:t>
      </w:r>
      <w:proofErr w:type="spellStart"/>
      <w:r w:rsidRPr="00622F36">
        <w:rPr>
          <w:rFonts w:ascii="David" w:eastAsiaTheme="minorHAnsi" w:hAnsiTheme="minorHAnsi" w:cs="David" w:hint="cs"/>
          <w:color w:val="000000"/>
          <w:sz w:val="24"/>
          <w:szCs w:val="24"/>
          <w:rtl/>
        </w:rPr>
        <w:t>במלמ"ב</w:t>
      </w:r>
      <w:proofErr w:type="spellEnd"/>
      <w:r w:rsidRPr="00622F36">
        <w:rPr>
          <w:rFonts w:ascii="David" w:eastAsiaTheme="minorHAnsi" w:hAnsiTheme="minorHAnsi" w:cs="David" w:hint="cs"/>
          <w:color w:val="000000"/>
          <w:sz w:val="24"/>
          <w:szCs w:val="24"/>
          <w:rtl/>
        </w:rPr>
        <w:t>.</w:t>
      </w: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3) רכש ציוד מיגון אישי ומיגון כללי.</w:t>
      </w: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4) הקמת שטח תפעולי.</w:t>
      </w: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5) כתיבת נהלי עבודה וסקר סיכונים.</w:t>
      </w: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6) קליטת שני צוותי יחידת סילוק פצצות.</w:t>
      </w:r>
    </w:p>
    <w:p w:rsidR="00622F36" w:rsidRPr="00622F36" w:rsidRDefault="00622F36" w:rsidP="00622F36">
      <w:pPr>
        <w:suppressAutoHyphens/>
        <w:autoSpaceDE w:val="0"/>
        <w:autoSpaceDN w:val="0"/>
        <w:adjustRightInd w:val="0"/>
        <w:spacing w:after="0" w:line="288" w:lineRule="auto"/>
        <w:ind w:left="1643" w:hanging="203"/>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7) תיאומים עם גורמי סיוע חיצוניים (מגן דוד אדום, כבאות אש, משטרת ישראל, רשויות מקומיות, צה"ל) כולל כתיבת פקודות לשיתוף פעולה וסיוע הדדי באירוע.</w:t>
      </w:r>
    </w:p>
    <w:p w:rsidR="00622F36" w:rsidRPr="00622F36" w:rsidRDefault="00622F36" w:rsidP="00622F36">
      <w:pPr>
        <w:tabs>
          <w:tab w:val="left" w:pos="1218"/>
        </w:tabs>
        <w:suppressAutoHyphens/>
        <w:autoSpaceDE w:val="0"/>
        <w:autoSpaceDN w:val="0"/>
        <w:adjustRightInd w:val="0"/>
        <w:spacing w:after="0" w:line="288" w:lineRule="auto"/>
        <w:ind w:left="1218"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ג.</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אפריל-מאי 2010:</w:t>
      </w: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1) פריצת דרכי גישה בתוך שטח הנפלים.</w:t>
      </w: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2) קליטת צוות </w:t>
      </w:r>
      <w:proofErr w:type="spellStart"/>
      <w:r w:rsidRPr="00622F36">
        <w:rPr>
          <w:rFonts w:ascii="David" w:eastAsiaTheme="minorHAnsi" w:hAnsiTheme="minorHAnsi" w:cs="David" w:hint="cs"/>
          <w:color w:val="000000"/>
          <w:sz w:val="24"/>
          <w:szCs w:val="24"/>
          <w:rtl/>
        </w:rPr>
        <w:t>יחס"פ</w:t>
      </w:r>
      <w:proofErr w:type="spellEnd"/>
      <w:r w:rsidRPr="00622F36">
        <w:rPr>
          <w:rFonts w:ascii="David" w:eastAsiaTheme="minorHAnsi" w:hAnsiTheme="minorHAnsi" w:cs="David" w:hint="cs"/>
          <w:color w:val="000000"/>
          <w:sz w:val="24"/>
          <w:szCs w:val="24"/>
          <w:rtl/>
        </w:rPr>
        <w:t xml:space="preserve"> (סילוק פצצות) נוסף. </w:t>
      </w:r>
    </w:p>
    <w:p w:rsidR="00622F36" w:rsidRPr="00622F36" w:rsidRDefault="00622F36" w:rsidP="00622F36">
      <w:pPr>
        <w:tabs>
          <w:tab w:val="left" w:pos="1218"/>
        </w:tabs>
        <w:suppressAutoHyphens/>
        <w:autoSpaceDE w:val="0"/>
        <w:autoSpaceDN w:val="0"/>
        <w:adjustRightInd w:val="0"/>
        <w:spacing w:after="0" w:line="288" w:lineRule="auto"/>
        <w:ind w:left="1218"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ד.</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אפריל-יוני 2010:</w:t>
      </w: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1) ניקוי גושים בחלוקה 50</w:t>
      </w:r>
      <w:r w:rsidRPr="00622F36">
        <w:rPr>
          <w:rFonts w:ascii="David" w:eastAsiaTheme="minorHAnsi" w:hAnsiTheme="minorHAnsi" w:cs="David" w:hint="cs"/>
          <w:color w:val="000000"/>
          <w:sz w:val="24"/>
          <w:szCs w:val="24"/>
        </w:rPr>
        <w:t>x</w:t>
      </w:r>
      <w:r w:rsidRPr="00622F36">
        <w:rPr>
          <w:rFonts w:ascii="David" w:eastAsiaTheme="minorHAnsi" w:hAnsiTheme="minorHAnsi" w:cs="David" w:hint="cs"/>
          <w:color w:val="000000"/>
          <w:sz w:val="24"/>
          <w:szCs w:val="24"/>
          <w:rtl/>
        </w:rPr>
        <w:t>50 מטר, עד כה בוצע ניקוי לשטח בהיקף של 100  דונם המהווים כ-25% מכלל שטח הנפלים.</w:t>
      </w: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2) קליטת צוות סילוק פצצות נוסף.</w:t>
      </w:r>
    </w:p>
    <w:p w:rsidR="00622F36" w:rsidRPr="00622F36" w:rsidRDefault="00622F36" w:rsidP="00622F36">
      <w:pPr>
        <w:autoSpaceDE w:val="0"/>
        <w:autoSpaceDN w:val="0"/>
        <w:adjustRightInd w:val="0"/>
        <w:spacing w:after="0" w:line="288" w:lineRule="auto"/>
        <w:ind w:left="566" w:hanging="566"/>
        <w:jc w:val="both"/>
        <w:textAlignment w:val="center"/>
        <w:rPr>
          <w:rFonts w:ascii="David" w:eastAsiaTheme="minorHAnsi" w:hAnsiTheme="minorHAnsi" w:cs="David"/>
          <w:color w:val="000000"/>
          <w:sz w:val="24"/>
          <w:szCs w:val="24"/>
          <w:rtl/>
        </w:rPr>
      </w:pP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להלן פירוט סטאטוס פינוי הנפלים העיליים - בסוף נובמבר 2009 נחתם חוזה בין משרד הביטחון לתעש לפינוי נפלים עיליים בשטח יבנה. הוקמה תשתית לפינוי לרבות ציוד וכן כוח אדם לפינוי. תעש פינה עד כה סדר גודל של כ- 100 דונם במטרה לסיים את העבודה עד דצמבר 2010. הפינוי בוצע עד כה תוך העברת נפלים מהשטח המנוקה לשטחים שטרם נוקו. החל מיוני 2010 יחל תעש לפנות נפלים מהשטח עצמו החוצה (בפינוי או פיצוץ). בדיון סטאטוס של מטה התוכנית שהוקם ייעודית לנושא זה סוכם כי כל מטען חריג או מצבור תחמושת יסומן בשטח וידווח למשרד הביטחון כולל מיקום על-גבי מפה. במידה ועל-פי שיקול דעתו של תעש קיים סיכון לעובדים במצבור התחמושת או במטען החריג, ידווח הנושא מיידית ובאופן פרטני למשרד לצורך קבלת החלטה מיידית. יש לציין כי לצורך העבודה תעש קיבלה רישוי עסק בטחוני ממשרד הפנים ועל-פי הודעת המפעל נערכה ביקורת שנמצאה תקינה. במסגרת ההסכם, התעשייה הצבאית תהיה אחראית גם לאבטחת המתחם עד להשלמת עבודת פינוי הנפלים שעמדו בבסיס הצורך באבטחה הפיזית. בנוסף מתקיים פיקוח עליון על העבודות, מטעם ספק שירותים אחר, למניעת ניגוד עניינים.</w:t>
      </w:r>
    </w:p>
    <w:p w:rsidR="00622F36" w:rsidRPr="00622F36" w:rsidRDefault="00622F36" w:rsidP="00622F36">
      <w:pPr>
        <w:suppressAutoHyphens/>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ראה הערות רה"מ </w:t>
      </w:r>
      <w:proofErr w:type="spellStart"/>
      <w:r w:rsidRPr="00622F36">
        <w:rPr>
          <w:rFonts w:ascii="David" w:eastAsiaTheme="minorHAnsi" w:hAnsiTheme="minorHAnsi" w:cs="David" w:hint="cs"/>
          <w:color w:val="000000"/>
          <w:sz w:val="24"/>
          <w:szCs w:val="24"/>
          <w:rtl/>
        </w:rPr>
        <w:t>60א</w:t>
      </w:r>
      <w:proofErr w:type="spellEnd"/>
      <w:r w:rsidRPr="00622F36">
        <w:rPr>
          <w:rFonts w:ascii="David" w:eastAsiaTheme="minorHAnsi" w:hAnsiTheme="minorHAnsi" w:cs="David" w:hint="cs"/>
          <w:color w:val="000000"/>
          <w:sz w:val="24"/>
          <w:szCs w:val="24"/>
          <w:rtl/>
        </w:rPr>
        <w:t xml:space="preserve">' </w:t>
      </w:r>
      <w:proofErr w:type="spellStart"/>
      <w:r w:rsidRPr="00622F36">
        <w:rPr>
          <w:rFonts w:ascii="David" w:eastAsiaTheme="minorHAnsi" w:hAnsiTheme="minorHAnsi" w:cs="David" w:hint="cs"/>
          <w:color w:val="000000"/>
          <w:sz w:val="24"/>
          <w:szCs w:val="24"/>
          <w:rtl/>
        </w:rPr>
        <w:t>עמ</w:t>
      </w:r>
      <w:proofErr w:type="spellEnd"/>
      <w:r w:rsidRPr="00622F36">
        <w:rPr>
          <w:rFonts w:ascii="David" w:eastAsiaTheme="minorHAnsi" w:hAnsiTheme="minorHAnsi" w:cs="David" w:hint="cs"/>
          <w:color w:val="000000"/>
          <w:sz w:val="24"/>
          <w:szCs w:val="24"/>
          <w:rtl/>
        </w:rPr>
        <w:t>' 68.</w:t>
      </w:r>
    </w:p>
    <w:p w:rsidR="00622F36" w:rsidRPr="00622F36" w:rsidRDefault="00622F36" w:rsidP="00622F36">
      <w:pPr>
        <w:autoSpaceDE w:val="0"/>
        <w:autoSpaceDN w:val="0"/>
        <w:adjustRightInd w:val="0"/>
        <w:spacing w:after="170" w:line="288" w:lineRule="auto"/>
        <w:ind w:left="12"/>
        <w:jc w:val="both"/>
        <w:textAlignment w:val="center"/>
        <w:rPr>
          <w:rFonts w:ascii="David" w:eastAsiaTheme="minorHAnsi" w:hAnsiTheme="minorHAnsi" w:cs="David"/>
          <w:b/>
          <w:bCs/>
          <w:color w:val="000000"/>
          <w:szCs w:val="24"/>
          <w:rtl/>
        </w:rPr>
      </w:pPr>
      <w:r w:rsidRPr="00622F36">
        <w:rPr>
          <w:rFonts w:ascii="David" w:eastAsiaTheme="minorHAnsi" w:hAnsiTheme="minorHAnsi" w:cs="David" w:hint="cs"/>
          <w:b/>
          <w:bCs/>
          <w:color w:val="000000"/>
          <w:szCs w:val="24"/>
          <w:rtl/>
        </w:rPr>
        <w:t>ליקוי</w:t>
      </w:r>
    </w:p>
    <w:p w:rsidR="00622F36" w:rsidRPr="00622F36" w:rsidRDefault="00622F36" w:rsidP="00622F36">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8.</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בביקורת המעקב נמצא, כי הדיווח שמסר ראש חטיבת נכסים </w:t>
      </w:r>
      <w:proofErr w:type="spellStart"/>
      <w:r w:rsidRPr="00622F36">
        <w:rPr>
          <w:rFonts w:ascii="David" w:eastAsiaTheme="minorHAnsi" w:hAnsiTheme="minorHAnsi" w:cs="David" w:hint="cs"/>
          <w:color w:val="000000"/>
          <w:sz w:val="24"/>
          <w:szCs w:val="24"/>
          <w:rtl/>
        </w:rPr>
        <w:t>במשהב"ט</w:t>
      </w:r>
      <w:proofErr w:type="spellEnd"/>
      <w:r w:rsidRPr="00622F36">
        <w:rPr>
          <w:rFonts w:ascii="David" w:eastAsiaTheme="minorHAnsi" w:hAnsiTheme="minorHAnsi" w:cs="David" w:hint="cs"/>
          <w:color w:val="000000"/>
          <w:sz w:val="24"/>
          <w:szCs w:val="24"/>
          <w:rtl/>
        </w:rPr>
        <w:t>, מר אריה לב, לוועדה לענייני ביקורת המדינה בדצמבר 2004, כי להערכתו "תוך חודש או חודש וחצי תתחיל העבודה [לפינוי מערומי התחמושת העיליים] כבר בשטח", לא היה מבוסס, היות שלא הסתמך על תכנית אופרטיבית קונקרטית כלשהי לפינוי הנפלים. יוצא מכך, שהוועדה קיבלה דיווח מרגיע שלא התממש כשבפועל נמשכו הסחבת ואי-הטיפול. כל זאת, למרות הביקורת ולמרות המצב החמור בשטח.</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622F36">
        <w:rPr>
          <w:rFonts w:ascii="David" w:eastAsiaTheme="minorHAnsi" w:hAnsiTheme="minorHAnsi" w:cs="David" w:hint="cs"/>
          <w:b/>
          <w:bCs/>
          <w:color w:val="000000"/>
          <w:szCs w:val="24"/>
          <w:rtl/>
        </w:rPr>
        <w:t>ליקוי</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p>
    <w:p w:rsidR="00622F36" w:rsidRPr="00622F36" w:rsidRDefault="00622F36" w:rsidP="00622F36">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9. </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בביקורת המעקב עלה, כי לא מומשו ההחלטות של המנכ"לים </w:t>
      </w:r>
      <w:proofErr w:type="spellStart"/>
      <w:r w:rsidRPr="00622F36">
        <w:rPr>
          <w:rFonts w:ascii="David" w:eastAsiaTheme="minorHAnsi" w:hAnsiTheme="minorHAnsi" w:cs="David" w:hint="cs"/>
          <w:color w:val="000000"/>
          <w:sz w:val="24"/>
          <w:szCs w:val="24"/>
          <w:rtl/>
        </w:rPr>
        <w:t>במשהב"ט</w:t>
      </w:r>
      <w:proofErr w:type="spellEnd"/>
      <w:r w:rsidRPr="00622F36">
        <w:rPr>
          <w:rFonts w:ascii="David" w:eastAsiaTheme="minorHAnsi" w:hAnsiTheme="minorHAnsi" w:cs="David" w:hint="cs"/>
          <w:color w:val="000000"/>
          <w:sz w:val="24"/>
          <w:szCs w:val="24"/>
          <w:rtl/>
        </w:rPr>
        <w:t xml:space="preserve">, פינחס בוכריס - ממרס 2008, ואלוף (מיל') עמוס ירון - מספטמבר 2004, ושל המשנה למנכ"ל וראש </w:t>
      </w:r>
      <w:proofErr w:type="spellStart"/>
      <w:r w:rsidRPr="00622F36">
        <w:rPr>
          <w:rFonts w:ascii="David" w:eastAsiaTheme="minorHAnsi" w:hAnsiTheme="minorHAnsi" w:cs="David" w:hint="cs"/>
          <w:color w:val="000000"/>
          <w:sz w:val="24"/>
          <w:szCs w:val="24"/>
          <w:rtl/>
        </w:rPr>
        <w:t>מלמ"ב</w:t>
      </w:r>
      <w:proofErr w:type="spellEnd"/>
      <w:r w:rsidRPr="00622F36">
        <w:rPr>
          <w:rFonts w:ascii="David" w:eastAsiaTheme="minorHAnsi" w:hAnsiTheme="minorHAnsi" w:cs="David" w:hint="cs"/>
          <w:color w:val="000000"/>
          <w:sz w:val="24"/>
          <w:szCs w:val="24"/>
          <w:rtl/>
        </w:rPr>
        <w:t xml:space="preserve">, יחיאל חורב - מנובמבר 2006, לפעול מיידית לפינוי מערומי התחמושת העיליים. </w:t>
      </w:r>
      <w:proofErr w:type="spellStart"/>
      <w:r w:rsidRPr="00622F36">
        <w:rPr>
          <w:rFonts w:ascii="David" w:eastAsiaTheme="minorHAnsi" w:hAnsiTheme="minorHAnsi" w:cs="David" w:hint="cs"/>
          <w:color w:val="000000"/>
          <w:sz w:val="24"/>
          <w:szCs w:val="24"/>
          <w:rtl/>
        </w:rPr>
        <w:t>משהב"ט</w:t>
      </w:r>
      <w:proofErr w:type="spellEnd"/>
      <w:r w:rsidRPr="00622F36">
        <w:rPr>
          <w:rFonts w:ascii="David" w:eastAsiaTheme="minorHAnsi" w:hAnsiTheme="minorHAnsi" w:cs="David" w:hint="cs"/>
          <w:color w:val="000000"/>
          <w:sz w:val="24"/>
          <w:szCs w:val="24"/>
          <w:rtl/>
        </w:rPr>
        <w:t xml:space="preserve"> </w:t>
      </w:r>
      <w:r w:rsidRPr="00622F36">
        <w:rPr>
          <w:rFonts w:ascii="David" w:eastAsiaTheme="minorHAnsi" w:hAnsiTheme="minorHAnsi" w:cs="David" w:hint="cs"/>
          <w:color w:val="000000"/>
          <w:sz w:val="24"/>
          <w:szCs w:val="24"/>
          <w:rtl/>
        </w:rPr>
        <w:lastRenderedPageBreak/>
        <w:t>לא תקצב את פינוי מערומי התחמושת העיליים; ובכך לא עמד בדיווחו לוועדה לענייני ביקורת המדינה בדצמבר 2004.</w:t>
      </w: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מעקב</w:t>
      </w:r>
    </w:p>
    <w:p w:rsidR="00622F36" w:rsidRPr="00622F36" w:rsidRDefault="00622F36" w:rsidP="00622F36">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משרד הביטחון</w:t>
      </w:r>
    </w:p>
    <w:p w:rsidR="00622F36" w:rsidRPr="00622F36" w:rsidRDefault="00622F36" w:rsidP="00622F36">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622F36" w:rsidRPr="00622F36" w:rsidRDefault="00622F36" w:rsidP="00622F36">
      <w:pPr>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8-9.</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מר אריה לב יצא זה מכבר לגמלאות. המטלה נמצאת בתהליך מימוש מתקדם. ראה תגובה לליקויים 4-7.</w:t>
      </w:r>
    </w:p>
    <w:p w:rsidR="00622F36" w:rsidRPr="00622F36" w:rsidRDefault="00622F36" w:rsidP="00622F36">
      <w:pPr>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ראה הערות רה"מ </w:t>
      </w:r>
      <w:proofErr w:type="spellStart"/>
      <w:r w:rsidRPr="00622F36">
        <w:rPr>
          <w:rFonts w:ascii="David" w:eastAsiaTheme="minorHAnsi" w:hAnsiTheme="minorHAnsi" w:cs="David" w:hint="cs"/>
          <w:color w:val="000000"/>
          <w:sz w:val="24"/>
          <w:szCs w:val="24"/>
          <w:rtl/>
        </w:rPr>
        <w:t>60א</w:t>
      </w:r>
      <w:proofErr w:type="spellEnd"/>
      <w:r w:rsidRPr="00622F36">
        <w:rPr>
          <w:rFonts w:ascii="David" w:eastAsiaTheme="minorHAnsi" w:hAnsiTheme="minorHAnsi" w:cs="David" w:hint="cs"/>
          <w:color w:val="000000"/>
          <w:sz w:val="24"/>
          <w:szCs w:val="24"/>
          <w:rtl/>
        </w:rPr>
        <w:t xml:space="preserve">' </w:t>
      </w:r>
      <w:proofErr w:type="spellStart"/>
      <w:r w:rsidRPr="00622F36">
        <w:rPr>
          <w:rFonts w:ascii="David" w:eastAsiaTheme="minorHAnsi" w:hAnsiTheme="minorHAnsi" w:cs="David" w:hint="cs"/>
          <w:color w:val="000000"/>
          <w:sz w:val="24"/>
          <w:szCs w:val="24"/>
          <w:rtl/>
        </w:rPr>
        <w:t>עמ</w:t>
      </w:r>
      <w:proofErr w:type="spellEnd"/>
      <w:r w:rsidRPr="00622F36">
        <w:rPr>
          <w:rFonts w:ascii="David" w:eastAsiaTheme="minorHAnsi" w:hAnsiTheme="minorHAnsi" w:cs="David" w:hint="cs"/>
          <w:color w:val="000000"/>
          <w:sz w:val="24"/>
          <w:szCs w:val="24"/>
          <w:rtl/>
        </w:rPr>
        <w:t>' 69.</w:t>
      </w:r>
    </w:p>
    <w:p w:rsidR="00622F36" w:rsidRPr="00622F36" w:rsidRDefault="00622F36" w:rsidP="00622F36">
      <w:pPr>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b/>
          <w:bCs/>
          <w:color w:val="000000"/>
          <w:szCs w:val="24"/>
          <w:rtl/>
        </w:rPr>
      </w:pPr>
      <w:r w:rsidRPr="00622F36">
        <w:rPr>
          <w:rFonts w:ascii="David" w:eastAsiaTheme="minorHAnsi" w:hAnsiTheme="minorHAnsi" w:cs="David" w:hint="cs"/>
          <w:b/>
          <w:bCs/>
          <w:color w:val="000000"/>
          <w:szCs w:val="24"/>
          <w:rtl/>
        </w:rPr>
        <w:t>ליקוי</w:t>
      </w:r>
    </w:p>
    <w:p w:rsidR="00622F36" w:rsidRPr="00622F36" w:rsidRDefault="00622F36" w:rsidP="00622F36">
      <w:pPr>
        <w:autoSpaceDE w:val="0"/>
        <w:autoSpaceDN w:val="0"/>
        <w:adjustRightInd w:val="0"/>
        <w:spacing w:after="0" w:line="288" w:lineRule="auto"/>
        <w:ind w:left="12"/>
        <w:jc w:val="both"/>
        <w:textAlignment w:val="center"/>
        <w:rPr>
          <w:rFonts w:ascii="David" w:eastAsiaTheme="minorHAnsi" w:hAnsiTheme="minorHAnsi" w:cs="David"/>
          <w:color w:val="000000"/>
          <w:szCs w:val="24"/>
          <w:rtl/>
        </w:rPr>
      </w:pPr>
    </w:p>
    <w:p w:rsidR="00622F36" w:rsidRPr="00622F36" w:rsidRDefault="00622F36" w:rsidP="00622F36">
      <w:pPr>
        <w:suppressAutoHyphens/>
        <w:autoSpaceDE w:val="0"/>
        <w:autoSpaceDN w:val="0"/>
        <w:adjustRightInd w:val="0"/>
        <w:spacing w:after="0" w:line="288" w:lineRule="auto"/>
        <w:ind w:left="567" w:hanging="567"/>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10.</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 xml:space="preserve">כל עוד המינהל אינו מקבל לידיו את המתחם (בגלל העיכוב המתמשך בפינוי שטח הנפלים), תעש </w:t>
      </w:r>
      <w:proofErr w:type="spellStart"/>
      <w:r w:rsidRPr="00622F36">
        <w:rPr>
          <w:rFonts w:ascii="David" w:eastAsiaTheme="minorHAnsi" w:hAnsiTheme="minorHAnsi" w:cs="David" w:hint="cs"/>
          <w:color w:val="000000"/>
          <w:sz w:val="24"/>
          <w:szCs w:val="24"/>
          <w:rtl/>
        </w:rPr>
        <w:t>ומשהב"ט</w:t>
      </w:r>
      <w:proofErr w:type="spellEnd"/>
      <w:r w:rsidRPr="00622F36">
        <w:rPr>
          <w:rFonts w:ascii="David" w:eastAsiaTheme="minorHAnsi" w:hAnsiTheme="minorHAnsi" w:cs="David" w:hint="cs"/>
          <w:color w:val="000000"/>
          <w:sz w:val="24"/>
          <w:szCs w:val="24"/>
          <w:rtl/>
        </w:rPr>
        <w:t xml:space="preserve"> עלולים לשאת בחיובי ארנונה בגין חלק משטח הנפלים, המסתכמים בכ-46 מיליון ש"ח לתקופה 2005-1996 ו-2008.</w:t>
      </w: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color w:val="000000"/>
          <w:sz w:val="24"/>
          <w:szCs w:val="24"/>
          <w:rtl/>
        </w:rPr>
      </w:pPr>
    </w:p>
    <w:p w:rsidR="00622F36" w:rsidRPr="00622F36" w:rsidRDefault="00622F36" w:rsidP="00622F36">
      <w:pPr>
        <w:autoSpaceDE w:val="0"/>
        <w:autoSpaceDN w:val="0"/>
        <w:adjustRightInd w:val="0"/>
        <w:spacing w:after="0" w:line="288" w:lineRule="auto"/>
        <w:jc w:val="both"/>
        <w:textAlignment w:val="center"/>
        <w:rPr>
          <w:rFonts w:ascii="David" w:eastAsiaTheme="minorHAnsi" w:hAnsiTheme="minorHAnsi" w:cs="David"/>
          <w:b/>
          <w:bCs/>
          <w:color w:val="000000"/>
          <w:sz w:val="24"/>
          <w:szCs w:val="24"/>
          <w:rtl/>
        </w:rPr>
      </w:pPr>
      <w:r w:rsidRPr="00622F36">
        <w:rPr>
          <w:rFonts w:ascii="David" w:eastAsiaTheme="minorHAnsi" w:hAnsiTheme="minorHAnsi" w:cs="David" w:hint="cs"/>
          <w:b/>
          <w:bCs/>
          <w:color w:val="000000"/>
          <w:sz w:val="24"/>
          <w:szCs w:val="24"/>
          <w:rtl/>
        </w:rPr>
        <w:t>מעקב</w:t>
      </w:r>
    </w:p>
    <w:p w:rsidR="00622F36" w:rsidRPr="00622F36" w:rsidRDefault="00622F36" w:rsidP="00622F36">
      <w:pPr>
        <w:autoSpaceDE w:val="0"/>
        <w:autoSpaceDN w:val="0"/>
        <w:adjustRightInd w:val="0"/>
        <w:spacing w:after="0" w:line="288" w:lineRule="auto"/>
        <w:ind w:left="566" w:hanging="566"/>
        <w:jc w:val="both"/>
        <w:textAlignment w:val="center"/>
        <w:rPr>
          <w:rFonts w:ascii="David" w:eastAsiaTheme="minorHAnsi" w:hAnsiTheme="minorHAnsi" w:cs="David"/>
          <w:b/>
          <w:bCs/>
          <w:color w:val="000000"/>
          <w:sz w:val="24"/>
          <w:szCs w:val="24"/>
          <w:rtl/>
        </w:rPr>
      </w:pPr>
    </w:p>
    <w:p w:rsidR="00622F36" w:rsidRPr="00622F36" w:rsidRDefault="00622F36" w:rsidP="00622F36">
      <w:pPr>
        <w:suppressAutoHyphens/>
        <w:autoSpaceDE w:val="0"/>
        <w:autoSpaceDN w:val="0"/>
        <w:adjustRightInd w:val="0"/>
        <w:spacing w:after="0" w:line="288" w:lineRule="auto"/>
        <w:ind w:left="1134" w:hanging="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10.</w:t>
      </w:r>
      <w:r w:rsidRPr="00622F36">
        <w:rPr>
          <w:rFonts w:ascii="David" w:eastAsiaTheme="minorHAnsi" w:hAnsiTheme="minorHAnsi" w:cs="David"/>
          <w:color w:val="000000"/>
          <w:sz w:val="24"/>
          <w:szCs w:val="24"/>
          <w:rtl/>
        </w:rPr>
        <w:tab/>
      </w:r>
      <w:r w:rsidRPr="00622F36">
        <w:rPr>
          <w:rFonts w:ascii="David" w:eastAsiaTheme="minorHAnsi" w:hAnsiTheme="minorHAnsi" w:cs="David" w:hint="cs"/>
          <w:color w:val="000000"/>
          <w:sz w:val="24"/>
          <w:szCs w:val="24"/>
          <w:rtl/>
        </w:rPr>
        <w:t>העברת הקרקע למינהל מקרקעי ישראל תתאפשר, לאחר הסדרת האפשרות לכריית חול, אשר תאפשר לממן את המשך הפעילות באתר וכן את יתר ההסדרים לגביהם סיכם בעבר המשרד עם המינהל.</w:t>
      </w:r>
    </w:p>
    <w:p w:rsidR="00622F36" w:rsidRPr="00622F36" w:rsidRDefault="00622F36" w:rsidP="00622F36">
      <w:pPr>
        <w:autoSpaceDE w:val="0"/>
        <w:autoSpaceDN w:val="0"/>
        <w:adjustRightInd w:val="0"/>
        <w:spacing w:after="0" w:line="288" w:lineRule="auto"/>
        <w:ind w:left="1134"/>
        <w:jc w:val="both"/>
        <w:textAlignment w:val="center"/>
        <w:rPr>
          <w:rFonts w:ascii="David" w:eastAsiaTheme="minorHAnsi" w:hAnsiTheme="minorHAnsi" w:cs="David"/>
          <w:color w:val="000000"/>
          <w:sz w:val="24"/>
          <w:szCs w:val="24"/>
          <w:rtl/>
        </w:rPr>
      </w:pPr>
      <w:r w:rsidRPr="00622F36">
        <w:rPr>
          <w:rFonts w:ascii="David" w:eastAsiaTheme="minorHAnsi" w:hAnsiTheme="minorHAnsi" w:cs="David" w:hint="cs"/>
          <w:color w:val="000000"/>
          <w:sz w:val="24"/>
          <w:szCs w:val="24"/>
          <w:rtl/>
        </w:rPr>
        <w:t xml:space="preserve">ראה הערות רה"מ </w:t>
      </w:r>
      <w:proofErr w:type="spellStart"/>
      <w:r w:rsidRPr="00622F36">
        <w:rPr>
          <w:rFonts w:ascii="David" w:eastAsiaTheme="minorHAnsi" w:hAnsiTheme="minorHAnsi" w:cs="David" w:hint="cs"/>
          <w:color w:val="000000"/>
          <w:sz w:val="24"/>
          <w:szCs w:val="24"/>
          <w:rtl/>
        </w:rPr>
        <w:t>60א</w:t>
      </w:r>
      <w:proofErr w:type="spellEnd"/>
      <w:r w:rsidRPr="00622F36">
        <w:rPr>
          <w:rFonts w:ascii="David" w:eastAsiaTheme="minorHAnsi" w:hAnsiTheme="minorHAnsi" w:cs="David" w:hint="cs"/>
          <w:color w:val="000000"/>
          <w:sz w:val="24"/>
          <w:szCs w:val="24"/>
          <w:rtl/>
        </w:rPr>
        <w:t xml:space="preserve">' </w:t>
      </w:r>
      <w:proofErr w:type="spellStart"/>
      <w:r w:rsidRPr="00622F36">
        <w:rPr>
          <w:rFonts w:ascii="David" w:eastAsiaTheme="minorHAnsi" w:hAnsiTheme="minorHAnsi" w:cs="David" w:hint="cs"/>
          <w:color w:val="000000"/>
          <w:sz w:val="24"/>
          <w:szCs w:val="24"/>
          <w:rtl/>
        </w:rPr>
        <w:t>עמ</w:t>
      </w:r>
      <w:proofErr w:type="spellEnd"/>
      <w:r w:rsidRPr="00622F36">
        <w:rPr>
          <w:rFonts w:ascii="David" w:eastAsiaTheme="minorHAnsi" w:hAnsiTheme="minorHAnsi" w:cs="David" w:hint="cs"/>
          <w:color w:val="000000"/>
          <w:sz w:val="24"/>
          <w:szCs w:val="24"/>
          <w:rtl/>
        </w:rPr>
        <w:t>' 70.</w:t>
      </w:r>
    </w:p>
    <w:p w:rsidR="00AA51BB" w:rsidRPr="00622F36" w:rsidRDefault="00AA51BB" w:rsidP="00622F36">
      <w:pPr>
        <w:rPr>
          <w:szCs w:val="24"/>
        </w:rPr>
      </w:pPr>
    </w:p>
    <w:sectPr w:rsidR="00AA51BB" w:rsidRPr="00622F36" w:rsidSect="00533C78">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686" w:rsidRDefault="00E36686" w:rsidP="009C0544">
      <w:pPr>
        <w:spacing w:after="0" w:line="240" w:lineRule="auto"/>
      </w:pPr>
      <w:r>
        <w:separator/>
      </w:r>
    </w:p>
  </w:endnote>
  <w:endnote w:type="continuationSeparator" w:id="1">
    <w:p w:rsidR="00E36686" w:rsidRDefault="00E36686" w:rsidP="009C05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Monotype Sorts">
    <w:panose1 w:val="01010601010101010101"/>
    <w:charset w:val="02"/>
    <w:family w:val="auto"/>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686" w:rsidRDefault="00E36686" w:rsidP="009C0544">
      <w:pPr>
        <w:spacing w:after="0" w:line="240" w:lineRule="auto"/>
      </w:pPr>
      <w:r>
        <w:separator/>
      </w:r>
    </w:p>
  </w:footnote>
  <w:footnote w:type="continuationSeparator" w:id="1">
    <w:p w:rsidR="00E36686" w:rsidRDefault="00E36686" w:rsidP="009C05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686" w:rsidRPr="002A74E8" w:rsidRDefault="00B7394A" w:rsidP="009C0544">
    <w:pPr>
      <w:pStyle w:val="a3"/>
      <w:tabs>
        <w:tab w:val="clear" w:pos="4153"/>
      </w:tabs>
      <w:ind w:left="84" w:hanging="483"/>
      <w:jc w:val="right"/>
      <w:rPr>
        <w:sz w:val="16"/>
        <w:szCs w:val="16"/>
        <w:rtl/>
      </w:rPr>
    </w:pPr>
    <w:r w:rsidRPr="008D32ED">
      <w:rPr>
        <w:sz w:val="14"/>
        <w:szCs w:val="14"/>
        <w:rtl/>
      </w:rPr>
      <w:fldChar w:fldCharType="begin"/>
    </w:r>
    <w:r w:rsidR="00E36686" w:rsidRPr="008D32ED">
      <w:rPr>
        <w:sz w:val="14"/>
        <w:szCs w:val="14"/>
        <w:rtl/>
      </w:rPr>
      <w:instrText xml:space="preserve"> </w:instrText>
    </w:r>
    <w:r w:rsidR="00E36686" w:rsidRPr="008D32ED">
      <w:rPr>
        <w:rFonts w:hint="cs"/>
        <w:sz w:val="14"/>
        <w:szCs w:val="14"/>
      </w:rPr>
      <w:instrText>TIME  \@ "HH:mm"  \* MERGEFORMAT</w:instrText>
    </w:r>
    <w:r w:rsidR="00E36686" w:rsidRPr="008D32ED">
      <w:rPr>
        <w:sz w:val="14"/>
        <w:szCs w:val="14"/>
        <w:rtl/>
      </w:rPr>
      <w:instrText xml:space="preserve"> </w:instrText>
    </w:r>
    <w:r w:rsidRPr="008D32ED">
      <w:rPr>
        <w:sz w:val="14"/>
        <w:szCs w:val="14"/>
        <w:rtl/>
      </w:rPr>
      <w:fldChar w:fldCharType="separate"/>
    </w:r>
    <w:r w:rsidR="00622F36">
      <w:rPr>
        <w:rFonts w:hint="eastAsia"/>
        <w:noProof/>
        <w:sz w:val="14"/>
        <w:szCs w:val="14"/>
        <w:rtl/>
      </w:rPr>
      <w:t>‏</w:t>
    </w:r>
    <w:r w:rsidR="00622F36">
      <w:rPr>
        <w:noProof/>
        <w:sz w:val="14"/>
        <w:szCs w:val="14"/>
        <w:rtl/>
      </w:rPr>
      <w:t>13:59</w:t>
    </w:r>
    <w:r w:rsidRPr="008D32ED">
      <w:rPr>
        <w:sz w:val="14"/>
        <w:szCs w:val="14"/>
        <w:rtl/>
      </w:rPr>
      <w:fldChar w:fldCharType="end"/>
    </w:r>
    <w:r w:rsidR="00E36686" w:rsidRPr="008D32ED">
      <w:rPr>
        <w:rFonts w:hint="cs"/>
        <w:sz w:val="14"/>
        <w:szCs w:val="14"/>
        <w:rtl/>
      </w:rPr>
      <w:t xml:space="preserve">  </w:t>
    </w:r>
    <w:r w:rsidRPr="008D32ED">
      <w:rPr>
        <w:sz w:val="14"/>
        <w:szCs w:val="14"/>
        <w:rtl/>
      </w:rPr>
      <w:fldChar w:fldCharType="begin"/>
    </w:r>
    <w:r w:rsidR="00E36686" w:rsidRPr="008D32ED">
      <w:rPr>
        <w:sz w:val="14"/>
        <w:szCs w:val="14"/>
        <w:rtl/>
      </w:rPr>
      <w:instrText xml:space="preserve"> </w:instrText>
    </w:r>
    <w:r w:rsidR="00E36686" w:rsidRPr="008D32ED">
      <w:rPr>
        <w:rFonts w:hint="cs"/>
        <w:sz w:val="14"/>
        <w:szCs w:val="14"/>
      </w:rPr>
      <w:instrText>DATE  \@ "yyyy-MM-dd"  \* MERGEFORMAT</w:instrText>
    </w:r>
    <w:r w:rsidR="00E36686" w:rsidRPr="008D32ED">
      <w:rPr>
        <w:sz w:val="14"/>
        <w:szCs w:val="14"/>
        <w:rtl/>
      </w:rPr>
      <w:instrText xml:space="preserve"> </w:instrText>
    </w:r>
    <w:r w:rsidRPr="008D32ED">
      <w:rPr>
        <w:sz w:val="14"/>
        <w:szCs w:val="14"/>
        <w:rtl/>
      </w:rPr>
      <w:fldChar w:fldCharType="separate"/>
    </w:r>
    <w:r w:rsidR="00622F36">
      <w:rPr>
        <w:rFonts w:hint="eastAsia"/>
        <w:noProof/>
        <w:sz w:val="14"/>
        <w:szCs w:val="14"/>
        <w:rtl/>
      </w:rPr>
      <w:t>‏</w:t>
    </w:r>
    <w:r w:rsidR="00622F36">
      <w:rPr>
        <w:noProof/>
        <w:sz w:val="14"/>
        <w:szCs w:val="14"/>
        <w:rtl/>
      </w:rPr>
      <w:t>2010–12–12</w:t>
    </w:r>
    <w:r w:rsidRPr="008D32ED">
      <w:rPr>
        <w:sz w:val="14"/>
        <w:szCs w:val="14"/>
        <w:rtl/>
      </w:rPr>
      <w:fldChar w:fldCharType="end"/>
    </w:r>
    <w:r w:rsidR="00E36686" w:rsidRPr="008D32ED">
      <w:rPr>
        <w:rFonts w:hint="cs"/>
        <w:sz w:val="14"/>
        <w:szCs w:val="14"/>
        <w:rtl/>
      </w:rPr>
      <w:t xml:space="preserve">   </w:t>
    </w:r>
    <w:fldSimple w:instr=" FILENAME  \* FirstCap \p  \* MERGEFORMAT ">
      <w:r w:rsidR="009F7994" w:rsidRPr="009F7994">
        <w:rPr>
          <w:noProof/>
          <w:sz w:val="14"/>
          <w:szCs w:val="14"/>
        </w:rPr>
        <w:t>L:\</w:t>
      </w:r>
      <w:r w:rsidR="009F7994" w:rsidRPr="009F7994">
        <w:rPr>
          <w:rFonts w:hint="eastAsia"/>
          <w:noProof/>
          <w:sz w:val="14"/>
          <w:szCs w:val="14"/>
          <w:rtl/>
        </w:rPr>
        <w:t>הספר</w:t>
      </w:r>
      <w:r w:rsidR="009F7994" w:rsidRPr="009F7994">
        <w:rPr>
          <w:noProof/>
          <w:sz w:val="14"/>
          <w:szCs w:val="14"/>
          <w:rtl/>
        </w:rPr>
        <w:t xml:space="preserve"> - </w:t>
      </w:r>
      <w:r w:rsidR="009F7994" w:rsidRPr="009F7994">
        <w:rPr>
          <w:rFonts w:hint="eastAsia"/>
          <w:noProof/>
          <w:sz w:val="14"/>
          <w:szCs w:val="14"/>
          <w:rtl/>
        </w:rPr>
        <w:t>מעקבים</w:t>
      </w:r>
      <w:r w:rsidR="009F7994" w:rsidRPr="009F7994">
        <w:rPr>
          <w:noProof/>
          <w:sz w:val="14"/>
          <w:szCs w:val="14"/>
          <w:rtl/>
        </w:rPr>
        <w:t xml:space="preserve"> 60</w:t>
      </w:r>
      <w:r w:rsidR="009F7994" w:rsidRPr="009F7994">
        <w:rPr>
          <w:rFonts w:hint="eastAsia"/>
          <w:noProof/>
          <w:sz w:val="14"/>
          <w:szCs w:val="14"/>
          <w:rtl/>
        </w:rPr>
        <w:t>ב</w:t>
      </w:r>
      <w:r w:rsidR="009F7994" w:rsidRPr="009F7994">
        <w:rPr>
          <w:noProof/>
          <w:sz w:val="14"/>
          <w:szCs w:val="14"/>
          <w:rtl/>
        </w:rPr>
        <w:t>\</w:t>
      </w:r>
      <w:r w:rsidR="009F7994" w:rsidRPr="009F7994">
        <w:rPr>
          <w:rFonts w:hint="eastAsia"/>
          <w:noProof/>
          <w:sz w:val="14"/>
          <w:szCs w:val="14"/>
          <w:rtl/>
        </w:rPr>
        <w:t>עקיבא</w:t>
      </w:r>
      <w:r w:rsidR="009F7994" w:rsidRPr="009F7994">
        <w:rPr>
          <w:noProof/>
          <w:sz w:val="14"/>
          <w:szCs w:val="14"/>
          <w:rtl/>
        </w:rPr>
        <w:t>\</w:t>
      </w:r>
      <w:r w:rsidR="009F7994" w:rsidRPr="009F7994">
        <w:rPr>
          <w:rFonts w:hint="eastAsia"/>
          <w:noProof/>
          <w:sz w:val="14"/>
          <w:szCs w:val="14"/>
          <w:rtl/>
        </w:rPr>
        <w:t>מערכת</w:t>
      </w:r>
      <w:r w:rsidR="009F7994" w:rsidRPr="009F7994">
        <w:rPr>
          <w:noProof/>
          <w:sz w:val="14"/>
          <w:szCs w:val="14"/>
          <w:rtl/>
        </w:rPr>
        <w:t xml:space="preserve"> </w:t>
      </w:r>
      <w:r w:rsidR="009F7994" w:rsidRPr="009F7994">
        <w:rPr>
          <w:rFonts w:hint="eastAsia"/>
          <w:noProof/>
          <w:sz w:val="14"/>
          <w:szCs w:val="14"/>
          <w:rtl/>
        </w:rPr>
        <w:t>הביטחון</w:t>
      </w:r>
      <w:r w:rsidR="009F7994" w:rsidRPr="009F7994">
        <w:rPr>
          <w:noProof/>
          <w:sz w:val="14"/>
          <w:szCs w:val="14"/>
          <w:rtl/>
        </w:rPr>
        <w:t>\60</w:t>
      </w:r>
      <w:r w:rsidR="009F7994" w:rsidRPr="009F7994">
        <w:rPr>
          <w:rFonts w:hint="eastAsia"/>
          <w:noProof/>
          <w:sz w:val="14"/>
          <w:szCs w:val="14"/>
          <w:rtl/>
        </w:rPr>
        <w:t>א</w:t>
      </w:r>
      <w:r w:rsidR="009F7994" w:rsidRPr="009F7994">
        <w:rPr>
          <w:noProof/>
          <w:sz w:val="14"/>
          <w:szCs w:val="14"/>
          <w:rtl/>
        </w:rPr>
        <w:t>\</w:t>
      </w:r>
      <w:r w:rsidR="009F7994" w:rsidRPr="009F7994">
        <w:rPr>
          <w:rFonts w:hint="eastAsia"/>
          <w:noProof/>
          <w:sz w:val="14"/>
          <w:szCs w:val="14"/>
          <w:rtl/>
        </w:rPr>
        <w:t>מקרקעי</w:t>
      </w:r>
      <w:r w:rsidR="009F7994" w:rsidRPr="009F7994">
        <w:rPr>
          <w:noProof/>
          <w:sz w:val="14"/>
          <w:szCs w:val="14"/>
          <w:rtl/>
        </w:rPr>
        <w:t xml:space="preserve"> </w:t>
      </w:r>
      <w:r w:rsidR="009F7994" w:rsidRPr="009F7994">
        <w:rPr>
          <w:rFonts w:hint="eastAsia"/>
          <w:noProof/>
          <w:sz w:val="14"/>
          <w:szCs w:val="14"/>
          <w:rtl/>
        </w:rPr>
        <w:t>תעש</w:t>
      </w:r>
      <w:r w:rsidR="009F7994" w:rsidRPr="009F7994">
        <w:rPr>
          <w:noProof/>
          <w:sz w:val="14"/>
          <w:szCs w:val="14"/>
        </w:rPr>
        <w:t>.docx</w:t>
      </w:r>
    </w:fldSimple>
    <w:r w:rsidR="00E36686" w:rsidRPr="002A74E8">
      <w:rPr>
        <w:rFonts w:hint="cs"/>
        <w:sz w:val="16"/>
        <w:szCs w:val="16"/>
        <w:rtl/>
      </w:rPr>
      <w:t xml:space="preserve">    -</w:t>
    </w:r>
    <w:r w:rsidRPr="002A74E8">
      <w:rPr>
        <w:sz w:val="16"/>
        <w:szCs w:val="16"/>
        <w:rtl/>
      </w:rPr>
      <w:fldChar w:fldCharType="begin"/>
    </w:r>
    <w:r w:rsidR="00E36686" w:rsidRPr="002A74E8">
      <w:rPr>
        <w:sz w:val="16"/>
        <w:szCs w:val="16"/>
        <w:rtl/>
      </w:rPr>
      <w:instrText xml:space="preserve"> </w:instrText>
    </w:r>
    <w:r w:rsidR="00E36686" w:rsidRPr="002A74E8">
      <w:rPr>
        <w:sz w:val="16"/>
        <w:szCs w:val="16"/>
      </w:rPr>
      <w:instrText>PAGE   \* MERGEFORMAT</w:instrText>
    </w:r>
    <w:r w:rsidR="00E36686" w:rsidRPr="002A74E8">
      <w:rPr>
        <w:sz w:val="16"/>
        <w:szCs w:val="16"/>
        <w:rtl/>
      </w:rPr>
      <w:instrText xml:space="preserve"> </w:instrText>
    </w:r>
    <w:r w:rsidRPr="002A74E8">
      <w:rPr>
        <w:sz w:val="16"/>
        <w:szCs w:val="16"/>
        <w:rtl/>
      </w:rPr>
      <w:fldChar w:fldCharType="separate"/>
    </w:r>
    <w:r w:rsidR="00622F36">
      <w:rPr>
        <w:noProof/>
        <w:sz w:val="16"/>
        <w:szCs w:val="16"/>
        <w:rtl/>
      </w:rPr>
      <w:t>4</w:t>
    </w:r>
    <w:r w:rsidRPr="002A74E8">
      <w:rPr>
        <w:sz w:val="16"/>
        <w:szCs w:val="16"/>
        <w:rtl/>
      </w:rPr>
      <w:fldChar w:fldCharType="end"/>
    </w:r>
    <w:r w:rsidR="00E36686" w:rsidRPr="002A74E8">
      <w:rPr>
        <w:rFonts w:hint="cs"/>
        <w:sz w:val="16"/>
        <w:szCs w:val="16"/>
        <w:rtl/>
      </w:rPr>
      <w:t>-</w:t>
    </w:r>
  </w:p>
  <w:p w:rsidR="00E36686" w:rsidRPr="00B90376" w:rsidRDefault="00E36686" w:rsidP="009C0544">
    <w:pPr>
      <w:tabs>
        <w:tab w:val="left" w:pos="1316"/>
        <w:tab w:val="center" w:pos="4153"/>
      </w:tabs>
      <w:ind w:hanging="483"/>
      <w:rPr>
        <w:rFonts w:cs="David"/>
        <w:sz w:val="18"/>
        <w:szCs w:val="18"/>
        <w:u w:val="single"/>
        <w:rtl/>
      </w:rPr>
    </w:pPr>
    <w:r w:rsidRPr="00B90376">
      <w:rPr>
        <w:rFonts w:cs="David" w:hint="cs"/>
        <w:sz w:val="18"/>
        <w:szCs w:val="18"/>
        <w:u w:val="single"/>
        <w:rtl/>
      </w:rPr>
      <w:t>מעקב אחר תיקון ליקויים, אגף המפקח הכללי  לענייני ביקורת המדינה                                                                                מערכת הביטחון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E4A"/>
    <w:multiLevelType w:val="hybridMultilevel"/>
    <w:tmpl w:val="05F86B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80432AF"/>
    <w:multiLevelType w:val="hybridMultilevel"/>
    <w:tmpl w:val="C2CE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774C3"/>
    <w:multiLevelType w:val="hybridMultilevel"/>
    <w:tmpl w:val="8A185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670AA"/>
    <w:multiLevelType w:val="hybridMultilevel"/>
    <w:tmpl w:val="4AD42CAE"/>
    <w:lvl w:ilvl="0" w:tplc="0409000F">
      <w:start w:val="11"/>
      <w:numFmt w:val="decimal"/>
      <w:lvlText w:val="%1."/>
      <w:lvlJc w:val="left"/>
      <w:pPr>
        <w:tabs>
          <w:tab w:val="num" w:pos="1854"/>
        </w:tabs>
        <w:ind w:left="1854" w:hanging="360"/>
      </w:pPr>
      <w:rPr>
        <w:rFonts w:cs="Times New Roman" w:hint="default"/>
      </w:rPr>
    </w:lvl>
    <w:lvl w:ilvl="1" w:tplc="04090019" w:tentative="1">
      <w:start w:val="1"/>
      <w:numFmt w:val="lowerLetter"/>
      <w:lvlText w:val="%2."/>
      <w:lvlJc w:val="left"/>
      <w:pPr>
        <w:tabs>
          <w:tab w:val="num" w:pos="2574"/>
        </w:tabs>
        <w:ind w:left="2574" w:hanging="360"/>
      </w:pPr>
      <w:rPr>
        <w:rFonts w:cs="Times New Roman"/>
      </w:rPr>
    </w:lvl>
    <w:lvl w:ilvl="2" w:tplc="0409001B" w:tentative="1">
      <w:start w:val="1"/>
      <w:numFmt w:val="lowerRoman"/>
      <w:lvlText w:val="%3."/>
      <w:lvlJc w:val="right"/>
      <w:pPr>
        <w:tabs>
          <w:tab w:val="num" w:pos="3294"/>
        </w:tabs>
        <w:ind w:left="3294" w:hanging="180"/>
      </w:pPr>
      <w:rPr>
        <w:rFonts w:cs="Times New Roman"/>
      </w:rPr>
    </w:lvl>
    <w:lvl w:ilvl="3" w:tplc="0409000F" w:tentative="1">
      <w:start w:val="1"/>
      <w:numFmt w:val="decimal"/>
      <w:lvlText w:val="%4."/>
      <w:lvlJc w:val="left"/>
      <w:pPr>
        <w:tabs>
          <w:tab w:val="num" w:pos="4014"/>
        </w:tabs>
        <w:ind w:left="4014" w:hanging="360"/>
      </w:pPr>
      <w:rPr>
        <w:rFonts w:cs="Times New Roman"/>
      </w:rPr>
    </w:lvl>
    <w:lvl w:ilvl="4" w:tplc="04090019" w:tentative="1">
      <w:start w:val="1"/>
      <w:numFmt w:val="lowerLetter"/>
      <w:lvlText w:val="%5."/>
      <w:lvlJc w:val="left"/>
      <w:pPr>
        <w:tabs>
          <w:tab w:val="num" w:pos="4734"/>
        </w:tabs>
        <w:ind w:left="4734" w:hanging="360"/>
      </w:pPr>
      <w:rPr>
        <w:rFonts w:cs="Times New Roman"/>
      </w:rPr>
    </w:lvl>
    <w:lvl w:ilvl="5" w:tplc="0409001B" w:tentative="1">
      <w:start w:val="1"/>
      <w:numFmt w:val="lowerRoman"/>
      <w:lvlText w:val="%6."/>
      <w:lvlJc w:val="right"/>
      <w:pPr>
        <w:tabs>
          <w:tab w:val="num" w:pos="5454"/>
        </w:tabs>
        <w:ind w:left="5454" w:hanging="180"/>
      </w:pPr>
      <w:rPr>
        <w:rFonts w:cs="Times New Roman"/>
      </w:rPr>
    </w:lvl>
    <w:lvl w:ilvl="6" w:tplc="0409000F" w:tentative="1">
      <w:start w:val="1"/>
      <w:numFmt w:val="decimal"/>
      <w:lvlText w:val="%7."/>
      <w:lvlJc w:val="left"/>
      <w:pPr>
        <w:tabs>
          <w:tab w:val="num" w:pos="6174"/>
        </w:tabs>
        <w:ind w:left="6174" w:hanging="360"/>
      </w:pPr>
      <w:rPr>
        <w:rFonts w:cs="Times New Roman"/>
      </w:rPr>
    </w:lvl>
    <w:lvl w:ilvl="7" w:tplc="04090019" w:tentative="1">
      <w:start w:val="1"/>
      <w:numFmt w:val="lowerLetter"/>
      <w:lvlText w:val="%8."/>
      <w:lvlJc w:val="left"/>
      <w:pPr>
        <w:tabs>
          <w:tab w:val="num" w:pos="6894"/>
        </w:tabs>
        <w:ind w:left="6894" w:hanging="360"/>
      </w:pPr>
      <w:rPr>
        <w:rFonts w:cs="Times New Roman"/>
      </w:rPr>
    </w:lvl>
    <w:lvl w:ilvl="8" w:tplc="0409001B" w:tentative="1">
      <w:start w:val="1"/>
      <w:numFmt w:val="lowerRoman"/>
      <w:lvlText w:val="%9."/>
      <w:lvlJc w:val="right"/>
      <w:pPr>
        <w:tabs>
          <w:tab w:val="num" w:pos="7614"/>
        </w:tabs>
        <w:ind w:left="7614" w:hanging="180"/>
      </w:pPr>
      <w:rPr>
        <w:rFonts w:cs="Times New Roman"/>
      </w:rPr>
    </w:lvl>
  </w:abstractNum>
  <w:abstractNum w:abstractNumId="4">
    <w:nsid w:val="21533809"/>
    <w:multiLevelType w:val="hybridMultilevel"/>
    <w:tmpl w:val="338ABC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0C4208"/>
    <w:multiLevelType w:val="hybridMultilevel"/>
    <w:tmpl w:val="3DA8BE52"/>
    <w:lvl w:ilvl="0" w:tplc="08A02E72">
      <w:start w:val="1"/>
      <w:numFmt w:val="decimal"/>
      <w:lvlText w:val="%1."/>
      <w:lvlJc w:val="left"/>
      <w:pPr>
        <w:ind w:left="1350" w:hanging="99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6A0717D"/>
    <w:multiLevelType w:val="hybridMultilevel"/>
    <w:tmpl w:val="51D003B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F45B2"/>
    <w:multiLevelType w:val="hybridMultilevel"/>
    <w:tmpl w:val="E794CE5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7D20E85"/>
    <w:multiLevelType w:val="hybridMultilevel"/>
    <w:tmpl w:val="2F3682F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7810736"/>
    <w:multiLevelType w:val="hybridMultilevel"/>
    <w:tmpl w:val="75D4C6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97E5B54"/>
    <w:multiLevelType w:val="hybridMultilevel"/>
    <w:tmpl w:val="FA02B5FE"/>
    <w:lvl w:ilvl="0" w:tplc="8B7EDBB8">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710015D"/>
    <w:multiLevelType w:val="hybridMultilevel"/>
    <w:tmpl w:val="86F261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11"/>
  </w:num>
  <w:num w:numId="4">
    <w:abstractNumId w:val="5"/>
  </w:num>
  <w:num w:numId="5">
    <w:abstractNumId w:val="9"/>
  </w:num>
  <w:num w:numId="6">
    <w:abstractNumId w:val="7"/>
  </w:num>
  <w:num w:numId="7">
    <w:abstractNumId w:val="0"/>
  </w:num>
  <w:num w:numId="8">
    <w:abstractNumId w:val="10"/>
  </w:num>
  <w:num w:numId="9">
    <w:abstractNumId w:val="3"/>
  </w:num>
  <w:num w:numId="10">
    <w:abstractNumId w:val="8"/>
  </w:num>
  <w:num w:numId="11">
    <w:abstractNumId w:val="6"/>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C0544"/>
    <w:rsid w:val="00000243"/>
    <w:rsid w:val="00000739"/>
    <w:rsid w:val="00027667"/>
    <w:rsid w:val="0003229F"/>
    <w:rsid w:val="00043D5A"/>
    <w:rsid w:val="000510D6"/>
    <w:rsid w:val="00073FA9"/>
    <w:rsid w:val="00082BAA"/>
    <w:rsid w:val="00087487"/>
    <w:rsid w:val="000B2B5D"/>
    <w:rsid w:val="000C2368"/>
    <w:rsid w:val="000C4E8F"/>
    <w:rsid w:val="000C7D57"/>
    <w:rsid w:val="000D0FB7"/>
    <w:rsid w:val="000D160F"/>
    <w:rsid w:val="000F3695"/>
    <w:rsid w:val="001000F7"/>
    <w:rsid w:val="001050B8"/>
    <w:rsid w:val="001057BF"/>
    <w:rsid w:val="00114DC0"/>
    <w:rsid w:val="00117077"/>
    <w:rsid w:val="00121C7C"/>
    <w:rsid w:val="0014223F"/>
    <w:rsid w:val="00146367"/>
    <w:rsid w:val="00150C10"/>
    <w:rsid w:val="001641DB"/>
    <w:rsid w:val="00165F1F"/>
    <w:rsid w:val="00192663"/>
    <w:rsid w:val="001B4DDA"/>
    <w:rsid w:val="001C723E"/>
    <w:rsid w:val="001D2CC6"/>
    <w:rsid w:val="001E5006"/>
    <w:rsid w:val="001E6A43"/>
    <w:rsid w:val="001F1B4F"/>
    <w:rsid w:val="00232852"/>
    <w:rsid w:val="00237AB5"/>
    <w:rsid w:val="00242925"/>
    <w:rsid w:val="00274039"/>
    <w:rsid w:val="00280509"/>
    <w:rsid w:val="00282D49"/>
    <w:rsid w:val="002831EA"/>
    <w:rsid w:val="0029553E"/>
    <w:rsid w:val="00297441"/>
    <w:rsid w:val="002A6F8F"/>
    <w:rsid w:val="002A7AA3"/>
    <w:rsid w:val="002B3D39"/>
    <w:rsid w:val="002B6CF7"/>
    <w:rsid w:val="002D02ED"/>
    <w:rsid w:val="002D0694"/>
    <w:rsid w:val="002E2B52"/>
    <w:rsid w:val="002E6760"/>
    <w:rsid w:val="002E6B4E"/>
    <w:rsid w:val="0030735E"/>
    <w:rsid w:val="00310136"/>
    <w:rsid w:val="0033198C"/>
    <w:rsid w:val="003344B0"/>
    <w:rsid w:val="00346AD1"/>
    <w:rsid w:val="00354067"/>
    <w:rsid w:val="00360A13"/>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63607"/>
    <w:rsid w:val="005A548B"/>
    <w:rsid w:val="005A6E05"/>
    <w:rsid w:val="005D57C1"/>
    <w:rsid w:val="0060499E"/>
    <w:rsid w:val="00606B34"/>
    <w:rsid w:val="00606CCF"/>
    <w:rsid w:val="00622F36"/>
    <w:rsid w:val="00624861"/>
    <w:rsid w:val="00632551"/>
    <w:rsid w:val="00642830"/>
    <w:rsid w:val="00646F69"/>
    <w:rsid w:val="006643DF"/>
    <w:rsid w:val="006653A5"/>
    <w:rsid w:val="0067780E"/>
    <w:rsid w:val="006807A6"/>
    <w:rsid w:val="006942D9"/>
    <w:rsid w:val="006A67BA"/>
    <w:rsid w:val="006C008A"/>
    <w:rsid w:val="006E0566"/>
    <w:rsid w:val="006E7ED9"/>
    <w:rsid w:val="0073050A"/>
    <w:rsid w:val="00733D53"/>
    <w:rsid w:val="00753962"/>
    <w:rsid w:val="007629F8"/>
    <w:rsid w:val="00762B5D"/>
    <w:rsid w:val="00772A72"/>
    <w:rsid w:val="007736D0"/>
    <w:rsid w:val="007827A7"/>
    <w:rsid w:val="00783E86"/>
    <w:rsid w:val="00784CEE"/>
    <w:rsid w:val="00787AB8"/>
    <w:rsid w:val="007B0C4D"/>
    <w:rsid w:val="007B120B"/>
    <w:rsid w:val="007B4AAF"/>
    <w:rsid w:val="007D1079"/>
    <w:rsid w:val="007D7A26"/>
    <w:rsid w:val="008049BD"/>
    <w:rsid w:val="00810E64"/>
    <w:rsid w:val="0081406C"/>
    <w:rsid w:val="00817201"/>
    <w:rsid w:val="00867F44"/>
    <w:rsid w:val="00876412"/>
    <w:rsid w:val="0088076B"/>
    <w:rsid w:val="00893205"/>
    <w:rsid w:val="008A1154"/>
    <w:rsid w:val="008B1C1D"/>
    <w:rsid w:val="008B5AD7"/>
    <w:rsid w:val="008D6336"/>
    <w:rsid w:val="008E78F7"/>
    <w:rsid w:val="009021C2"/>
    <w:rsid w:val="009134D5"/>
    <w:rsid w:val="00917859"/>
    <w:rsid w:val="00922D8C"/>
    <w:rsid w:val="009409FE"/>
    <w:rsid w:val="00963FFB"/>
    <w:rsid w:val="00973104"/>
    <w:rsid w:val="00984194"/>
    <w:rsid w:val="00993D03"/>
    <w:rsid w:val="00996DB6"/>
    <w:rsid w:val="009A62C4"/>
    <w:rsid w:val="009B1770"/>
    <w:rsid w:val="009C0544"/>
    <w:rsid w:val="009D6F86"/>
    <w:rsid w:val="009E5072"/>
    <w:rsid w:val="009E6EFD"/>
    <w:rsid w:val="009E732F"/>
    <w:rsid w:val="009F7994"/>
    <w:rsid w:val="00A020E1"/>
    <w:rsid w:val="00A24D18"/>
    <w:rsid w:val="00A50ADE"/>
    <w:rsid w:val="00A51DC7"/>
    <w:rsid w:val="00A53A76"/>
    <w:rsid w:val="00A6715C"/>
    <w:rsid w:val="00A67167"/>
    <w:rsid w:val="00A730BC"/>
    <w:rsid w:val="00A73AE3"/>
    <w:rsid w:val="00A811C8"/>
    <w:rsid w:val="00A82E9F"/>
    <w:rsid w:val="00AA1EBD"/>
    <w:rsid w:val="00AA51BB"/>
    <w:rsid w:val="00AC02A2"/>
    <w:rsid w:val="00AC3E47"/>
    <w:rsid w:val="00AF1712"/>
    <w:rsid w:val="00AF66AA"/>
    <w:rsid w:val="00AF7804"/>
    <w:rsid w:val="00B00D9A"/>
    <w:rsid w:val="00B16BE4"/>
    <w:rsid w:val="00B24388"/>
    <w:rsid w:val="00B3265D"/>
    <w:rsid w:val="00B4226A"/>
    <w:rsid w:val="00B571BA"/>
    <w:rsid w:val="00B613C7"/>
    <w:rsid w:val="00B65EBB"/>
    <w:rsid w:val="00B669B1"/>
    <w:rsid w:val="00B71422"/>
    <w:rsid w:val="00B7394A"/>
    <w:rsid w:val="00B82574"/>
    <w:rsid w:val="00B83D24"/>
    <w:rsid w:val="00B96C6C"/>
    <w:rsid w:val="00BA4815"/>
    <w:rsid w:val="00BA5E48"/>
    <w:rsid w:val="00BA7B4B"/>
    <w:rsid w:val="00BB4131"/>
    <w:rsid w:val="00BC6FA3"/>
    <w:rsid w:val="00BD08C2"/>
    <w:rsid w:val="00BE0D3F"/>
    <w:rsid w:val="00BF5215"/>
    <w:rsid w:val="00C028CC"/>
    <w:rsid w:val="00C038DE"/>
    <w:rsid w:val="00C03A0E"/>
    <w:rsid w:val="00C3301D"/>
    <w:rsid w:val="00C34195"/>
    <w:rsid w:val="00C366AF"/>
    <w:rsid w:val="00C41FFA"/>
    <w:rsid w:val="00C51C1D"/>
    <w:rsid w:val="00C6659C"/>
    <w:rsid w:val="00C723C0"/>
    <w:rsid w:val="00CA2206"/>
    <w:rsid w:val="00CB6CA1"/>
    <w:rsid w:val="00CC3E2F"/>
    <w:rsid w:val="00CC683F"/>
    <w:rsid w:val="00CE271D"/>
    <w:rsid w:val="00CE2D49"/>
    <w:rsid w:val="00D02568"/>
    <w:rsid w:val="00D038BA"/>
    <w:rsid w:val="00D04CE8"/>
    <w:rsid w:val="00D20800"/>
    <w:rsid w:val="00D34C73"/>
    <w:rsid w:val="00D37D9E"/>
    <w:rsid w:val="00D57A3C"/>
    <w:rsid w:val="00D66429"/>
    <w:rsid w:val="00D8517D"/>
    <w:rsid w:val="00DA0DCD"/>
    <w:rsid w:val="00DA74D9"/>
    <w:rsid w:val="00DC0772"/>
    <w:rsid w:val="00DE169C"/>
    <w:rsid w:val="00DF101B"/>
    <w:rsid w:val="00DF2B24"/>
    <w:rsid w:val="00E12867"/>
    <w:rsid w:val="00E20A2E"/>
    <w:rsid w:val="00E25D97"/>
    <w:rsid w:val="00E314A0"/>
    <w:rsid w:val="00E36686"/>
    <w:rsid w:val="00E4475C"/>
    <w:rsid w:val="00E47FEC"/>
    <w:rsid w:val="00E54BFD"/>
    <w:rsid w:val="00E64E00"/>
    <w:rsid w:val="00E667E9"/>
    <w:rsid w:val="00E67FFC"/>
    <w:rsid w:val="00E728AF"/>
    <w:rsid w:val="00E77641"/>
    <w:rsid w:val="00E84B36"/>
    <w:rsid w:val="00E90742"/>
    <w:rsid w:val="00E92150"/>
    <w:rsid w:val="00E92381"/>
    <w:rsid w:val="00EA14C1"/>
    <w:rsid w:val="00EC33CF"/>
    <w:rsid w:val="00ED6A36"/>
    <w:rsid w:val="00EF3EE3"/>
    <w:rsid w:val="00EF5D54"/>
    <w:rsid w:val="00EF6F1E"/>
    <w:rsid w:val="00F17E20"/>
    <w:rsid w:val="00F24A00"/>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D601B"/>
    <w:rsid w:val="00FD755B"/>
    <w:rsid w:val="00FE0411"/>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0544"/>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9C0544"/>
    <w:pPr>
      <w:keepNext/>
      <w:spacing w:before="240" w:after="60" w:line="240" w:lineRule="auto"/>
      <w:outlineLvl w:val="0"/>
    </w:pPr>
    <w:rPr>
      <w:rFonts w:ascii="Cambria" w:eastAsia="Calibri" w:hAnsi="Cambria" w:cs="Times New Roman"/>
      <w:b/>
      <w:bCs/>
      <w:kern w:val="32"/>
      <w:sz w:val="32"/>
      <w:szCs w:val="32"/>
    </w:rPr>
  </w:style>
  <w:style w:type="paragraph" w:styleId="2">
    <w:name w:val="heading 2"/>
    <w:basedOn w:val="a"/>
    <w:next w:val="a"/>
    <w:link w:val="20"/>
    <w:qFormat/>
    <w:rsid w:val="009C0544"/>
    <w:pPr>
      <w:keepNext/>
      <w:spacing w:before="240" w:after="60" w:line="240" w:lineRule="auto"/>
      <w:outlineLvl w:val="1"/>
    </w:pPr>
    <w:rPr>
      <w:rFonts w:ascii="Cambria" w:eastAsia="Calibri" w:hAnsi="Cambria" w:cs="Times New Roman"/>
      <w:b/>
      <w:bCs/>
      <w:i/>
      <w:iCs/>
      <w:sz w:val="28"/>
      <w:szCs w:val="28"/>
    </w:rPr>
  </w:style>
  <w:style w:type="paragraph" w:styleId="3">
    <w:name w:val="heading 3"/>
    <w:basedOn w:val="a"/>
    <w:next w:val="a"/>
    <w:link w:val="30"/>
    <w:qFormat/>
    <w:rsid w:val="009C0544"/>
    <w:pPr>
      <w:keepNext/>
      <w:bidi w:val="0"/>
      <w:spacing w:before="240" w:after="60" w:line="240" w:lineRule="auto"/>
      <w:outlineLvl w:val="2"/>
    </w:pPr>
    <w:rPr>
      <w:rFonts w:ascii="Cambria" w:eastAsia="Calibri" w:hAnsi="Cambria" w:cs="Times New Roman"/>
      <w:b/>
      <w:bCs/>
      <w:sz w:val="26"/>
      <w:szCs w:val="26"/>
    </w:rPr>
  </w:style>
  <w:style w:type="paragraph" w:styleId="4">
    <w:name w:val="heading 4"/>
    <w:basedOn w:val="a"/>
    <w:next w:val="a"/>
    <w:link w:val="40"/>
    <w:qFormat/>
    <w:rsid w:val="009C0544"/>
    <w:pPr>
      <w:keepNext/>
      <w:bidi w:val="0"/>
      <w:spacing w:before="240" w:after="60" w:line="240" w:lineRule="auto"/>
      <w:outlineLvl w:val="3"/>
    </w:pPr>
    <w:rPr>
      <w:rFonts w:eastAsia="Calibri" w:cs="Times New Roman"/>
      <w:b/>
      <w:bCs/>
      <w:sz w:val="28"/>
      <w:szCs w:val="28"/>
    </w:rPr>
  </w:style>
  <w:style w:type="paragraph" w:styleId="5">
    <w:name w:val="heading 5"/>
    <w:basedOn w:val="a"/>
    <w:next w:val="a"/>
    <w:link w:val="50"/>
    <w:qFormat/>
    <w:rsid w:val="009C0544"/>
    <w:pPr>
      <w:bidi w:val="0"/>
      <w:spacing w:before="240" w:after="60" w:line="240" w:lineRule="auto"/>
      <w:outlineLvl w:val="4"/>
    </w:pPr>
    <w:rPr>
      <w:rFonts w:eastAsia="Calibri" w:cs="Times New Roman"/>
      <w:b/>
      <w:bCs/>
      <w:i/>
      <w:iCs/>
      <w:sz w:val="26"/>
      <w:szCs w:val="26"/>
    </w:rPr>
  </w:style>
  <w:style w:type="paragraph" w:styleId="6">
    <w:name w:val="heading 6"/>
    <w:basedOn w:val="a"/>
    <w:next w:val="a"/>
    <w:link w:val="60"/>
    <w:qFormat/>
    <w:rsid w:val="009C0544"/>
    <w:pPr>
      <w:bidi w:val="0"/>
      <w:spacing w:before="240" w:after="60" w:line="240" w:lineRule="auto"/>
      <w:outlineLvl w:val="5"/>
    </w:pPr>
    <w:rPr>
      <w:rFonts w:eastAsia="Calibri" w:cs="Times New Roman"/>
      <w:b/>
      <w:bCs/>
    </w:rPr>
  </w:style>
  <w:style w:type="paragraph" w:styleId="7">
    <w:name w:val="heading 7"/>
    <w:basedOn w:val="a"/>
    <w:next w:val="a"/>
    <w:link w:val="70"/>
    <w:qFormat/>
    <w:rsid w:val="009C0544"/>
    <w:pPr>
      <w:bidi w:val="0"/>
      <w:spacing w:before="240" w:after="60" w:line="240" w:lineRule="auto"/>
      <w:outlineLvl w:val="6"/>
    </w:pPr>
    <w:rPr>
      <w:rFonts w:eastAsia="Calibri" w:cs="Times New Roman"/>
      <w:sz w:val="24"/>
      <w:szCs w:val="24"/>
    </w:rPr>
  </w:style>
  <w:style w:type="paragraph" w:styleId="8">
    <w:name w:val="heading 8"/>
    <w:basedOn w:val="a"/>
    <w:next w:val="a"/>
    <w:link w:val="80"/>
    <w:qFormat/>
    <w:rsid w:val="009C0544"/>
    <w:pPr>
      <w:bidi w:val="0"/>
      <w:spacing w:before="240" w:after="60" w:line="240" w:lineRule="auto"/>
      <w:outlineLvl w:val="7"/>
    </w:pPr>
    <w:rPr>
      <w:rFonts w:eastAsia="Calibri" w:cs="Times New Roman"/>
      <w:i/>
      <w:iCs/>
      <w:sz w:val="24"/>
      <w:szCs w:val="24"/>
    </w:rPr>
  </w:style>
  <w:style w:type="paragraph" w:styleId="9">
    <w:name w:val="heading 9"/>
    <w:basedOn w:val="a"/>
    <w:next w:val="a"/>
    <w:link w:val="90"/>
    <w:qFormat/>
    <w:rsid w:val="009C0544"/>
    <w:pPr>
      <w:bidi w:val="0"/>
      <w:spacing w:before="240" w:after="60" w:line="240" w:lineRule="auto"/>
      <w:outlineLvl w:val="8"/>
    </w:pPr>
    <w:rPr>
      <w:rFonts w:ascii="Cambria" w:eastAsia="Calibri"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C0544"/>
    <w:pPr>
      <w:tabs>
        <w:tab w:val="center" w:pos="4153"/>
        <w:tab w:val="right" w:pos="8306"/>
      </w:tabs>
      <w:spacing w:line="240" w:lineRule="auto"/>
    </w:pPr>
  </w:style>
  <w:style w:type="character" w:customStyle="1" w:styleId="a4">
    <w:name w:val="כותרת עליונה תו"/>
    <w:basedOn w:val="a0"/>
    <w:link w:val="a3"/>
    <w:rsid w:val="009C0544"/>
  </w:style>
  <w:style w:type="paragraph" w:styleId="a5">
    <w:name w:val="footer"/>
    <w:basedOn w:val="a"/>
    <w:link w:val="a6"/>
    <w:unhideWhenUsed/>
    <w:rsid w:val="009C0544"/>
    <w:pPr>
      <w:tabs>
        <w:tab w:val="center" w:pos="4153"/>
        <w:tab w:val="right" w:pos="8306"/>
      </w:tabs>
      <w:spacing w:line="240" w:lineRule="auto"/>
    </w:pPr>
  </w:style>
  <w:style w:type="character" w:customStyle="1" w:styleId="a6">
    <w:name w:val="כותרת תחתונה תו"/>
    <w:basedOn w:val="a0"/>
    <w:link w:val="a5"/>
    <w:rsid w:val="009C0544"/>
  </w:style>
  <w:style w:type="paragraph" w:styleId="a7">
    <w:name w:val="Balloon Text"/>
    <w:basedOn w:val="a"/>
    <w:link w:val="a8"/>
    <w:semiHidden/>
    <w:unhideWhenUsed/>
    <w:rsid w:val="009C0544"/>
    <w:pPr>
      <w:spacing w:line="240" w:lineRule="auto"/>
    </w:pPr>
    <w:rPr>
      <w:rFonts w:ascii="Tahoma" w:hAnsi="Tahoma" w:cs="Tahoma"/>
      <w:sz w:val="16"/>
      <w:szCs w:val="16"/>
    </w:rPr>
  </w:style>
  <w:style w:type="character" w:customStyle="1" w:styleId="a8">
    <w:name w:val="טקסט בלונים תו"/>
    <w:basedOn w:val="a0"/>
    <w:link w:val="a7"/>
    <w:semiHidden/>
    <w:rsid w:val="009C0544"/>
    <w:rPr>
      <w:rFonts w:ascii="Tahoma" w:hAnsi="Tahoma" w:cs="Tahoma"/>
      <w:sz w:val="16"/>
      <w:szCs w:val="16"/>
    </w:rPr>
  </w:style>
  <w:style w:type="character" w:customStyle="1" w:styleId="10">
    <w:name w:val="כותרת 1 תו"/>
    <w:basedOn w:val="a0"/>
    <w:link w:val="1"/>
    <w:rsid w:val="009C0544"/>
    <w:rPr>
      <w:rFonts w:ascii="Cambria" w:eastAsia="Calibri" w:hAnsi="Cambria" w:cs="Times New Roman"/>
      <w:b/>
      <w:bCs/>
      <w:kern w:val="32"/>
      <w:sz w:val="32"/>
      <w:szCs w:val="32"/>
    </w:rPr>
  </w:style>
  <w:style w:type="character" w:customStyle="1" w:styleId="20">
    <w:name w:val="כותרת 2 תו"/>
    <w:basedOn w:val="a0"/>
    <w:link w:val="2"/>
    <w:rsid w:val="009C0544"/>
    <w:rPr>
      <w:rFonts w:ascii="Cambria" w:eastAsia="Calibri" w:hAnsi="Cambria" w:cs="Times New Roman"/>
      <w:b/>
      <w:bCs/>
      <w:i/>
      <w:iCs/>
      <w:sz w:val="28"/>
      <w:szCs w:val="28"/>
    </w:rPr>
  </w:style>
  <w:style w:type="character" w:customStyle="1" w:styleId="30">
    <w:name w:val="כותרת 3 תו"/>
    <w:basedOn w:val="a0"/>
    <w:link w:val="3"/>
    <w:rsid w:val="009C0544"/>
    <w:rPr>
      <w:rFonts w:ascii="Cambria" w:eastAsia="Calibri" w:hAnsi="Cambria" w:cs="Times New Roman"/>
      <w:b/>
      <w:bCs/>
      <w:sz w:val="26"/>
      <w:szCs w:val="26"/>
    </w:rPr>
  </w:style>
  <w:style w:type="character" w:customStyle="1" w:styleId="40">
    <w:name w:val="כותרת 4 תו"/>
    <w:basedOn w:val="a0"/>
    <w:link w:val="4"/>
    <w:rsid w:val="009C0544"/>
    <w:rPr>
      <w:rFonts w:ascii="Calibri" w:eastAsia="Calibri" w:hAnsi="Calibri" w:cs="Times New Roman"/>
      <w:b/>
      <w:bCs/>
      <w:sz w:val="28"/>
      <w:szCs w:val="28"/>
    </w:rPr>
  </w:style>
  <w:style w:type="character" w:customStyle="1" w:styleId="50">
    <w:name w:val="כותרת 5 תו"/>
    <w:basedOn w:val="a0"/>
    <w:link w:val="5"/>
    <w:rsid w:val="009C0544"/>
    <w:rPr>
      <w:rFonts w:ascii="Calibri" w:eastAsia="Calibri" w:hAnsi="Calibri" w:cs="Times New Roman"/>
      <w:b/>
      <w:bCs/>
      <w:i/>
      <w:iCs/>
      <w:sz w:val="26"/>
      <w:szCs w:val="26"/>
    </w:rPr>
  </w:style>
  <w:style w:type="character" w:customStyle="1" w:styleId="60">
    <w:name w:val="כותרת 6 תו"/>
    <w:basedOn w:val="a0"/>
    <w:link w:val="6"/>
    <w:rsid w:val="009C0544"/>
    <w:rPr>
      <w:rFonts w:ascii="Calibri" w:eastAsia="Calibri" w:hAnsi="Calibri" w:cs="Times New Roman"/>
      <w:b/>
      <w:bCs/>
      <w:sz w:val="22"/>
      <w:szCs w:val="22"/>
    </w:rPr>
  </w:style>
  <w:style w:type="character" w:customStyle="1" w:styleId="70">
    <w:name w:val="כותרת 7 תו"/>
    <w:basedOn w:val="a0"/>
    <w:link w:val="7"/>
    <w:rsid w:val="009C0544"/>
    <w:rPr>
      <w:rFonts w:ascii="Calibri" w:eastAsia="Calibri" w:hAnsi="Calibri" w:cs="Times New Roman"/>
    </w:rPr>
  </w:style>
  <w:style w:type="character" w:customStyle="1" w:styleId="80">
    <w:name w:val="כותרת 8 תו"/>
    <w:basedOn w:val="a0"/>
    <w:link w:val="8"/>
    <w:rsid w:val="009C0544"/>
    <w:rPr>
      <w:rFonts w:ascii="Calibri" w:eastAsia="Calibri" w:hAnsi="Calibri" w:cs="Times New Roman"/>
      <w:i/>
      <w:iCs/>
    </w:rPr>
  </w:style>
  <w:style w:type="character" w:customStyle="1" w:styleId="90">
    <w:name w:val="כותרת 9 תו"/>
    <w:basedOn w:val="a0"/>
    <w:link w:val="9"/>
    <w:rsid w:val="009C0544"/>
    <w:rPr>
      <w:rFonts w:ascii="Cambria" w:eastAsia="Calibri" w:hAnsi="Cambria" w:cs="Times New Roman"/>
      <w:sz w:val="22"/>
      <w:szCs w:val="22"/>
    </w:rPr>
  </w:style>
  <w:style w:type="paragraph" w:styleId="a9">
    <w:name w:val="caption"/>
    <w:basedOn w:val="a"/>
    <w:next w:val="a"/>
    <w:qFormat/>
    <w:rsid w:val="009C0544"/>
    <w:pPr>
      <w:spacing w:after="0" w:line="360" w:lineRule="auto"/>
      <w:jc w:val="center"/>
    </w:pPr>
    <w:rPr>
      <w:rFonts w:ascii="David" w:eastAsia="Calibri" w:hAnsi="David" w:cs="David"/>
      <w:bCs/>
      <w:i/>
      <w:sz w:val="20"/>
      <w:szCs w:val="20"/>
    </w:rPr>
  </w:style>
  <w:style w:type="paragraph" w:customStyle="1" w:styleId="11">
    <w:name w:val="פיסקת רשימה1"/>
    <w:basedOn w:val="a"/>
    <w:rsid w:val="009C0544"/>
    <w:pPr>
      <w:ind w:left="720"/>
      <w:contextualSpacing/>
    </w:pPr>
  </w:style>
  <w:style w:type="paragraph" w:customStyle="1" w:styleId="aa">
    <w:name w:val="נבנצלים"/>
    <w:basedOn w:val="a"/>
    <w:next w:val="a"/>
    <w:autoRedefine/>
    <w:rsid w:val="009C0544"/>
    <w:pPr>
      <w:widowControl w:val="0"/>
      <w:spacing w:after="0" w:line="269" w:lineRule="auto"/>
      <w:ind w:left="509" w:hanging="509"/>
    </w:pPr>
    <w:rPr>
      <w:rFonts w:ascii="Monotype Sorts" w:eastAsia="Calibri" w:hAnsi="Monotype Sorts" w:cs="David"/>
      <w:b/>
      <w:bCs/>
      <w:sz w:val="24"/>
      <w:szCs w:val="24"/>
      <w:lang w:eastAsia="he-IL"/>
    </w:rPr>
  </w:style>
  <w:style w:type="paragraph" w:styleId="ab">
    <w:name w:val="footnote text"/>
    <w:basedOn w:val="a"/>
    <w:link w:val="ac"/>
    <w:autoRedefine/>
    <w:semiHidden/>
    <w:rsid w:val="009C0544"/>
    <w:pPr>
      <w:widowControl w:val="0"/>
      <w:spacing w:after="0" w:line="240" w:lineRule="auto"/>
      <w:ind w:left="284" w:hanging="284"/>
      <w:jc w:val="both"/>
    </w:pPr>
    <w:rPr>
      <w:rFonts w:ascii="Times New Roman" w:eastAsia="Calibri" w:hAnsi="Times New Roman" w:cs="David"/>
      <w:sz w:val="20"/>
      <w:szCs w:val="20"/>
      <w:lang w:eastAsia="he-IL"/>
    </w:rPr>
  </w:style>
  <w:style w:type="character" w:customStyle="1" w:styleId="ac">
    <w:name w:val="טקסט הערת שוליים תו"/>
    <w:basedOn w:val="a0"/>
    <w:link w:val="ab"/>
    <w:semiHidden/>
    <w:rsid w:val="009C0544"/>
    <w:rPr>
      <w:rFonts w:ascii="Times New Roman" w:eastAsia="Calibri" w:hAnsi="Times New Roman"/>
      <w:sz w:val="20"/>
      <w:szCs w:val="20"/>
      <w:lang w:eastAsia="he-IL"/>
    </w:rPr>
  </w:style>
  <w:style w:type="character" w:styleId="ad">
    <w:name w:val="footnote reference"/>
    <w:basedOn w:val="a0"/>
    <w:semiHidden/>
    <w:rsid w:val="009C0544"/>
    <w:rPr>
      <w:rFonts w:cs="David"/>
      <w:vertAlign w:val="superscript"/>
      <w:lang w:bidi="he-IL"/>
    </w:rPr>
  </w:style>
  <w:style w:type="paragraph" w:customStyle="1" w:styleId="ae">
    <w:name w:val="תו"/>
    <w:basedOn w:val="a"/>
    <w:rsid w:val="009C0544"/>
    <w:pPr>
      <w:keepLines/>
      <w:tabs>
        <w:tab w:val="left" w:pos="397"/>
        <w:tab w:val="left" w:pos="794"/>
        <w:tab w:val="left" w:pos="1191"/>
        <w:tab w:val="left" w:pos="1588"/>
        <w:tab w:val="left" w:pos="1985"/>
        <w:tab w:val="left" w:pos="2381"/>
        <w:tab w:val="left" w:pos="2778"/>
        <w:tab w:val="left" w:pos="3175"/>
        <w:tab w:val="left" w:pos="3572"/>
      </w:tabs>
      <w:spacing w:after="0" w:line="240" w:lineRule="auto"/>
      <w:ind w:left="567" w:hanging="567"/>
    </w:pPr>
    <w:rPr>
      <w:rFonts w:ascii="Arial" w:eastAsia="Calibri" w:hAnsi="Arial" w:cs="Times New Roman"/>
      <w:noProof/>
      <w:sz w:val="24"/>
      <w:szCs w:val="28"/>
    </w:rPr>
  </w:style>
  <w:style w:type="paragraph" w:styleId="af">
    <w:name w:val="Title"/>
    <w:basedOn w:val="a"/>
    <w:next w:val="a"/>
    <w:link w:val="af0"/>
    <w:qFormat/>
    <w:rsid w:val="009C0544"/>
    <w:pPr>
      <w:spacing w:before="240" w:after="60" w:line="240" w:lineRule="auto"/>
      <w:jc w:val="center"/>
      <w:outlineLvl w:val="0"/>
    </w:pPr>
    <w:rPr>
      <w:rFonts w:ascii="Cambria" w:eastAsia="Calibri" w:hAnsi="Cambria" w:cs="Times New Roman"/>
      <w:b/>
      <w:bCs/>
      <w:kern w:val="28"/>
      <w:sz w:val="32"/>
      <w:szCs w:val="32"/>
    </w:rPr>
  </w:style>
  <w:style w:type="character" w:customStyle="1" w:styleId="af0">
    <w:name w:val="תואר תו"/>
    <w:basedOn w:val="a0"/>
    <w:link w:val="af"/>
    <w:rsid w:val="009C0544"/>
    <w:rPr>
      <w:rFonts w:ascii="Cambria" w:eastAsia="Calibri" w:hAnsi="Cambria" w:cs="Times New Roman"/>
      <w:b/>
      <w:bCs/>
      <w:kern w:val="28"/>
      <w:sz w:val="32"/>
      <w:szCs w:val="32"/>
    </w:rPr>
  </w:style>
  <w:style w:type="paragraph" w:customStyle="1" w:styleId="12">
    <w:name w:val="ללא מרווח1"/>
    <w:basedOn w:val="a"/>
    <w:rsid w:val="009C0544"/>
    <w:pPr>
      <w:spacing w:after="0" w:line="240" w:lineRule="auto"/>
    </w:pPr>
    <w:rPr>
      <w:rFonts w:eastAsia="Calibri" w:cs="Times New Roman"/>
      <w:sz w:val="24"/>
      <w:szCs w:val="32"/>
    </w:rPr>
  </w:style>
  <w:style w:type="character" w:customStyle="1" w:styleId="13">
    <w:name w:val="הדגשה חזקה1"/>
    <w:basedOn w:val="a0"/>
    <w:rsid w:val="009C0544"/>
    <w:rPr>
      <w:rFonts w:cs="Times New Roman"/>
      <w:b/>
      <w:i/>
      <w:sz w:val="24"/>
      <w:szCs w:val="24"/>
      <w:u w:val="single"/>
    </w:rPr>
  </w:style>
  <w:style w:type="character" w:customStyle="1" w:styleId="14">
    <w:name w:val="הפניה מעודנת1"/>
    <w:basedOn w:val="a0"/>
    <w:rsid w:val="009C0544"/>
    <w:rPr>
      <w:rFonts w:cs="Times New Roman"/>
      <w:sz w:val="24"/>
      <w:szCs w:val="24"/>
      <w:u w:val="single"/>
    </w:rPr>
  </w:style>
  <w:style w:type="character" w:customStyle="1" w:styleId="15">
    <w:name w:val="כותר הספר1"/>
    <w:basedOn w:val="a0"/>
    <w:rsid w:val="009C0544"/>
    <w:rPr>
      <w:rFonts w:ascii="Cambria" w:hAnsi="Cambria" w:cs="Times New Roman"/>
      <w:b/>
      <w:i/>
      <w:sz w:val="24"/>
      <w:szCs w:val="24"/>
    </w:rPr>
  </w:style>
  <w:style w:type="character" w:customStyle="1" w:styleId="21">
    <w:name w:val="תו תו2"/>
    <w:basedOn w:val="a0"/>
    <w:uiPriority w:val="99"/>
    <w:rsid w:val="009C0544"/>
    <w:rPr>
      <w:rFonts w:cs="Times New Roman"/>
      <w:b/>
      <w:bCs/>
      <w:i/>
      <w:iCs/>
      <w:sz w:val="26"/>
      <w:szCs w:val="26"/>
      <w:lang w:val="en-US" w:eastAsia="en-US" w:bidi="he-IL"/>
    </w:rPr>
  </w:style>
  <w:style w:type="character" w:customStyle="1" w:styleId="16">
    <w:name w:val="טקסט מציין מיקום1"/>
    <w:basedOn w:val="a0"/>
    <w:semiHidden/>
    <w:rsid w:val="009C0544"/>
    <w:rPr>
      <w:rFonts w:cs="Times New Roman"/>
      <w:color w:val="808080"/>
    </w:rPr>
  </w:style>
  <w:style w:type="paragraph" w:styleId="af1">
    <w:name w:val="Subtitle"/>
    <w:basedOn w:val="a"/>
    <w:next w:val="a"/>
    <w:link w:val="af2"/>
    <w:qFormat/>
    <w:rsid w:val="009C0544"/>
    <w:pPr>
      <w:bidi w:val="0"/>
      <w:spacing w:after="60" w:line="240" w:lineRule="auto"/>
      <w:jc w:val="center"/>
      <w:outlineLvl w:val="1"/>
    </w:pPr>
    <w:rPr>
      <w:rFonts w:ascii="Cambria" w:eastAsia="Calibri" w:hAnsi="Cambria" w:cs="Times New Roman"/>
      <w:sz w:val="24"/>
      <w:szCs w:val="24"/>
    </w:rPr>
  </w:style>
  <w:style w:type="character" w:customStyle="1" w:styleId="af2">
    <w:name w:val="כותרת משנה תו"/>
    <w:basedOn w:val="a0"/>
    <w:link w:val="af1"/>
    <w:rsid w:val="009C0544"/>
    <w:rPr>
      <w:rFonts w:ascii="Cambria" w:eastAsia="Calibri" w:hAnsi="Cambria" w:cs="Times New Roman"/>
    </w:rPr>
  </w:style>
  <w:style w:type="character" w:styleId="af3">
    <w:name w:val="Strong"/>
    <w:basedOn w:val="a0"/>
    <w:qFormat/>
    <w:rsid w:val="009C0544"/>
    <w:rPr>
      <w:rFonts w:cs="Times New Roman"/>
      <w:b/>
      <w:bCs/>
    </w:rPr>
  </w:style>
  <w:style w:type="character" w:styleId="af4">
    <w:name w:val="Emphasis"/>
    <w:basedOn w:val="a0"/>
    <w:qFormat/>
    <w:rsid w:val="009C0544"/>
    <w:rPr>
      <w:rFonts w:ascii="Calibri" w:hAnsi="Calibri" w:cs="Times New Roman"/>
      <w:b/>
      <w:i/>
      <w:iCs/>
    </w:rPr>
  </w:style>
  <w:style w:type="paragraph" w:customStyle="1" w:styleId="17">
    <w:name w:val="הצעת מחיר1"/>
    <w:basedOn w:val="a"/>
    <w:next w:val="a"/>
    <w:link w:val="QuoteChar"/>
    <w:rsid w:val="009C0544"/>
    <w:pPr>
      <w:bidi w:val="0"/>
      <w:spacing w:after="0" w:line="240" w:lineRule="auto"/>
    </w:pPr>
    <w:rPr>
      <w:rFonts w:eastAsia="Calibri" w:cs="Times New Roman"/>
      <w:i/>
      <w:sz w:val="24"/>
      <w:szCs w:val="24"/>
    </w:rPr>
  </w:style>
  <w:style w:type="character" w:customStyle="1" w:styleId="QuoteChar">
    <w:name w:val="Quote Char"/>
    <w:basedOn w:val="a0"/>
    <w:link w:val="17"/>
    <w:locked/>
    <w:rsid w:val="009C0544"/>
    <w:rPr>
      <w:rFonts w:ascii="Calibri" w:eastAsia="Calibri" w:hAnsi="Calibri" w:cs="Times New Roman"/>
      <w:i/>
    </w:rPr>
  </w:style>
  <w:style w:type="paragraph" w:customStyle="1" w:styleId="18">
    <w:name w:val="הצעת מחיר חזקה1"/>
    <w:basedOn w:val="a"/>
    <w:next w:val="a"/>
    <w:link w:val="IntenseQuoteChar"/>
    <w:rsid w:val="009C0544"/>
    <w:pPr>
      <w:bidi w:val="0"/>
      <w:spacing w:after="0" w:line="240" w:lineRule="auto"/>
      <w:ind w:left="720" w:right="720"/>
    </w:pPr>
    <w:rPr>
      <w:rFonts w:eastAsia="Calibri" w:cs="Times New Roman"/>
      <w:b/>
      <w:i/>
      <w:sz w:val="24"/>
    </w:rPr>
  </w:style>
  <w:style w:type="character" w:customStyle="1" w:styleId="IntenseQuoteChar">
    <w:name w:val="Intense Quote Char"/>
    <w:basedOn w:val="a0"/>
    <w:link w:val="18"/>
    <w:locked/>
    <w:rsid w:val="009C0544"/>
    <w:rPr>
      <w:rFonts w:ascii="Calibri" w:eastAsia="Calibri" w:hAnsi="Calibri" w:cs="Times New Roman"/>
      <w:b/>
      <w:i/>
      <w:szCs w:val="22"/>
    </w:rPr>
  </w:style>
  <w:style w:type="character" w:customStyle="1" w:styleId="19">
    <w:name w:val="הדגשה מעודנת1"/>
    <w:rsid w:val="009C0544"/>
    <w:rPr>
      <w:i/>
      <w:color w:val="5A5A5A"/>
    </w:rPr>
  </w:style>
  <w:style w:type="character" w:customStyle="1" w:styleId="1a">
    <w:name w:val="הפניה חזקה1"/>
    <w:basedOn w:val="a0"/>
    <w:rsid w:val="009C0544"/>
    <w:rPr>
      <w:rFonts w:cs="Times New Roman"/>
      <w:b/>
      <w:sz w:val="24"/>
      <w:u w:val="single"/>
    </w:rPr>
  </w:style>
  <w:style w:type="paragraph" w:customStyle="1" w:styleId="1b">
    <w:name w:val="כותרת תוכן עניינים1"/>
    <w:basedOn w:val="1"/>
    <w:next w:val="a"/>
    <w:semiHidden/>
    <w:rsid w:val="009C0544"/>
    <w:pPr>
      <w:bidi w:val="0"/>
      <w:outlineLvl w:val="9"/>
    </w:pPr>
  </w:style>
  <w:style w:type="table" w:styleId="af5">
    <w:name w:val="Table Grid"/>
    <w:basedOn w:val="a1"/>
    <w:rsid w:val="009C0544"/>
    <w:pPr>
      <w:bidi/>
      <w:spacing w:line="240" w:lineRule="auto"/>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כותרת מאמר"/>
    <w:basedOn w:val="a"/>
    <w:uiPriority w:val="99"/>
    <w:rsid w:val="00622F36"/>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7E569-1435-4C0C-AD27-CA10C3979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1166</Words>
  <Characters>5830</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2010-10-14T08:09:00Z</cp:lastPrinted>
  <dcterms:created xsi:type="dcterms:W3CDTF">2010-12-12T12:00:00Z</dcterms:created>
  <dcterms:modified xsi:type="dcterms:W3CDTF">2010-12-12T12:00:00Z</dcterms:modified>
</cp:coreProperties>
</file>