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9B6" w:rsidRPr="00F419B6" w:rsidRDefault="00F419B6" w:rsidP="00F419B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F419B6">
        <w:rPr>
          <w:rFonts w:ascii="David" w:eastAsiaTheme="minorHAnsi" w:hAnsiTheme="minorHAnsi" w:cs="David" w:hint="cs"/>
          <w:b/>
          <w:bCs/>
          <w:color w:val="000000"/>
          <w:sz w:val="32"/>
          <w:szCs w:val="32"/>
          <w:rtl/>
        </w:rPr>
        <w:t>מתן פטור משירות חובה לפני תום השירות</w:t>
      </w:r>
    </w:p>
    <w:p w:rsidR="00F419B6" w:rsidRPr="00F419B6" w:rsidRDefault="00F419B6" w:rsidP="00F419B6">
      <w:pPr>
        <w:autoSpaceDE w:val="0"/>
        <w:autoSpaceDN w:val="0"/>
        <w:adjustRightInd w:val="0"/>
        <w:jc w:val="both"/>
        <w:textAlignment w:val="center"/>
        <w:rPr>
          <w:rFonts w:ascii="David" w:eastAsiaTheme="minorHAnsi" w:cs="David"/>
          <w:b/>
          <w:bCs/>
          <w:color w:val="000000"/>
          <w:sz w:val="24"/>
          <w:szCs w:val="24"/>
          <w:rtl/>
        </w:rPr>
      </w:pPr>
      <w:r w:rsidRPr="00F419B6">
        <w:rPr>
          <w:rFonts w:ascii="David" w:eastAsiaTheme="minorHAnsi" w:cs="David" w:hint="cs"/>
          <w:b/>
          <w:bCs/>
          <w:color w:val="000000"/>
          <w:sz w:val="24"/>
          <w:szCs w:val="24"/>
          <w:rtl/>
        </w:rPr>
        <w:t>הגופים המבוקרים: צבא ההגנה לישראל</w:t>
      </w:r>
    </w:p>
    <w:p w:rsidR="00F419B6" w:rsidRPr="00F419B6" w:rsidRDefault="00F419B6" w:rsidP="00F419B6">
      <w:pPr>
        <w:autoSpaceDE w:val="0"/>
        <w:autoSpaceDN w:val="0"/>
        <w:adjustRightInd w:val="0"/>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ליקויים 4,9,10 תוקנו. ראה הערות רה"מ </w:t>
      </w:r>
      <w:proofErr w:type="spellStart"/>
      <w:r w:rsidRPr="00F419B6">
        <w:rPr>
          <w:rFonts w:ascii="David" w:eastAsiaTheme="minorHAnsi" w:cs="David" w:hint="cs"/>
          <w:color w:val="000000"/>
          <w:sz w:val="24"/>
          <w:szCs w:val="24"/>
          <w:rtl/>
        </w:rPr>
        <w:t>60א</w:t>
      </w:r>
      <w:proofErr w:type="spellEnd"/>
      <w:r w:rsidRPr="00F419B6">
        <w:rPr>
          <w:rFonts w:ascii="David" w:eastAsiaTheme="minorHAnsi" w:cs="David" w:hint="cs"/>
          <w:color w:val="000000"/>
          <w:sz w:val="24"/>
          <w:szCs w:val="24"/>
          <w:rtl/>
        </w:rPr>
        <w:t xml:space="preserve">' </w:t>
      </w:r>
      <w:proofErr w:type="spellStart"/>
      <w:r w:rsidRPr="00F419B6">
        <w:rPr>
          <w:rFonts w:ascii="David" w:eastAsiaTheme="minorHAnsi" w:cs="David" w:hint="cs"/>
          <w:color w:val="000000"/>
          <w:sz w:val="24"/>
          <w:szCs w:val="24"/>
          <w:rtl/>
        </w:rPr>
        <w:t>עמ</w:t>
      </w:r>
      <w:proofErr w:type="spellEnd"/>
      <w:r w:rsidRPr="00F419B6">
        <w:rPr>
          <w:rFonts w:ascii="David" w:eastAsiaTheme="minorHAnsi" w:cs="David" w:hint="cs"/>
          <w:color w:val="000000"/>
          <w:sz w:val="24"/>
          <w:szCs w:val="24"/>
          <w:rtl/>
        </w:rPr>
        <w:t>' 34-37.</w:t>
      </w:r>
    </w:p>
    <w:p w:rsidR="00F419B6" w:rsidRPr="00F419B6" w:rsidRDefault="00F419B6" w:rsidP="00F419B6">
      <w:pPr>
        <w:autoSpaceDE w:val="0"/>
        <w:autoSpaceDN w:val="0"/>
        <w:adjustRightInd w:val="0"/>
        <w:spacing w:after="170" w:line="288" w:lineRule="auto"/>
        <w:ind w:left="12"/>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ליקוי</w:t>
      </w:r>
    </w:p>
    <w:p w:rsidR="00F419B6" w:rsidRPr="00F419B6" w:rsidRDefault="00F419B6" w:rsidP="00F419B6">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1. </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בספטמבר 2008 קבע סגן הרמטכ"ל, במסגרת עבודת המטה למיצוי כוח אדם ולצמצום הפטור לפני תום שירות חובה, בין השאר, שאכ"א יציג בינואר 2009 תחקיר למיצוי כוח אדם, שבו ייבדק לאן הופנו החיילים שנותרו בשירות ומהי האפקטיביות של העמקת הגיוס וצמצום הפטור האמור. במועד סיום הביקורת, אכ"א עדיין לא הציג תחקיר כזה, כיוון שלא היו עדיין בידיו תבחינים מוגדרים לבחינת יעילות השירות הצבאי של החיילים שנותרו בשירות.</w:t>
      </w:r>
    </w:p>
    <w:p w:rsidR="00F419B6" w:rsidRPr="00F419B6" w:rsidRDefault="00F419B6" w:rsidP="00F419B6">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F419B6">
        <w:rPr>
          <w:rFonts w:ascii="David" w:eastAsiaTheme="minorHAnsi" w:cs="David" w:hint="cs"/>
          <w:b/>
          <w:bCs/>
          <w:color w:val="000000"/>
          <w:sz w:val="24"/>
          <w:szCs w:val="24"/>
          <w:rtl/>
        </w:rPr>
        <w:t>מעקב</w:t>
      </w:r>
    </w:p>
    <w:p w:rsidR="00F419B6" w:rsidRPr="00F419B6" w:rsidRDefault="00F419B6" w:rsidP="00F419B6">
      <w:pPr>
        <w:autoSpaceDE w:val="0"/>
        <w:autoSpaceDN w:val="0"/>
        <w:adjustRightInd w:val="0"/>
        <w:spacing w:after="170" w:line="288" w:lineRule="auto"/>
        <w:ind w:left="566" w:hanging="566"/>
        <w:jc w:val="both"/>
        <w:textAlignment w:val="center"/>
        <w:rPr>
          <w:rFonts w:ascii="David" w:eastAsiaTheme="minorHAnsi" w:cs="David"/>
          <w:b/>
          <w:bCs/>
          <w:color w:val="000000"/>
          <w:sz w:val="24"/>
          <w:szCs w:val="24"/>
          <w:rtl/>
        </w:rPr>
      </w:pPr>
      <w:r w:rsidRPr="00F419B6">
        <w:rPr>
          <w:rFonts w:ascii="David" w:eastAsiaTheme="minorHAnsi" w:cs="David" w:hint="cs"/>
          <w:b/>
          <w:bCs/>
          <w:color w:val="000000"/>
          <w:sz w:val="24"/>
          <w:szCs w:val="24"/>
          <w:rtl/>
        </w:rPr>
        <w:t>צבא ההגנה לישראל</w:t>
      </w:r>
    </w:p>
    <w:p w:rsidR="00F419B6" w:rsidRPr="00F419B6" w:rsidRDefault="00F419B6" w:rsidP="00F419B6">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1.</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העבודה על תחקיר הנשר בשירות נמצאת לקראת סיום והצגה לסגן הרמטכ"ל. צפי לסיום- רבעון ג' שנת 2010.</w:t>
      </w:r>
    </w:p>
    <w:p w:rsidR="00F419B6" w:rsidRPr="00F419B6" w:rsidRDefault="00F419B6" w:rsidP="00F419B6">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ראה הערות רה"מ </w:t>
      </w:r>
      <w:proofErr w:type="spellStart"/>
      <w:r w:rsidRPr="00F419B6">
        <w:rPr>
          <w:rFonts w:ascii="David" w:eastAsiaTheme="minorHAnsi" w:cs="David" w:hint="cs"/>
          <w:color w:val="000000"/>
          <w:sz w:val="24"/>
          <w:szCs w:val="24"/>
          <w:rtl/>
        </w:rPr>
        <w:t>60א</w:t>
      </w:r>
      <w:proofErr w:type="spellEnd"/>
      <w:r w:rsidRPr="00F419B6">
        <w:rPr>
          <w:rFonts w:ascii="David" w:eastAsiaTheme="minorHAnsi" w:cs="David" w:hint="cs"/>
          <w:color w:val="000000"/>
          <w:sz w:val="24"/>
          <w:szCs w:val="24"/>
          <w:rtl/>
        </w:rPr>
        <w:t xml:space="preserve">' </w:t>
      </w:r>
      <w:proofErr w:type="spellStart"/>
      <w:r w:rsidRPr="00F419B6">
        <w:rPr>
          <w:rFonts w:ascii="David" w:eastAsiaTheme="minorHAnsi" w:cs="David" w:hint="cs"/>
          <w:color w:val="000000"/>
          <w:sz w:val="24"/>
          <w:szCs w:val="24"/>
          <w:rtl/>
        </w:rPr>
        <w:t>עמ</w:t>
      </w:r>
      <w:proofErr w:type="spellEnd"/>
      <w:r w:rsidRPr="00F419B6">
        <w:rPr>
          <w:rFonts w:ascii="David" w:eastAsiaTheme="minorHAnsi" w:cs="David" w:hint="cs"/>
          <w:color w:val="000000"/>
          <w:sz w:val="24"/>
          <w:szCs w:val="24"/>
          <w:rtl/>
        </w:rPr>
        <w:t>' 33.</w:t>
      </w:r>
    </w:p>
    <w:p w:rsidR="00F419B6" w:rsidRPr="00F419B6" w:rsidRDefault="00F419B6" w:rsidP="00F419B6">
      <w:pPr>
        <w:autoSpaceDE w:val="0"/>
        <w:autoSpaceDN w:val="0"/>
        <w:adjustRightInd w:val="0"/>
        <w:spacing w:after="170" w:line="288" w:lineRule="auto"/>
        <w:ind w:left="12"/>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ליקוי</w:t>
      </w:r>
    </w:p>
    <w:p w:rsidR="00F419B6" w:rsidRPr="00F419B6" w:rsidRDefault="00F419B6" w:rsidP="00F419B6">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2. </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 xml:space="preserve">חיילים שלא אושר להם פטור מסיבה רפואית-נפשית ומסיבה של אי-התאמה - לפי נתוני מחלקת בריאות הנפש בצה"ל, אלפים בודדים של חיילים (בעיקר גברים) קיבלו פטור מסיבה רפואית-נפשית בשנת 2008, ואלפים בודדים של חיילים נוספים (בעיקר גברים) פנו בבקשה לפטור מסיבה רפואית-נפשית ונענו בשלילה. מנתונים של אכ"א לגבי 163 חיילים, שנבחרו אקראית מבין החיילים שבקשתם נענתה בשלילה, עולה, כי 48 מהם (כ-30%) נעדרו מהשירות לאחר שנקבע שימשיכו לשרת, כתוצאה מנפקדות, מעריקות או מריצוי עונשי מאסר. 26 מהם נעדרו מהשירות 50 עד 379 ימים, והיתר - עד 50 ימים. </w:t>
      </w:r>
    </w:p>
    <w:p w:rsidR="00F419B6" w:rsidRPr="00F419B6" w:rsidRDefault="00F419B6" w:rsidP="00F419B6">
      <w:pPr>
        <w:autoSpaceDE w:val="0"/>
        <w:autoSpaceDN w:val="0"/>
        <w:adjustRightInd w:val="0"/>
        <w:spacing w:after="170" w:line="288" w:lineRule="auto"/>
        <w:ind w:left="12"/>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ליקוי</w:t>
      </w:r>
    </w:p>
    <w:p w:rsidR="00F419B6" w:rsidRPr="00F419B6" w:rsidRDefault="00F419B6" w:rsidP="00F419B6">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3. </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בדיקה דומה נעשתה לגבי המשך השירות הצבאי של חלק מבין מאות חיילים (בעיקר גברים) שמפקד יחידת מיטב (יחידה העוסקת במיון וגיוס חיילים) החליט בשנת 2007 ועד נובמבר 2008, שלא לפטור משירות צבאי. הבדיקה העלתה, כי לאחר שנקבע שימשיכו לשרת, כשליש מהם נעדרו מהשירות עשרות ועד מאות ימים, כתוצאה מנפקדות, מעריקות או מריצוי עונשי מאסר.</w:t>
      </w:r>
    </w:p>
    <w:p w:rsidR="00F419B6" w:rsidRPr="00F419B6" w:rsidRDefault="00F419B6" w:rsidP="00F419B6">
      <w:pPr>
        <w:autoSpaceDE w:val="0"/>
        <w:autoSpaceDN w:val="0"/>
        <w:adjustRightInd w:val="0"/>
        <w:spacing w:line="288" w:lineRule="auto"/>
        <w:jc w:val="both"/>
        <w:textAlignment w:val="center"/>
        <w:rPr>
          <w:rFonts w:ascii="David" w:eastAsiaTheme="minorHAnsi" w:cs="David"/>
          <w:b/>
          <w:bCs/>
          <w:color w:val="000000"/>
          <w:sz w:val="24"/>
          <w:szCs w:val="24"/>
          <w:rtl/>
        </w:rPr>
      </w:pPr>
      <w:r w:rsidRPr="00F419B6">
        <w:rPr>
          <w:rFonts w:ascii="David" w:eastAsiaTheme="minorHAnsi" w:cs="David" w:hint="cs"/>
          <w:b/>
          <w:bCs/>
          <w:color w:val="000000"/>
          <w:sz w:val="24"/>
          <w:szCs w:val="24"/>
          <w:rtl/>
        </w:rPr>
        <w:t>מעקב</w:t>
      </w:r>
    </w:p>
    <w:p w:rsidR="00F419B6" w:rsidRPr="00F419B6" w:rsidRDefault="00F419B6" w:rsidP="00F419B6">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2-3.</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בקרה אחר חיילים שלא קיבלו פטור בוועדת התאמה לשירות לשנת 2009 - צה"ל מבצע בקרה שוטפת אחר שרידות החיילים שלא קיבלו פטור בועדת התאמה לשירות על-ידי מפקד מיטב (בסיס קליטה ומיון ומינהל גיוס).</w:t>
      </w:r>
    </w:p>
    <w:p w:rsidR="00F419B6" w:rsidRPr="00F419B6" w:rsidRDefault="00F419B6" w:rsidP="00F419B6">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ראה הערות רה"מ </w:t>
      </w:r>
      <w:proofErr w:type="spellStart"/>
      <w:r w:rsidRPr="00F419B6">
        <w:rPr>
          <w:rFonts w:ascii="David" w:eastAsiaTheme="minorHAnsi" w:cs="David" w:hint="cs"/>
          <w:color w:val="000000"/>
          <w:sz w:val="24"/>
          <w:szCs w:val="24"/>
          <w:rtl/>
        </w:rPr>
        <w:t>60א</w:t>
      </w:r>
      <w:proofErr w:type="spellEnd"/>
      <w:r w:rsidRPr="00F419B6">
        <w:rPr>
          <w:rFonts w:ascii="David" w:eastAsiaTheme="minorHAnsi" w:cs="David" w:hint="cs"/>
          <w:color w:val="000000"/>
          <w:sz w:val="24"/>
          <w:szCs w:val="24"/>
          <w:rtl/>
        </w:rPr>
        <w:t xml:space="preserve">' </w:t>
      </w:r>
      <w:proofErr w:type="spellStart"/>
      <w:r w:rsidRPr="00F419B6">
        <w:rPr>
          <w:rFonts w:ascii="David" w:eastAsiaTheme="minorHAnsi" w:cs="David" w:hint="cs"/>
          <w:color w:val="000000"/>
          <w:sz w:val="24"/>
          <w:szCs w:val="24"/>
          <w:rtl/>
        </w:rPr>
        <w:t>עמ</w:t>
      </w:r>
      <w:proofErr w:type="spellEnd"/>
      <w:r w:rsidRPr="00F419B6">
        <w:rPr>
          <w:rFonts w:ascii="David" w:eastAsiaTheme="minorHAnsi" w:cs="David" w:hint="cs"/>
          <w:color w:val="000000"/>
          <w:sz w:val="24"/>
          <w:szCs w:val="24"/>
          <w:rtl/>
        </w:rPr>
        <w:t>' 34.</w:t>
      </w:r>
    </w:p>
    <w:p w:rsidR="00F419B6" w:rsidRPr="00F419B6" w:rsidRDefault="00F419B6" w:rsidP="00F419B6">
      <w:pPr>
        <w:autoSpaceDE w:val="0"/>
        <w:autoSpaceDN w:val="0"/>
        <w:adjustRightInd w:val="0"/>
        <w:spacing w:line="288" w:lineRule="auto"/>
        <w:ind w:left="12"/>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ליקוי</w:t>
      </w:r>
    </w:p>
    <w:p w:rsidR="00F419B6" w:rsidRPr="00F419B6" w:rsidRDefault="00F419B6" w:rsidP="00F419B6">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5. </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 xml:space="preserve">מעיון </w:t>
      </w:r>
      <w:proofErr w:type="spellStart"/>
      <w:r w:rsidRPr="00F419B6">
        <w:rPr>
          <w:rFonts w:ascii="David" w:eastAsiaTheme="minorHAnsi" w:cs="David" w:hint="cs"/>
          <w:color w:val="000000"/>
          <w:sz w:val="24"/>
          <w:szCs w:val="24"/>
          <w:rtl/>
        </w:rPr>
        <w:t>בכמאה</w:t>
      </w:r>
      <w:proofErr w:type="spellEnd"/>
      <w:r w:rsidRPr="00F419B6">
        <w:rPr>
          <w:rFonts w:ascii="David" w:eastAsiaTheme="minorHAnsi" w:cs="David" w:hint="cs"/>
          <w:color w:val="000000"/>
          <w:sz w:val="24"/>
          <w:szCs w:val="24"/>
          <w:rtl/>
        </w:rPr>
        <w:t xml:space="preserve"> תיקים של חיילים שעניינם נדון בוועדות התאמה בשנת 2008 והועבר להחלטה של מפקד יחידת מיטב, נמצאו 12 מקרים שבהם קבעו מפקדים הסדרי שירות שלפיהם חיילים שירתו מספר שעות ביום, תוך חריגה משמעותית משעות העבודה </w:t>
      </w:r>
      <w:r w:rsidRPr="00F419B6">
        <w:rPr>
          <w:rFonts w:ascii="David" w:eastAsiaTheme="minorHAnsi" w:cs="David" w:hint="cs"/>
          <w:color w:val="000000"/>
          <w:sz w:val="24"/>
          <w:szCs w:val="24"/>
          <w:rtl/>
        </w:rPr>
        <w:lastRenderedPageBreak/>
        <w:t>המקובלות לפי פקודת מטכ"ל העוסקת בנושא זה. ראוי שפקודות הצבא הן אלה שיאפשרו למפקדים את הגמישות ואת היכולת לקבל החלטות, כדי שיהיה בכך מענה מתאים הן לצורך לסייע לחיילים לסיים את שירותם הצבאי והן לצורך לשמר מסגרת שירות נאותה.</w:t>
      </w:r>
    </w:p>
    <w:p w:rsidR="00F419B6" w:rsidRPr="00F419B6" w:rsidRDefault="00F419B6" w:rsidP="00F419B6">
      <w:pPr>
        <w:autoSpaceDE w:val="0"/>
        <w:autoSpaceDN w:val="0"/>
        <w:adjustRightInd w:val="0"/>
        <w:spacing w:line="288" w:lineRule="auto"/>
        <w:ind w:left="12"/>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ליקוי</w:t>
      </w:r>
    </w:p>
    <w:p w:rsidR="00F419B6" w:rsidRPr="00F419B6" w:rsidRDefault="00F419B6" w:rsidP="00F419B6">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6. </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 xml:space="preserve">הפעילות בצה"ל בתחום מתן פטור תוך כדי שירות מסיבות אי-התאמה מתבססת על הוראת קבע של אכ"א משנת 1998. חל עיכוב ממושך בעדכון ההוראה והוא לא הסתיים עד מועד סיום הביקורת במאי 2009, כך שהפעילות למתן פטור לפני תום שירות חובה מסיבות אי-התאמה אינה נשענת על מסד נורמטיבי אחוד וברור. </w:t>
      </w:r>
    </w:p>
    <w:p w:rsidR="00F419B6" w:rsidRPr="00F419B6" w:rsidRDefault="00F419B6" w:rsidP="00F419B6">
      <w:pPr>
        <w:autoSpaceDE w:val="0"/>
        <w:autoSpaceDN w:val="0"/>
        <w:adjustRightInd w:val="0"/>
        <w:spacing w:line="288" w:lineRule="auto"/>
        <w:ind w:left="12"/>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ליקוי</w:t>
      </w:r>
    </w:p>
    <w:p w:rsidR="00F419B6" w:rsidRPr="00F419B6" w:rsidRDefault="00F419B6" w:rsidP="00F419B6">
      <w:pPr>
        <w:suppressAutoHyphens/>
        <w:autoSpaceDE w:val="0"/>
        <w:autoSpaceDN w:val="0"/>
        <w:adjustRightInd w:val="0"/>
        <w:spacing w:line="288" w:lineRule="auto"/>
        <w:ind w:left="720" w:hanging="720"/>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7. </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 xml:space="preserve">סגן הרמטכ"ל קבע באפריל 2008, בין השאר, כי לא יהיה שחרור של חייל מיחידתו בלי שעמד בפני ועדה בראשות קצין בדרגת אל"ם לפחות, שהוא מפקדו של החייל, ואכ"א יפרסם נוהל בנושא עד תחילת מאי 2008. נמצא, כי הנחיה זאת, שקבעה למעשה עיקרון מנחה, ולפיו האחריות והסמכות בכל הנוגע להמלצה לשחרור חיילים מסיבת אי-התאמה תהיה של מפקדיהם, בדומה לתפיסת הפעלת ועדות ההתאמה בחיל האוויר, לא בוצעה: אכ"א לא פרסם נוהל בנושא, והפעילות בזרוע היבשה </w:t>
      </w:r>
      <w:proofErr w:type="spellStart"/>
      <w:r w:rsidRPr="00F419B6">
        <w:rPr>
          <w:rFonts w:ascii="David" w:eastAsiaTheme="minorHAnsi" w:cs="David" w:hint="cs"/>
          <w:color w:val="000000"/>
          <w:sz w:val="24"/>
          <w:szCs w:val="24"/>
          <w:rtl/>
        </w:rPr>
        <w:t>ובאט"ל</w:t>
      </w:r>
      <w:proofErr w:type="spellEnd"/>
      <w:r w:rsidRPr="00F419B6">
        <w:rPr>
          <w:rFonts w:ascii="David" w:eastAsiaTheme="minorHAnsi" w:cs="David" w:hint="cs"/>
          <w:color w:val="000000"/>
          <w:sz w:val="24"/>
          <w:szCs w:val="24"/>
          <w:rtl/>
        </w:rPr>
        <w:t xml:space="preserve"> המשיכה להתבצע בהתאם להוראת הקבע בנושא ועדות התאמה ולא לפי הנחיית סגן הרמטכ"ל. </w:t>
      </w:r>
    </w:p>
    <w:p w:rsidR="00F419B6" w:rsidRPr="00F419B6" w:rsidRDefault="00F419B6" w:rsidP="00F419B6">
      <w:pPr>
        <w:autoSpaceDE w:val="0"/>
        <w:autoSpaceDN w:val="0"/>
        <w:adjustRightInd w:val="0"/>
        <w:spacing w:line="288" w:lineRule="auto"/>
        <w:ind w:left="1134" w:hanging="1134"/>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ליקוי</w:t>
      </w:r>
    </w:p>
    <w:p w:rsidR="00F419B6" w:rsidRPr="00F419B6" w:rsidRDefault="00F419B6" w:rsidP="00F419B6">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8. </w:t>
      </w:r>
      <w:r w:rsidRPr="00F419B6">
        <w:rPr>
          <w:rFonts w:ascii="David" w:eastAsiaTheme="minorHAnsi" w:cs="David"/>
          <w:color w:val="000000"/>
          <w:sz w:val="24"/>
          <w:szCs w:val="24"/>
          <w:rtl/>
        </w:rPr>
        <w:tab/>
      </w:r>
      <w:r w:rsidRPr="00F419B6">
        <w:rPr>
          <w:rFonts w:ascii="David" w:eastAsiaTheme="minorHAnsi" w:cs="David" w:hint="cs"/>
          <w:color w:val="000000"/>
          <w:sz w:val="24"/>
          <w:szCs w:val="24"/>
          <w:rtl/>
        </w:rPr>
        <w:t xml:space="preserve">אין אחידות בוועדות ההתאמה של שלוש הסמכויות שנבדקו (זרוע היבשה, חיל האוויר והחלל </w:t>
      </w:r>
      <w:proofErr w:type="spellStart"/>
      <w:r w:rsidRPr="00F419B6">
        <w:rPr>
          <w:rFonts w:ascii="David" w:eastAsiaTheme="minorHAnsi" w:cs="David" w:hint="cs"/>
          <w:color w:val="000000"/>
          <w:sz w:val="24"/>
          <w:szCs w:val="24"/>
          <w:rtl/>
        </w:rPr>
        <w:t>ואט"ל</w:t>
      </w:r>
      <w:proofErr w:type="spellEnd"/>
      <w:r w:rsidRPr="00F419B6">
        <w:rPr>
          <w:rFonts w:ascii="David" w:eastAsiaTheme="minorHAnsi" w:cs="David" w:hint="cs"/>
          <w:color w:val="000000"/>
          <w:sz w:val="24"/>
          <w:szCs w:val="24"/>
          <w:rtl/>
        </w:rPr>
        <w:t xml:space="preserve">), באופן הטיפול במידע שעליו מבוססות הבקשות לפטור חיילים מהשירות. אין גם העברת מידע ביניהן על היבטים שונים בפעילותן. </w:t>
      </w:r>
    </w:p>
    <w:p w:rsidR="00F419B6" w:rsidRPr="00F419B6" w:rsidRDefault="00F419B6" w:rsidP="00F419B6">
      <w:pPr>
        <w:autoSpaceDE w:val="0"/>
        <w:autoSpaceDN w:val="0"/>
        <w:adjustRightInd w:val="0"/>
        <w:spacing w:line="288" w:lineRule="auto"/>
        <w:ind w:left="12"/>
        <w:jc w:val="both"/>
        <w:textAlignment w:val="center"/>
        <w:rPr>
          <w:rFonts w:ascii="David" w:eastAsiaTheme="minorHAnsi" w:cs="David"/>
          <w:b/>
          <w:bCs/>
          <w:color w:val="000000"/>
          <w:szCs w:val="24"/>
          <w:rtl/>
        </w:rPr>
      </w:pPr>
      <w:r w:rsidRPr="00F419B6">
        <w:rPr>
          <w:rFonts w:ascii="David" w:eastAsiaTheme="minorHAnsi" w:cs="David" w:hint="cs"/>
          <w:b/>
          <w:bCs/>
          <w:color w:val="000000"/>
          <w:szCs w:val="24"/>
          <w:rtl/>
        </w:rPr>
        <w:t>מעקב</w:t>
      </w:r>
    </w:p>
    <w:p w:rsidR="00F419B6" w:rsidRPr="00F419B6" w:rsidRDefault="00F419B6" w:rsidP="00F419B6">
      <w:pPr>
        <w:suppressAutoHyphens/>
        <w:autoSpaceDE w:val="0"/>
        <w:autoSpaceDN w:val="0"/>
        <w:adjustRightInd w:val="0"/>
        <w:spacing w:after="0" w:line="288" w:lineRule="auto"/>
        <w:ind w:left="1134" w:hanging="1134"/>
        <w:jc w:val="both"/>
        <w:textAlignment w:val="center"/>
        <w:rPr>
          <w:rFonts w:ascii="David" w:eastAsiaTheme="minorHAnsi" w:cs="David"/>
          <w:color w:val="000000"/>
          <w:szCs w:val="24"/>
          <w:rtl/>
        </w:rPr>
      </w:pPr>
      <w:r w:rsidRPr="00F419B6">
        <w:rPr>
          <w:rFonts w:ascii="David" w:eastAsiaTheme="minorHAnsi" w:cs="David" w:hint="cs"/>
          <w:color w:val="000000"/>
          <w:szCs w:val="24"/>
          <w:rtl/>
        </w:rPr>
        <w:t>5-8.</w:t>
      </w:r>
      <w:r w:rsidRPr="00F419B6">
        <w:rPr>
          <w:rFonts w:ascii="David" w:eastAsiaTheme="minorHAnsi" w:cs="David"/>
          <w:color w:val="000000"/>
          <w:szCs w:val="24"/>
          <w:rtl/>
        </w:rPr>
        <w:tab/>
      </w:r>
      <w:r w:rsidRPr="00F419B6">
        <w:rPr>
          <w:rFonts w:ascii="David" w:eastAsiaTheme="minorHAnsi" w:cs="David" w:hint="cs"/>
          <w:color w:val="000000"/>
          <w:szCs w:val="24"/>
          <w:rtl/>
        </w:rPr>
        <w:t>הוראת קבע אכ"א 30-01-07 ועדות התאמה לשירות – נמצאת בסבב הערות. צפי לפרסום ההוראה – חציון ב' שנת 2010.</w:t>
      </w:r>
    </w:p>
    <w:p w:rsidR="00F419B6" w:rsidRPr="00F419B6" w:rsidRDefault="00F419B6" w:rsidP="00F419B6">
      <w:pPr>
        <w:autoSpaceDE w:val="0"/>
        <w:autoSpaceDN w:val="0"/>
        <w:adjustRightInd w:val="0"/>
        <w:spacing w:line="288" w:lineRule="auto"/>
        <w:ind w:left="1134" w:hanging="58"/>
        <w:jc w:val="both"/>
        <w:textAlignment w:val="center"/>
        <w:rPr>
          <w:rFonts w:ascii="David" w:eastAsiaTheme="minorHAnsi" w:cs="David"/>
          <w:color w:val="000000"/>
          <w:sz w:val="24"/>
          <w:szCs w:val="24"/>
          <w:rtl/>
        </w:rPr>
      </w:pPr>
      <w:r w:rsidRPr="00F419B6">
        <w:rPr>
          <w:rFonts w:ascii="David" w:eastAsiaTheme="minorHAnsi" w:cs="David" w:hint="cs"/>
          <w:color w:val="000000"/>
          <w:sz w:val="24"/>
          <w:szCs w:val="24"/>
          <w:rtl/>
        </w:rPr>
        <w:t xml:space="preserve"> ראה הערות רה"מ </w:t>
      </w:r>
      <w:proofErr w:type="spellStart"/>
      <w:r w:rsidRPr="00F419B6">
        <w:rPr>
          <w:rFonts w:ascii="David" w:eastAsiaTheme="minorHAnsi" w:cs="David" w:hint="cs"/>
          <w:color w:val="000000"/>
          <w:sz w:val="24"/>
          <w:szCs w:val="24"/>
          <w:rtl/>
        </w:rPr>
        <w:t>60א</w:t>
      </w:r>
      <w:proofErr w:type="spellEnd"/>
      <w:r w:rsidRPr="00F419B6">
        <w:rPr>
          <w:rFonts w:ascii="David" w:eastAsiaTheme="minorHAnsi" w:cs="David" w:hint="cs"/>
          <w:color w:val="000000"/>
          <w:sz w:val="24"/>
          <w:szCs w:val="24"/>
          <w:rtl/>
        </w:rPr>
        <w:t xml:space="preserve">' </w:t>
      </w:r>
      <w:proofErr w:type="spellStart"/>
      <w:r w:rsidRPr="00F419B6">
        <w:rPr>
          <w:rFonts w:ascii="David" w:eastAsiaTheme="minorHAnsi" w:cs="David" w:hint="cs"/>
          <w:color w:val="000000"/>
          <w:sz w:val="24"/>
          <w:szCs w:val="24"/>
          <w:rtl/>
        </w:rPr>
        <w:t>עמ</w:t>
      </w:r>
      <w:proofErr w:type="spellEnd"/>
      <w:r w:rsidRPr="00F419B6">
        <w:rPr>
          <w:rFonts w:ascii="David" w:eastAsiaTheme="minorHAnsi" w:cs="David" w:hint="cs"/>
          <w:color w:val="000000"/>
          <w:sz w:val="24"/>
          <w:szCs w:val="24"/>
          <w:rtl/>
        </w:rPr>
        <w:t>' 35-36.</w:t>
      </w:r>
    </w:p>
    <w:p w:rsidR="009021C2" w:rsidRPr="00F419B6" w:rsidRDefault="009021C2" w:rsidP="00F419B6"/>
    <w:sectPr w:rsidR="009021C2" w:rsidRPr="00F419B6"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A51" w:rsidRDefault="00515A51" w:rsidP="005A4CE3">
      <w:pPr>
        <w:spacing w:after="0" w:line="240" w:lineRule="auto"/>
      </w:pPr>
      <w:r>
        <w:separator/>
      </w:r>
    </w:p>
  </w:endnote>
  <w:endnote w:type="continuationSeparator" w:id="1">
    <w:p w:rsidR="00515A51" w:rsidRDefault="00515A51" w:rsidP="005A4C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A51" w:rsidRDefault="00515A51" w:rsidP="005A4CE3">
      <w:pPr>
        <w:spacing w:after="0" w:line="240" w:lineRule="auto"/>
      </w:pPr>
      <w:r>
        <w:separator/>
      </w:r>
    </w:p>
  </w:footnote>
  <w:footnote w:type="continuationSeparator" w:id="1">
    <w:p w:rsidR="00515A51" w:rsidRDefault="00515A51" w:rsidP="005A4C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51" w:rsidRDefault="003E03B1" w:rsidP="005A4CE3">
    <w:pPr>
      <w:pStyle w:val="a6"/>
      <w:tabs>
        <w:tab w:val="clear" w:pos="4153"/>
      </w:tabs>
      <w:ind w:left="84" w:hanging="483"/>
      <w:jc w:val="right"/>
      <w:rPr>
        <w:sz w:val="16"/>
        <w:szCs w:val="16"/>
        <w:rtl/>
      </w:rPr>
    </w:pPr>
    <w:r w:rsidRPr="002A74E8">
      <w:rPr>
        <w:sz w:val="16"/>
        <w:szCs w:val="16"/>
        <w:rtl/>
      </w:rPr>
      <w:fldChar w:fldCharType="begin"/>
    </w:r>
    <w:r w:rsidR="00515A51" w:rsidRPr="002A74E8">
      <w:rPr>
        <w:sz w:val="16"/>
        <w:szCs w:val="16"/>
        <w:rtl/>
      </w:rPr>
      <w:instrText xml:space="preserve"> </w:instrText>
    </w:r>
    <w:r w:rsidR="00515A51" w:rsidRPr="002A74E8">
      <w:rPr>
        <w:rFonts w:hint="cs"/>
        <w:sz w:val="16"/>
        <w:szCs w:val="16"/>
      </w:rPr>
      <w:instrText>TIME  \@ "HH:mm"  \* MERGEFORMAT</w:instrText>
    </w:r>
    <w:r w:rsidR="00515A51" w:rsidRPr="002A74E8">
      <w:rPr>
        <w:sz w:val="16"/>
        <w:szCs w:val="16"/>
        <w:rtl/>
      </w:rPr>
      <w:instrText xml:space="preserve"> </w:instrText>
    </w:r>
    <w:r w:rsidRPr="002A74E8">
      <w:rPr>
        <w:sz w:val="16"/>
        <w:szCs w:val="16"/>
        <w:rtl/>
      </w:rPr>
      <w:fldChar w:fldCharType="separate"/>
    </w:r>
    <w:r w:rsidR="00F419B6">
      <w:rPr>
        <w:rFonts w:hint="cs"/>
        <w:noProof/>
        <w:sz w:val="16"/>
        <w:szCs w:val="16"/>
        <w:rtl/>
      </w:rPr>
      <w:t>‏</w:t>
    </w:r>
    <w:r w:rsidR="00F419B6">
      <w:rPr>
        <w:noProof/>
        <w:sz w:val="16"/>
        <w:szCs w:val="16"/>
        <w:rtl/>
      </w:rPr>
      <w:t>13:43</w:t>
    </w:r>
    <w:r w:rsidRPr="002A74E8">
      <w:rPr>
        <w:sz w:val="16"/>
        <w:szCs w:val="16"/>
        <w:rtl/>
      </w:rPr>
      <w:fldChar w:fldCharType="end"/>
    </w:r>
    <w:r w:rsidR="00515A51" w:rsidRPr="002A74E8">
      <w:rPr>
        <w:rFonts w:hint="cs"/>
        <w:sz w:val="16"/>
        <w:szCs w:val="16"/>
        <w:rtl/>
      </w:rPr>
      <w:t xml:space="preserve">  </w:t>
    </w:r>
    <w:r w:rsidRPr="002A74E8">
      <w:rPr>
        <w:sz w:val="16"/>
        <w:szCs w:val="16"/>
        <w:rtl/>
      </w:rPr>
      <w:fldChar w:fldCharType="begin"/>
    </w:r>
    <w:r w:rsidR="00515A51" w:rsidRPr="002A74E8">
      <w:rPr>
        <w:sz w:val="16"/>
        <w:szCs w:val="16"/>
        <w:rtl/>
      </w:rPr>
      <w:instrText xml:space="preserve"> </w:instrText>
    </w:r>
    <w:r w:rsidR="00515A51" w:rsidRPr="002A74E8">
      <w:rPr>
        <w:rFonts w:hint="cs"/>
        <w:sz w:val="16"/>
        <w:szCs w:val="16"/>
      </w:rPr>
      <w:instrText>DATE  \@ "yyyy-MM-dd"  \* MERGEFORMAT</w:instrText>
    </w:r>
    <w:r w:rsidR="00515A51" w:rsidRPr="002A74E8">
      <w:rPr>
        <w:sz w:val="16"/>
        <w:szCs w:val="16"/>
        <w:rtl/>
      </w:rPr>
      <w:instrText xml:space="preserve"> </w:instrText>
    </w:r>
    <w:r w:rsidRPr="002A74E8">
      <w:rPr>
        <w:sz w:val="16"/>
        <w:szCs w:val="16"/>
        <w:rtl/>
      </w:rPr>
      <w:fldChar w:fldCharType="separate"/>
    </w:r>
    <w:r w:rsidR="00F419B6">
      <w:rPr>
        <w:rFonts w:hint="cs"/>
        <w:noProof/>
        <w:sz w:val="16"/>
        <w:szCs w:val="16"/>
        <w:rtl/>
      </w:rPr>
      <w:t>‏</w:t>
    </w:r>
    <w:r w:rsidR="00F419B6">
      <w:rPr>
        <w:noProof/>
        <w:sz w:val="16"/>
        <w:szCs w:val="16"/>
        <w:rtl/>
      </w:rPr>
      <w:t>2010–12–12</w:t>
    </w:r>
    <w:r w:rsidRPr="002A74E8">
      <w:rPr>
        <w:sz w:val="16"/>
        <w:szCs w:val="16"/>
        <w:rtl/>
      </w:rPr>
      <w:fldChar w:fldCharType="end"/>
    </w:r>
    <w:r w:rsidR="00515A51" w:rsidRPr="002A74E8">
      <w:rPr>
        <w:rFonts w:hint="cs"/>
        <w:sz w:val="16"/>
        <w:szCs w:val="16"/>
        <w:rtl/>
      </w:rPr>
      <w:t xml:space="preserve">   </w:t>
    </w:r>
    <w:fldSimple w:instr=" FILENAME  \* FirstCap \p  \* MERGEFORMAT ">
      <w:r w:rsidR="00A74E78" w:rsidRPr="00A74E78">
        <w:rPr>
          <w:noProof/>
          <w:sz w:val="16"/>
          <w:szCs w:val="16"/>
        </w:rPr>
        <w:t>L:\</w:t>
      </w:r>
      <w:r w:rsidR="00A74E78" w:rsidRPr="00A74E78">
        <w:rPr>
          <w:rFonts w:hint="cs"/>
          <w:noProof/>
          <w:sz w:val="16"/>
          <w:szCs w:val="16"/>
          <w:rtl/>
        </w:rPr>
        <w:t>הספר</w:t>
      </w:r>
      <w:r w:rsidR="00A74E78" w:rsidRPr="00A74E78">
        <w:rPr>
          <w:noProof/>
          <w:sz w:val="16"/>
          <w:szCs w:val="16"/>
          <w:rtl/>
        </w:rPr>
        <w:t xml:space="preserve"> - </w:t>
      </w:r>
      <w:r w:rsidR="00A74E78" w:rsidRPr="00A74E78">
        <w:rPr>
          <w:rFonts w:hint="cs"/>
          <w:noProof/>
          <w:sz w:val="16"/>
          <w:szCs w:val="16"/>
          <w:rtl/>
        </w:rPr>
        <w:t>מעקבים</w:t>
      </w:r>
      <w:r w:rsidR="00A74E78" w:rsidRPr="00A74E78">
        <w:rPr>
          <w:noProof/>
          <w:sz w:val="16"/>
          <w:szCs w:val="16"/>
          <w:rtl/>
        </w:rPr>
        <w:t xml:space="preserve"> 60</w:t>
      </w:r>
      <w:r w:rsidR="00A74E78" w:rsidRPr="00A74E78">
        <w:rPr>
          <w:rFonts w:hint="cs"/>
          <w:noProof/>
          <w:sz w:val="16"/>
          <w:szCs w:val="16"/>
          <w:rtl/>
        </w:rPr>
        <w:t>ב</w:t>
      </w:r>
      <w:r w:rsidR="00A74E78" w:rsidRPr="00A74E78">
        <w:rPr>
          <w:noProof/>
          <w:sz w:val="16"/>
          <w:szCs w:val="16"/>
          <w:rtl/>
        </w:rPr>
        <w:t>\</w:t>
      </w:r>
      <w:r w:rsidR="00A74E78" w:rsidRPr="00A74E78">
        <w:rPr>
          <w:rFonts w:hint="cs"/>
          <w:noProof/>
          <w:sz w:val="16"/>
          <w:szCs w:val="16"/>
          <w:rtl/>
        </w:rPr>
        <w:t>עקיבא</w:t>
      </w:r>
      <w:r w:rsidR="00A74E78" w:rsidRPr="00A74E78">
        <w:rPr>
          <w:noProof/>
          <w:sz w:val="16"/>
          <w:szCs w:val="16"/>
          <w:rtl/>
        </w:rPr>
        <w:t>\</w:t>
      </w:r>
      <w:r w:rsidR="00A74E78" w:rsidRPr="00A74E78">
        <w:rPr>
          <w:rFonts w:hint="cs"/>
          <w:noProof/>
          <w:sz w:val="16"/>
          <w:szCs w:val="16"/>
          <w:rtl/>
        </w:rPr>
        <w:t>מערכת</w:t>
      </w:r>
      <w:r w:rsidR="00A74E78" w:rsidRPr="00A74E78">
        <w:rPr>
          <w:noProof/>
          <w:sz w:val="16"/>
          <w:szCs w:val="16"/>
          <w:rtl/>
        </w:rPr>
        <w:t xml:space="preserve"> </w:t>
      </w:r>
      <w:r w:rsidR="00A74E78" w:rsidRPr="00A74E78">
        <w:rPr>
          <w:rFonts w:hint="cs"/>
          <w:noProof/>
          <w:sz w:val="16"/>
          <w:szCs w:val="16"/>
          <w:rtl/>
        </w:rPr>
        <w:t>הביטחון</w:t>
      </w:r>
      <w:r w:rsidR="00A74E78" w:rsidRPr="00A74E78">
        <w:rPr>
          <w:noProof/>
          <w:sz w:val="16"/>
          <w:szCs w:val="16"/>
          <w:rtl/>
        </w:rPr>
        <w:t>\60</w:t>
      </w:r>
      <w:r w:rsidR="00A74E78" w:rsidRPr="00A74E78">
        <w:rPr>
          <w:rFonts w:hint="cs"/>
          <w:noProof/>
          <w:sz w:val="16"/>
          <w:szCs w:val="16"/>
          <w:rtl/>
        </w:rPr>
        <w:t>א</w:t>
      </w:r>
      <w:r w:rsidR="00A74E78" w:rsidRPr="00A74E78">
        <w:rPr>
          <w:noProof/>
          <w:sz w:val="16"/>
          <w:szCs w:val="16"/>
          <w:rtl/>
        </w:rPr>
        <w:t>\</w:t>
      </w:r>
      <w:r w:rsidR="00A74E78" w:rsidRPr="00A74E78">
        <w:rPr>
          <w:rFonts w:hint="cs"/>
          <w:noProof/>
          <w:sz w:val="16"/>
          <w:szCs w:val="16"/>
          <w:rtl/>
        </w:rPr>
        <w:t>מתן</w:t>
      </w:r>
      <w:r w:rsidR="00A74E78" w:rsidRPr="00A74E78">
        <w:rPr>
          <w:noProof/>
          <w:sz w:val="16"/>
          <w:szCs w:val="16"/>
          <w:rtl/>
        </w:rPr>
        <w:t xml:space="preserve"> </w:t>
      </w:r>
      <w:r w:rsidR="00A74E78" w:rsidRPr="00A74E78">
        <w:rPr>
          <w:rFonts w:hint="cs"/>
          <w:noProof/>
          <w:sz w:val="16"/>
          <w:szCs w:val="16"/>
          <w:rtl/>
        </w:rPr>
        <w:t>פטור</w:t>
      </w:r>
      <w:r w:rsidR="00A74E78" w:rsidRPr="00A74E78">
        <w:rPr>
          <w:noProof/>
          <w:sz w:val="16"/>
          <w:szCs w:val="16"/>
          <w:rtl/>
        </w:rPr>
        <w:t xml:space="preserve"> </w:t>
      </w:r>
      <w:r w:rsidR="00A74E78" w:rsidRPr="00A74E78">
        <w:rPr>
          <w:rFonts w:hint="cs"/>
          <w:noProof/>
          <w:sz w:val="16"/>
          <w:szCs w:val="16"/>
          <w:rtl/>
        </w:rPr>
        <w:t>משירות</w:t>
      </w:r>
      <w:r w:rsidR="00A74E78" w:rsidRPr="00A74E78">
        <w:rPr>
          <w:noProof/>
          <w:sz w:val="16"/>
          <w:szCs w:val="16"/>
          <w:rtl/>
        </w:rPr>
        <w:t xml:space="preserve"> </w:t>
      </w:r>
      <w:r w:rsidR="00A74E78" w:rsidRPr="00A74E78">
        <w:rPr>
          <w:rFonts w:hint="cs"/>
          <w:noProof/>
          <w:sz w:val="16"/>
          <w:szCs w:val="16"/>
          <w:rtl/>
        </w:rPr>
        <w:t>חובה</w:t>
      </w:r>
      <w:r w:rsidR="00A74E78">
        <w:rPr>
          <w:noProof/>
          <w:rtl/>
        </w:rPr>
        <w:t xml:space="preserve"> </w:t>
      </w:r>
      <w:r w:rsidR="00A74E78">
        <w:rPr>
          <w:rFonts w:hint="cs"/>
          <w:noProof/>
          <w:rtl/>
        </w:rPr>
        <w:t>לפני</w:t>
      </w:r>
      <w:r w:rsidR="00A74E78">
        <w:rPr>
          <w:noProof/>
          <w:rtl/>
        </w:rPr>
        <w:t xml:space="preserve"> </w:t>
      </w:r>
      <w:r w:rsidR="00A74E78">
        <w:rPr>
          <w:rFonts w:hint="cs"/>
          <w:noProof/>
          <w:rtl/>
        </w:rPr>
        <w:t>תום</w:t>
      </w:r>
      <w:r w:rsidR="00A74E78">
        <w:rPr>
          <w:noProof/>
          <w:rtl/>
        </w:rPr>
        <w:t xml:space="preserve"> </w:t>
      </w:r>
      <w:r w:rsidR="00A74E78">
        <w:rPr>
          <w:rFonts w:hint="cs"/>
          <w:noProof/>
          <w:rtl/>
        </w:rPr>
        <w:t>השירות</w:t>
      </w:r>
      <w:r w:rsidR="00A74E78">
        <w:rPr>
          <w:noProof/>
        </w:rPr>
        <w:t>.docx</w:t>
      </w:r>
    </w:fldSimple>
    <w:r w:rsidR="00515A51" w:rsidRPr="002A74E8">
      <w:rPr>
        <w:rFonts w:hint="cs"/>
        <w:sz w:val="16"/>
        <w:szCs w:val="16"/>
        <w:rtl/>
      </w:rPr>
      <w:t xml:space="preserve">    -</w:t>
    </w:r>
    <w:r w:rsidRPr="002A74E8">
      <w:rPr>
        <w:sz w:val="16"/>
        <w:szCs w:val="16"/>
        <w:rtl/>
      </w:rPr>
      <w:fldChar w:fldCharType="begin"/>
    </w:r>
    <w:r w:rsidR="00515A51" w:rsidRPr="002A74E8">
      <w:rPr>
        <w:sz w:val="16"/>
        <w:szCs w:val="16"/>
        <w:rtl/>
      </w:rPr>
      <w:instrText xml:space="preserve"> </w:instrText>
    </w:r>
    <w:r w:rsidR="00515A51" w:rsidRPr="002A74E8">
      <w:rPr>
        <w:sz w:val="16"/>
        <w:szCs w:val="16"/>
      </w:rPr>
      <w:instrText>PAGE   \* MERGEFORMAT</w:instrText>
    </w:r>
    <w:r w:rsidR="00515A51" w:rsidRPr="002A74E8">
      <w:rPr>
        <w:sz w:val="16"/>
        <w:szCs w:val="16"/>
        <w:rtl/>
      </w:rPr>
      <w:instrText xml:space="preserve"> </w:instrText>
    </w:r>
    <w:r w:rsidRPr="002A74E8">
      <w:rPr>
        <w:sz w:val="16"/>
        <w:szCs w:val="16"/>
        <w:rtl/>
      </w:rPr>
      <w:fldChar w:fldCharType="separate"/>
    </w:r>
    <w:r w:rsidR="00F419B6">
      <w:rPr>
        <w:noProof/>
        <w:sz w:val="16"/>
        <w:szCs w:val="16"/>
        <w:rtl/>
      </w:rPr>
      <w:t>2</w:t>
    </w:r>
    <w:r w:rsidRPr="002A74E8">
      <w:rPr>
        <w:sz w:val="16"/>
        <w:szCs w:val="16"/>
        <w:rtl/>
      </w:rPr>
      <w:fldChar w:fldCharType="end"/>
    </w:r>
    <w:r w:rsidR="00515A51" w:rsidRPr="002A74E8">
      <w:rPr>
        <w:rFonts w:hint="cs"/>
        <w:sz w:val="16"/>
        <w:szCs w:val="16"/>
        <w:rtl/>
      </w:rPr>
      <w:t>-</w:t>
    </w:r>
  </w:p>
  <w:p w:rsidR="00515A51" w:rsidRPr="002A74E8" w:rsidRDefault="00515A51" w:rsidP="005A4CE3">
    <w:pPr>
      <w:pStyle w:val="a6"/>
      <w:tabs>
        <w:tab w:val="clear" w:pos="4153"/>
      </w:tabs>
      <w:ind w:left="84" w:hanging="483"/>
      <w:jc w:val="right"/>
      <w:rPr>
        <w:sz w:val="16"/>
        <w:szCs w:val="16"/>
        <w:rtl/>
      </w:rPr>
    </w:pPr>
  </w:p>
  <w:p w:rsidR="00515A51" w:rsidRPr="00B90376" w:rsidRDefault="00515A51" w:rsidP="005A4CE3">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A4CE3"/>
    <w:rsid w:val="00000243"/>
    <w:rsid w:val="00000739"/>
    <w:rsid w:val="00027667"/>
    <w:rsid w:val="00043D5A"/>
    <w:rsid w:val="000510D6"/>
    <w:rsid w:val="000567A9"/>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33EEA"/>
    <w:rsid w:val="0014223F"/>
    <w:rsid w:val="00146367"/>
    <w:rsid w:val="00150C10"/>
    <w:rsid w:val="001641DB"/>
    <w:rsid w:val="00165F1F"/>
    <w:rsid w:val="00192663"/>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3EA9"/>
    <w:rsid w:val="002B6CF7"/>
    <w:rsid w:val="002D02ED"/>
    <w:rsid w:val="002D0694"/>
    <w:rsid w:val="002D41D9"/>
    <w:rsid w:val="002E2B52"/>
    <w:rsid w:val="002E6760"/>
    <w:rsid w:val="002E6B4E"/>
    <w:rsid w:val="0030735E"/>
    <w:rsid w:val="00310136"/>
    <w:rsid w:val="0033198C"/>
    <w:rsid w:val="003344B0"/>
    <w:rsid w:val="00354067"/>
    <w:rsid w:val="00360A13"/>
    <w:rsid w:val="00377C35"/>
    <w:rsid w:val="003A6D84"/>
    <w:rsid w:val="003A7C4A"/>
    <w:rsid w:val="003C75F5"/>
    <w:rsid w:val="003D223E"/>
    <w:rsid w:val="003E03B1"/>
    <w:rsid w:val="003E14BC"/>
    <w:rsid w:val="003E1745"/>
    <w:rsid w:val="003E7AD3"/>
    <w:rsid w:val="003F0D44"/>
    <w:rsid w:val="003F131D"/>
    <w:rsid w:val="0040392F"/>
    <w:rsid w:val="00425898"/>
    <w:rsid w:val="00435271"/>
    <w:rsid w:val="004377BE"/>
    <w:rsid w:val="004538D4"/>
    <w:rsid w:val="00456C02"/>
    <w:rsid w:val="00467CE6"/>
    <w:rsid w:val="004763C5"/>
    <w:rsid w:val="0048353B"/>
    <w:rsid w:val="004917AA"/>
    <w:rsid w:val="004971BC"/>
    <w:rsid w:val="004A255F"/>
    <w:rsid w:val="004B0F0E"/>
    <w:rsid w:val="004B1C7B"/>
    <w:rsid w:val="004C612D"/>
    <w:rsid w:val="004C7217"/>
    <w:rsid w:val="004D427F"/>
    <w:rsid w:val="004E075B"/>
    <w:rsid w:val="004E46A0"/>
    <w:rsid w:val="004E53C1"/>
    <w:rsid w:val="004F2791"/>
    <w:rsid w:val="00510929"/>
    <w:rsid w:val="005139D8"/>
    <w:rsid w:val="00514843"/>
    <w:rsid w:val="00515A51"/>
    <w:rsid w:val="005219B4"/>
    <w:rsid w:val="00533C78"/>
    <w:rsid w:val="00537BD2"/>
    <w:rsid w:val="00547425"/>
    <w:rsid w:val="0055111F"/>
    <w:rsid w:val="00563607"/>
    <w:rsid w:val="005A4CE3"/>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12734"/>
    <w:rsid w:val="0073050A"/>
    <w:rsid w:val="00733D53"/>
    <w:rsid w:val="00753962"/>
    <w:rsid w:val="007629F8"/>
    <w:rsid w:val="00762B5D"/>
    <w:rsid w:val="00772A72"/>
    <w:rsid w:val="007736D0"/>
    <w:rsid w:val="007827A7"/>
    <w:rsid w:val="00783E86"/>
    <w:rsid w:val="00787AB8"/>
    <w:rsid w:val="007B0C4D"/>
    <w:rsid w:val="007B4AAF"/>
    <w:rsid w:val="007D1079"/>
    <w:rsid w:val="007D3A3B"/>
    <w:rsid w:val="00810E64"/>
    <w:rsid w:val="0081406C"/>
    <w:rsid w:val="00817201"/>
    <w:rsid w:val="00867F44"/>
    <w:rsid w:val="0088076B"/>
    <w:rsid w:val="008A1154"/>
    <w:rsid w:val="008B1C1D"/>
    <w:rsid w:val="008B45CE"/>
    <w:rsid w:val="008B5AD7"/>
    <w:rsid w:val="008D6336"/>
    <w:rsid w:val="009021C2"/>
    <w:rsid w:val="009142A3"/>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74E78"/>
    <w:rsid w:val="00A811C8"/>
    <w:rsid w:val="00AA1EBD"/>
    <w:rsid w:val="00AC02A2"/>
    <w:rsid w:val="00AC3E47"/>
    <w:rsid w:val="00AF66AA"/>
    <w:rsid w:val="00AF7804"/>
    <w:rsid w:val="00B00D9A"/>
    <w:rsid w:val="00B056BC"/>
    <w:rsid w:val="00B16BE4"/>
    <w:rsid w:val="00B2390E"/>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3E2F"/>
    <w:rsid w:val="00CC683F"/>
    <w:rsid w:val="00CE2D49"/>
    <w:rsid w:val="00CF627B"/>
    <w:rsid w:val="00D02568"/>
    <w:rsid w:val="00D038BA"/>
    <w:rsid w:val="00D04CE8"/>
    <w:rsid w:val="00D20800"/>
    <w:rsid w:val="00D37D9E"/>
    <w:rsid w:val="00D57A3C"/>
    <w:rsid w:val="00D66429"/>
    <w:rsid w:val="00D8517D"/>
    <w:rsid w:val="00DA0DCD"/>
    <w:rsid w:val="00DA74D9"/>
    <w:rsid w:val="00DC0772"/>
    <w:rsid w:val="00DE169C"/>
    <w:rsid w:val="00DE46D1"/>
    <w:rsid w:val="00DF2B24"/>
    <w:rsid w:val="00E12867"/>
    <w:rsid w:val="00E20A2E"/>
    <w:rsid w:val="00E25D97"/>
    <w:rsid w:val="00E314A0"/>
    <w:rsid w:val="00E441D2"/>
    <w:rsid w:val="00E4475C"/>
    <w:rsid w:val="00E47FEC"/>
    <w:rsid w:val="00E54BFD"/>
    <w:rsid w:val="00E64E00"/>
    <w:rsid w:val="00E667E9"/>
    <w:rsid w:val="00E67FFC"/>
    <w:rsid w:val="00E728AF"/>
    <w:rsid w:val="00E77641"/>
    <w:rsid w:val="00E84B36"/>
    <w:rsid w:val="00E8515A"/>
    <w:rsid w:val="00E92150"/>
    <w:rsid w:val="00E92381"/>
    <w:rsid w:val="00EA14C1"/>
    <w:rsid w:val="00EC33CF"/>
    <w:rsid w:val="00EF3EE3"/>
    <w:rsid w:val="00EF6F1E"/>
    <w:rsid w:val="00F17E20"/>
    <w:rsid w:val="00F24A00"/>
    <w:rsid w:val="00F419B6"/>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CE3"/>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5A4CE3"/>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5A4CE3"/>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5A4CE3"/>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5A4CE3"/>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5A4CE3"/>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5A4CE3"/>
    <w:pPr>
      <w:bidi w:val="0"/>
      <w:spacing w:before="240" w:after="60" w:line="240" w:lineRule="auto"/>
      <w:outlineLvl w:val="5"/>
    </w:pPr>
    <w:rPr>
      <w:rFonts w:eastAsia="Calibri" w:cs="Times New Roman"/>
      <w:b/>
      <w:bCs/>
    </w:rPr>
  </w:style>
  <w:style w:type="paragraph" w:styleId="7">
    <w:name w:val="heading 7"/>
    <w:basedOn w:val="a"/>
    <w:next w:val="a"/>
    <w:link w:val="70"/>
    <w:qFormat/>
    <w:rsid w:val="005A4CE3"/>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5A4CE3"/>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5A4CE3"/>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5A4CE3"/>
    <w:rPr>
      <w:rFonts w:ascii="Cambria" w:eastAsia="Calibri" w:hAnsi="Cambria" w:cs="Times New Roman"/>
      <w:b/>
      <w:bCs/>
      <w:kern w:val="32"/>
      <w:sz w:val="32"/>
      <w:szCs w:val="32"/>
    </w:rPr>
  </w:style>
  <w:style w:type="character" w:customStyle="1" w:styleId="20">
    <w:name w:val="כותרת 2 תו"/>
    <w:basedOn w:val="a0"/>
    <w:link w:val="2"/>
    <w:rsid w:val="005A4CE3"/>
    <w:rPr>
      <w:rFonts w:ascii="Cambria" w:eastAsia="Calibri" w:hAnsi="Cambria" w:cs="Times New Roman"/>
      <w:b/>
      <w:bCs/>
      <w:i/>
      <w:iCs/>
      <w:sz w:val="28"/>
      <w:szCs w:val="28"/>
    </w:rPr>
  </w:style>
  <w:style w:type="character" w:customStyle="1" w:styleId="30">
    <w:name w:val="כותרת 3 תו"/>
    <w:basedOn w:val="a0"/>
    <w:link w:val="3"/>
    <w:rsid w:val="005A4CE3"/>
    <w:rPr>
      <w:rFonts w:ascii="Cambria" w:eastAsia="Calibri" w:hAnsi="Cambria" w:cs="Times New Roman"/>
      <w:b/>
      <w:bCs/>
      <w:sz w:val="26"/>
      <w:szCs w:val="26"/>
    </w:rPr>
  </w:style>
  <w:style w:type="character" w:customStyle="1" w:styleId="40">
    <w:name w:val="כותרת 4 תו"/>
    <w:basedOn w:val="a0"/>
    <w:link w:val="4"/>
    <w:rsid w:val="005A4CE3"/>
    <w:rPr>
      <w:rFonts w:ascii="Calibri" w:eastAsia="Calibri" w:hAnsi="Calibri" w:cs="Times New Roman"/>
      <w:b/>
      <w:bCs/>
      <w:sz w:val="28"/>
      <w:szCs w:val="28"/>
    </w:rPr>
  </w:style>
  <w:style w:type="character" w:customStyle="1" w:styleId="50">
    <w:name w:val="כותרת 5 תו"/>
    <w:basedOn w:val="a0"/>
    <w:link w:val="5"/>
    <w:rsid w:val="005A4CE3"/>
    <w:rPr>
      <w:rFonts w:ascii="Calibri" w:eastAsia="Calibri" w:hAnsi="Calibri" w:cs="Times New Roman"/>
      <w:b/>
      <w:bCs/>
      <w:i/>
      <w:iCs/>
      <w:sz w:val="26"/>
      <w:szCs w:val="26"/>
    </w:rPr>
  </w:style>
  <w:style w:type="character" w:customStyle="1" w:styleId="60">
    <w:name w:val="כותרת 6 תו"/>
    <w:basedOn w:val="a0"/>
    <w:link w:val="6"/>
    <w:rsid w:val="005A4CE3"/>
    <w:rPr>
      <w:rFonts w:ascii="Calibri" w:eastAsia="Calibri" w:hAnsi="Calibri" w:cs="Times New Roman"/>
      <w:b/>
      <w:bCs/>
      <w:sz w:val="22"/>
      <w:szCs w:val="22"/>
    </w:rPr>
  </w:style>
  <w:style w:type="character" w:customStyle="1" w:styleId="70">
    <w:name w:val="כותרת 7 תו"/>
    <w:basedOn w:val="a0"/>
    <w:link w:val="7"/>
    <w:rsid w:val="005A4CE3"/>
    <w:rPr>
      <w:rFonts w:ascii="Calibri" w:eastAsia="Calibri" w:hAnsi="Calibri" w:cs="Times New Roman"/>
    </w:rPr>
  </w:style>
  <w:style w:type="character" w:customStyle="1" w:styleId="80">
    <w:name w:val="כותרת 8 תו"/>
    <w:basedOn w:val="a0"/>
    <w:link w:val="8"/>
    <w:rsid w:val="005A4CE3"/>
    <w:rPr>
      <w:rFonts w:ascii="Calibri" w:eastAsia="Calibri" w:hAnsi="Calibri" w:cs="Times New Roman"/>
      <w:i/>
      <w:iCs/>
    </w:rPr>
  </w:style>
  <w:style w:type="character" w:customStyle="1" w:styleId="90">
    <w:name w:val="כותרת 9 תו"/>
    <w:basedOn w:val="a0"/>
    <w:link w:val="9"/>
    <w:rsid w:val="005A4CE3"/>
    <w:rPr>
      <w:rFonts w:ascii="Cambria" w:eastAsia="Calibri" w:hAnsi="Cambria" w:cs="Times New Roman"/>
      <w:sz w:val="22"/>
      <w:szCs w:val="22"/>
    </w:rPr>
  </w:style>
  <w:style w:type="paragraph" w:styleId="a3">
    <w:name w:val="Balloon Text"/>
    <w:basedOn w:val="a"/>
    <w:link w:val="a4"/>
    <w:semiHidden/>
    <w:rsid w:val="005A4CE3"/>
    <w:pPr>
      <w:spacing w:after="0" w:line="240" w:lineRule="auto"/>
    </w:pPr>
    <w:rPr>
      <w:rFonts w:ascii="Tahoma" w:hAnsi="Tahoma" w:cs="Tahoma"/>
      <w:sz w:val="16"/>
      <w:szCs w:val="16"/>
    </w:rPr>
  </w:style>
  <w:style w:type="character" w:customStyle="1" w:styleId="a4">
    <w:name w:val="טקסט בלונים תו"/>
    <w:basedOn w:val="a0"/>
    <w:link w:val="a3"/>
    <w:semiHidden/>
    <w:rsid w:val="005A4CE3"/>
    <w:rPr>
      <w:rFonts w:ascii="Tahoma" w:eastAsia="Times New Roman" w:hAnsi="Tahoma" w:cs="Tahoma"/>
      <w:sz w:val="16"/>
      <w:szCs w:val="16"/>
    </w:rPr>
  </w:style>
  <w:style w:type="paragraph" w:styleId="a5">
    <w:name w:val="caption"/>
    <w:basedOn w:val="a"/>
    <w:next w:val="a"/>
    <w:qFormat/>
    <w:rsid w:val="005A4CE3"/>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5A4CE3"/>
    <w:pPr>
      <w:ind w:left="720"/>
      <w:contextualSpacing/>
    </w:pPr>
  </w:style>
  <w:style w:type="paragraph" w:styleId="a6">
    <w:name w:val="header"/>
    <w:basedOn w:val="a"/>
    <w:link w:val="a7"/>
    <w:rsid w:val="005A4CE3"/>
    <w:pPr>
      <w:tabs>
        <w:tab w:val="center" w:pos="4153"/>
        <w:tab w:val="right" w:pos="8306"/>
      </w:tabs>
      <w:spacing w:after="0" w:line="240" w:lineRule="auto"/>
    </w:pPr>
    <w:rPr>
      <w:rFonts w:eastAsia="Calibri"/>
    </w:rPr>
  </w:style>
  <w:style w:type="character" w:customStyle="1" w:styleId="a7">
    <w:name w:val="כותרת עליונה תו"/>
    <w:basedOn w:val="a0"/>
    <w:link w:val="a6"/>
    <w:rsid w:val="005A4CE3"/>
    <w:rPr>
      <w:rFonts w:ascii="Calibri" w:eastAsia="Calibri" w:hAnsi="Calibri" w:cs="Arial"/>
      <w:sz w:val="22"/>
      <w:szCs w:val="22"/>
    </w:rPr>
  </w:style>
  <w:style w:type="paragraph" w:styleId="a8">
    <w:name w:val="footer"/>
    <w:basedOn w:val="a"/>
    <w:link w:val="a9"/>
    <w:rsid w:val="005A4CE3"/>
    <w:pPr>
      <w:tabs>
        <w:tab w:val="center" w:pos="4153"/>
        <w:tab w:val="right" w:pos="8306"/>
      </w:tabs>
      <w:spacing w:after="0" w:line="240" w:lineRule="auto"/>
    </w:pPr>
    <w:rPr>
      <w:rFonts w:eastAsia="Calibri"/>
    </w:rPr>
  </w:style>
  <w:style w:type="character" w:customStyle="1" w:styleId="a9">
    <w:name w:val="כותרת תחתונה תו"/>
    <w:basedOn w:val="a0"/>
    <w:link w:val="a8"/>
    <w:rsid w:val="005A4CE3"/>
    <w:rPr>
      <w:rFonts w:ascii="Calibri" w:eastAsia="Calibri" w:hAnsi="Calibri" w:cs="Arial"/>
      <w:sz w:val="22"/>
      <w:szCs w:val="22"/>
    </w:rPr>
  </w:style>
  <w:style w:type="paragraph" w:customStyle="1" w:styleId="aa">
    <w:name w:val="נבנצלים"/>
    <w:basedOn w:val="a"/>
    <w:next w:val="a"/>
    <w:autoRedefine/>
    <w:rsid w:val="005A4CE3"/>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5A4CE3"/>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5A4CE3"/>
    <w:rPr>
      <w:rFonts w:ascii="Times New Roman" w:eastAsia="Calibri" w:hAnsi="Times New Roman"/>
      <w:sz w:val="20"/>
      <w:szCs w:val="20"/>
      <w:lang w:eastAsia="he-IL"/>
    </w:rPr>
  </w:style>
  <w:style w:type="character" w:styleId="ad">
    <w:name w:val="footnote reference"/>
    <w:basedOn w:val="a0"/>
    <w:semiHidden/>
    <w:rsid w:val="005A4CE3"/>
    <w:rPr>
      <w:rFonts w:cs="David"/>
      <w:vertAlign w:val="superscript"/>
      <w:lang w:bidi="he-IL"/>
    </w:rPr>
  </w:style>
  <w:style w:type="paragraph" w:customStyle="1" w:styleId="ae">
    <w:name w:val="תו"/>
    <w:basedOn w:val="a"/>
    <w:rsid w:val="005A4CE3"/>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5A4CE3"/>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5A4CE3"/>
    <w:rPr>
      <w:rFonts w:ascii="Cambria" w:eastAsia="Calibri" w:hAnsi="Cambria" w:cs="Times New Roman"/>
      <w:b/>
      <w:bCs/>
      <w:kern w:val="28"/>
      <w:sz w:val="32"/>
      <w:szCs w:val="32"/>
    </w:rPr>
  </w:style>
  <w:style w:type="paragraph" w:customStyle="1" w:styleId="12">
    <w:name w:val="ללא מרווח1"/>
    <w:basedOn w:val="a"/>
    <w:rsid w:val="005A4CE3"/>
    <w:pPr>
      <w:spacing w:after="0" w:line="240" w:lineRule="auto"/>
    </w:pPr>
    <w:rPr>
      <w:rFonts w:eastAsia="Calibri" w:cs="Times New Roman"/>
      <w:sz w:val="24"/>
      <w:szCs w:val="32"/>
    </w:rPr>
  </w:style>
  <w:style w:type="character" w:customStyle="1" w:styleId="13">
    <w:name w:val="הדגשה חזקה1"/>
    <w:basedOn w:val="a0"/>
    <w:rsid w:val="005A4CE3"/>
    <w:rPr>
      <w:rFonts w:cs="Times New Roman"/>
      <w:b/>
      <w:i/>
      <w:sz w:val="24"/>
      <w:szCs w:val="24"/>
      <w:u w:val="single"/>
    </w:rPr>
  </w:style>
  <w:style w:type="character" w:customStyle="1" w:styleId="14">
    <w:name w:val="הפניה מעודנת1"/>
    <w:basedOn w:val="a0"/>
    <w:rsid w:val="005A4CE3"/>
    <w:rPr>
      <w:rFonts w:cs="Times New Roman"/>
      <w:sz w:val="24"/>
      <w:szCs w:val="24"/>
      <w:u w:val="single"/>
    </w:rPr>
  </w:style>
  <w:style w:type="character" w:customStyle="1" w:styleId="15">
    <w:name w:val="כותר הספר1"/>
    <w:basedOn w:val="a0"/>
    <w:rsid w:val="005A4CE3"/>
    <w:rPr>
      <w:rFonts w:ascii="Cambria" w:hAnsi="Cambria" w:cs="Times New Roman"/>
      <w:b/>
      <w:i/>
      <w:sz w:val="24"/>
      <w:szCs w:val="24"/>
    </w:rPr>
  </w:style>
  <w:style w:type="character" w:customStyle="1" w:styleId="21">
    <w:name w:val="תו תו2"/>
    <w:basedOn w:val="a0"/>
    <w:uiPriority w:val="99"/>
    <w:rsid w:val="005A4CE3"/>
    <w:rPr>
      <w:rFonts w:cs="Times New Roman"/>
      <w:b/>
      <w:bCs/>
      <w:i/>
      <w:iCs/>
      <w:sz w:val="26"/>
      <w:szCs w:val="26"/>
      <w:lang w:val="en-US" w:eastAsia="en-US" w:bidi="he-IL"/>
    </w:rPr>
  </w:style>
  <w:style w:type="character" w:customStyle="1" w:styleId="16">
    <w:name w:val="טקסט מציין מיקום1"/>
    <w:basedOn w:val="a0"/>
    <w:semiHidden/>
    <w:rsid w:val="005A4CE3"/>
    <w:rPr>
      <w:rFonts w:cs="Times New Roman"/>
      <w:color w:val="808080"/>
    </w:rPr>
  </w:style>
  <w:style w:type="paragraph" w:styleId="af1">
    <w:name w:val="Subtitle"/>
    <w:basedOn w:val="a"/>
    <w:next w:val="a"/>
    <w:link w:val="af2"/>
    <w:qFormat/>
    <w:rsid w:val="005A4CE3"/>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5A4CE3"/>
    <w:rPr>
      <w:rFonts w:ascii="Cambria" w:eastAsia="Calibri" w:hAnsi="Cambria" w:cs="Times New Roman"/>
    </w:rPr>
  </w:style>
  <w:style w:type="character" w:styleId="af3">
    <w:name w:val="Strong"/>
    <w:basedOn w:val="a0"/>
    <w:qFormat/>
    <w:rsid w:val="005A4CE3"/>
    <w:rPr>
      <w:rFonts w:cs="Times New Roman"/>
      <w:b/>
      <w:bCs/>
    </w:rPr>
  </w:style>
  <w:style w:type="character" w:styleId="af4">
    <w:name w:val="Emphasis"/>
    <w:basedOn w:val="a0"/>
    <w:qFormat/>
    <w:rsid w:val="005A4CE3"/>
    <w:rPr>
      <w:rFonts w:ascii="Calibri" w:hAnsi="Calibri" w:cs="Times New Roman"/>
      <w:b/>
      <w:i/>
      <w:iCs/>
    </w:rPr>
  </w:style>
  <w:style w:type="paragraph" w:customStyle="1" w:styleId="17">
    <w:name w:val="הצעת מחיר1"/>
    <w:basedOn w:val="a"/>
    <w:next w:val="a"/>
    <w:link w:val="QuoteChar"/>
    <w:rsid w:val="005A4CE3"/>
    <w:pPr>
      <w:bidi w:val="0"/>
      <w:spacing w:after="0" w:line="240" w:lineRule="auto"/>
    </w:pPr>
    <w:rPr>
      <w:rFonts w:eastAsia="Calibri" w:cs="Times New Roman"/>
      <w:i/>
      <w:sz w:val="24"/>
      <w:szCs w:val="24"/>
    </w:rPr>
  </w:style>
  <w:style w:type="character" w:customStyle="1" w:styleId="QuoteChar">
    <w:name w:val="Quote Char"/>
    <w:basedOn w:val="a0"/>
    <w:link w:val="17"/>
    <w:locked/>
    <w:rsid w:val="005A4CE3"/>
    <w:rPr>
      <w:rFonts w:ascii="Calibri" w:eastAsia="Calibri" w:hAnsi="Calibri" w:cs="Times New Roman"/>
      <w:i/>
    </w:rPr>
  </w:style>
  <w:style w:type="paragraph" w:customStyle="1" w:styleId="18">
    <w:name w:val="הצעת מחיר חזקה1"/>
    <w:basedOn w:val="a"/>
    <w:next w:val="a"/>
    <w:link w:val="IntenseQuoteChar"/>
    <w:rsid w:val="005A4CE3"/>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5A4CE3"/>
    <w:rPr>
      <w:rFonts w:ascii="Calibri" w:eastAsia="Calibri" w:hAnsi="Calibri" w:cs="Times New Roman"/>
      <w:b/>
      <w:i/>
      <w:szCs w:val="22"/>
    </w:rPr>
  </w:style>
  <w:style w:type="character" w:customStyle="1" w:styleId="19">
    <w:name w:val="הדגשה מעודנת1"/>
    <w:rsid w:val="005A4CE3"/>
    <w:rPr>
      <w:i/>
      <w:color w:val="5A5A5A"/>
    </w:rPr>
  </w:style>
  <w:style w:type="character" w:customStyle="1" w:styleId="1a">
    <w:name w:val="הפניה חזקה1"/>
    <w:basedOn w:val="a0"/>
    <w:rsid w:val="005A4CE3"/>
    <w:rPr>
      <w:rFonts w:cs="Times New Roman"/>
      <w:b/>
      <w:sz w:val="24"/>
      <w:u w:val="single"/>
    </w:rPr>
  </w:style>
  <w:style w:type="paragraph" w:customStyle="1" w:styleId="1b">
    <w:name w:val="כותרת תוכן עניינים1"/>
    <w:basedOn w:val="1"/>
    <w:next w:val="a"/>
    <w:semiHidden/>
    <w:rsid w:val="005A4CE3"/>
    <w:pPr>
      <w:bidi w:val="0"/>
      <w:outlineLvl w:val="9"/>
    </w:pPr>
  </w:style>
  <w:style w:type="table" w:styleId="af5">
    <w:name w:val="Table Grid"/>
    <w:basedOn w:val="a1"/>
    <w:rsid w:val="005A4CE3"/>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מאמר"/>
    <w:basedOn w:val="a"/>
    <w:uiPriority w:val="99"/>
    <w:rsid w:val="00F419B6"/>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2790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2010-10-14T07:59:00Z</cp:lastPrinted>
  <dcterms:created xsi:type="dcterms:W3CDTF">2010-12-12T11:43:00Z</dcterms:created>
  <dcterms:modified xsi:type="dcterms:W3CDTF">2010-12-12T11:43:00Z</dcterms:modified>
</cp:coreProperties>
</file>