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F47" w:rsidRPr="00011F47" w:rsidRDefault="00011F47" w:rsidP="00011F47">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011F47">
        <w:rPr>
          <w:rFonts w:ascii="David" w:eastAsiaTheme="minorHAnsi" w:hAnsiTheme="minorHAnsi" w:cs="David" w:hint="cs"/>
          <w:b/>
          <w:bCs/>
          <w:color w:val="000000"/>
          <w:sz w:val="32"/>
          <w:szCs w:val="32"/>
          <w:rtl/>
        </w:rPr>
        <w:t>פעילות משרד הביטחון להצגה ולהנחלה של מורשת הקרב של צה"ל ושל כוחות המגן שקדמו לו</w:t>
      </w:r>
    </w:p>
    <w:p w:rsidR="00011F47" w:rsidRPr="00011F47" w:rsidRDefault="00011F47" w:rsidP="00011F47">
      <w:pPr>
        <w:suppressAutoHyphens/>
        <w:autoSpaceDE w:val="0"/>
        <w:autoSpaceDN w:val="0"/>
        <w:adjustRightInd w:val="0"/>
        <w:spacing w:after="0" w:line="360" w:lineRule="auto"/>
        <w:jc w:val="both"/>
        <w:textAlignment w:val="center"/>
        <w:rPr>
          <w:rFonts w:ascii="David" w:eastAsiaTheme="minorHAnsi" w:hAnsiTheme="minorHAnsi" w:cs="David"/>
          <w:b/>
          <w:bCs/>
          <w:color w:val="000000"/>
          <w:sz w:val="24"/>
          <w:szCs w:val="24"/>
          <w:rtl/>
        </w:rPr>
      </w:pPr>
      <w:r w:rsidRPr="00011F47">
        <w:rPr>
          <w:rFonts w:ascii="David" w:eastAsiaTheme="minorHAnsi" w:hAnsiTheme="minorHAnsi" w:cs="David" w:hint="cs"/>
          <w:b/>
          <w:bCs/>
          <w:color w:val="000000"/>
          <w:sz w:val="24"/>
          <w:szCs w:val="24"/>
          <w:rtl/>
        </w:rPr>
        <w:t>הגופים המבוקרים: משרד הביטחון, צבא הגנה לישראל</w:t>
      </w:r>
    </w:p>
    <w:p w:rsidR="00011F47" w:rsidRPr="00011F47" w:rsidRDefault="00011F47" w:rsidP="00011F47">
      <w:pPr>
        <w:autoSpaceDE w:val="0"/>
        <w:autoSpaceDN w:val="0"/>
        <w:adjustRightInd w:val="0"/>
        <w:spacing w:after="0" w:line="360" w:lineRule="auto"/>
        <w:ind w:left="12"/>
        <w:jc w:val="both"/>
        <w:textAlignment w:val="center"/>
        <w:rPr>
          <w:rFonts w:ascii="David" w:eastAsiaTheme="minorHAnsi" w:hAnsiTheme="minorHAnsi" w:cs="David"/>
          <w:b/>
          <w:bCs/>
          <w:color w:val="000000"/>
          <w:szCs w:val="24"/>
          <w:rtl/>
        </w:rPr>
      </w:pPr>
    </w:p>
    <w:p w:rsidR="00011F47" w:rsidRPr="00011F47" w:rsidRDefault="00011F47" w:rsidP="00011F47">
      <w:pPr>
        <w:autoSpaceDE w:val="0"/>
        <w:autoSpaceDN w:val="0"/>
        <w:adjustRightInd w:val="0"/>
        <w:spacing w:after="0" w:line="360" w:lineRule="auto"/>
        <w:ind w:left="12"/>
        <w:jc w:val="both"/>
        <w:textAlignment w:val="center"/>
        <w:rPr>
          <w:rFonts w:ascii="David" w:eastAsiaTheme="minorHAnsi" w:hAnsiTheme="minorHAnsi" w:cs="David"/>
          <w:b/>
          <w:bCs/>
          <w:color w:val="000000"/>
          <w:szCs w:val="24"/>
          <w:rtl/>
        </w:rPr>
      </w:pPr>
      <w:r w:rsidRPr="00011F47">
        <w:rPr>
          <w:rFonts w:ascii="David" w:eastAsiaTheme="minorHAnsi" w:hAnsiTheme="minorHAnsi" w:cs="David" w:hint="cs"/>
          <w:b/>
          <w:bCs/>
          <w:color w:val="000000"/>
          <w:szCs w:val="24"/>
          <w:rtl/>
        </w:rPr>
        <w:t>ליקוי</w:t>
      </w:r>
    </w:p>
    <w:p w:rsidR="00011F47" w:rsidRPr="00011F47" w:rsidRDefault="00011F47" w:rsidP="00011F47">
      <w:pPr>
        <w:autoSpaceDE w:val="0"/>
        <w:autoSpaceDN w:val="0"/>
        <w:adjustRightInd w:val="0"/>
        <w:spacing w:after="0" w:line="360" w:lineRule="auto"/>
        <w:ind w:left="12"/>
        <w:jc w:val="both"/>
        <w:textAlignment w:val="center"/>
        <w:rPr>
          <w:rFonts w:ascii="David" w:eastAsiaTheme="minorHAnsi" w:hAnsiTheme="minorHAnsi" w:cs="David"/>
          <w:b/>
          <w:bCs/>
          <w:color w:val="000000"/>
          <w:szCs w:val="24"/>
          <w:rtl/>
        </w:rPr>
      </w:pPr>
    </w:p>
    <w:p w:rsidR="00011F47" w:rsidRPr="00011F47" w:rsidRDefault="00011F47" w:rsidP="00011F47">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1.</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לא חל שינוי עקרוני ומהותי בהתייחסות המשרד לנושא המוזיאוני מזו שנמצאה בביקורת: ההצגה המוזיאונית של היסטוריית כוחות המגן שפעלו ערב הקמת המדינה ושל צה"ל, והשקעת המשאבים בהפעלה ובשיפור של מערכת המוזיאונים, עדיין אינן מונחות על ידי תפיסה ומדיניות כוללות של הכיוונים, שאליהם שואפים המשרד והיחידה לפתח את מכלול המוזיאונים של המשרד.</w:t>
      </w:r>
    </w:p>
    <w:p w:rsidR="00011F47" w:rsidRPr="00011F47" w:rsidRDefault="00011F47" w:rsidP="00011F47">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011F47" w:rsidRPr="00011F47" w:rsidRDefault="00011F47" w:rsidP="00011F47">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011F47">
        <w:rPr>
          <w:rFonts w:ascii="David" w:eastAsiaTheme="minorHAnsi" w:hAnsiTheme="minorHAnsi" w:cs="David" w:hint="cs"/>
          <w:b/>
          <w:bCs/>
          <w:color w:val="000000"/>
          <w:szCs w:val="24"/>
          <w:rtl/>
        </w:rPr>
        <w:t>ליקוי</w:t>
      </w:r>
    </w:p>
    <w:p w:rsidR="00011F47" w:rsidRPr="00011F47" w:rsidRDefault="00011F47" w:rsidP="00011F47">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011F47" w:rsidRPr="00011F47" w:rsidRDefault="00011F47" w:rsidP="00011F47">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2.</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 xml:space="preserve">בדצמבר 2006 מסר המשרד, כי עד סוף מרס 2007 הוא יגבש מסמך מדיניות בכל הקשור למוזיאונים שבאחריותו. במעקב נמצא, שהמשרד לא מילא את התחייבותו, ומסמך המדיניות האמור לא גובש. </w:t>
      </w:r>
    </w:p>
    <w:p w:rsidR="00011F47" w:rsidRPr="00011F47" w:rsidRDefault="00011F47" w:rsidP="00011F47">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011F47" w:rsidRPr="00011F47" w:rsidRDefault="00011F47" w:rsidP="00011F47">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011F47">
        <w:rPr>
          <w:rFonts w:ascii="David" w:eastAsiaTheme="minorHAnsi" w:hAnsiTheme="minorHAnsi" w:cs="David" w:hint="cs"/>
          <w:b/>
          <w:bCs/>
          <w:color w:val="000000"/>
          <w:sz w:val="24"/>
          <w:szCs w:val="24"/>
          <w:rtl/>
        </w:rPr>
        <w:t>מעקב</w:t>
      </w:r>
    </w:p>
    <w:p w:rsidR="00011F47" w:rsidRPr="00011F47" w:rsidRDefault="00011F47" w:rsidP="00011F47">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011F47">
        <w:rPr>
          <w:rFonts w:ascii="David" w:eastAsiaTheme="minorHAnsi" w:hAnsiTheme="minorHAnsi" w:cs="David" w:hint="cs"/>
          <w:b/>
          <w:bCs/>
          <w:color w:val="000000"/>
          <w:sz w:val="24"/>
          <w:szCs w:val="24"/>
          <w:rtl/>
        </w:rPr>
        <w:t>משרד הביטחון</w:t>
      </w:r>
    </w:p>
    <w:p w:rsidR="00011F47" w:rsidRPr="00011F47" w:rsidRDefault="00011F47" w:rsidP="00011F47">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p>
    <w:p w:rsidR="00011F47" w:rsidRPr="00011F47" w:rsidRDefault="00011F47" w:rsidP="00011F47">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1-2.</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מסמך המלצות למדיניות הפעלת יחידת המוזיאונים גובש על-ידי מנהל יחידת המוזיאונים, אישור המנכ"ל טרם התקבל עקב חילופי מנכ"לים במשרד. הנושא יוצג למנכ"ל החדש בקרוב. צפי לסיום - סוף שנת 2010.</w:t>
      </w:r>
    </w:p>
    <w:p w:rsidR="00011F47" w:rsidRPr="00011F47" w:rsidRDefault="00011F47" w:rsidP="00011F47">
      <w:pPr>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ראה הערות רה"מ </w:t>
      </w:r>
      <w:proofErr w:type="spellStart"/>
      <w:r w:rsidRPr="00011F47">
        <w:rPr>
          <w:rFonts w:ascii="David" w:eastAsiaTheme="minorHAnsi" w:hAnsiTheme="minorHAnsi" w:cs="David" w:hint="cs"/>
          <w:color w:val="000000"/>
          <w:sz w:val="24"/>
          <w:szCs w:val="24"/>
          <w:rtl/>
        </w:rPr>
        <w:t>60א</w:t>
      </w:r>
      <w:proofErr w:type="spellEnd"/>
      <w:r w:rsidRPr="00011F47">
        <w:rPr>
          <w:rFonts w:ascii="David" w:eastAsiaTheme="minorHAnsi" w:hAnsiTheme="minorHAnsi" w:cs="David" w:hint="cs"/>
          <w:color w:val="000000"/>
          <w:sz w:val="24"/>
          <w:szCs w:val="24"/>
          <w:rtl/>
        </w:rPr>
        <w:t xml:space="preserve">' </w:t>
      </w:r>
      <w:proofErr w:type="spellStart"/>
      <w:r w:rsidRPr="00011F47">
        <w:rPr>
          <w:rFonts w:ascii="David" w:eastAsiaTheme="minorHAnsi" w:hAnsiTheme="minorHAnsi" w:cs="David" w:hint="cs"/>
          <w:color w:val="000000"/>
          <w:sz w:val="24"/>
          <w:szCs w:val="24"/>
          <w:rtl/>
        </w:rPr>
        <w:t>עמ</w:t>
      </w:r>
      <w:proofErr w:type="spellEnd"/>
      <w:r w:rsidRPr="00011F47">
        <w:rPr>
          <w:rFonts w:ascii="David" w:eastAsiaTheme="minorHAnsi" w:hAnsiTheme="minorHAnsi" w:cs="David" w:hint="cs"/>
          <w:color w:val="000000"/>
          <w:sz w:val="24"/>
          <w:szCs w:val="24"/>
          <w:rtl/>
        </w:rPr>
        <w:t>' 60.</w:t>
      </w:r>
    </w:p>
    <w:p w:rsidR="00011F47" w:rsidRPr="00011F47" w:rsidRDefault="00011F47" w:rsidP="00011F47">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p>
    <w:p w:rsidR="00011F47" w:rsidRPr="00011F47" w:rsidRDefault="00011F47" w:rsidP="00011F47">
      <w:pPr>
        <w:autoSpaceDE w:val="0"/>
        <w:autoSpaceDN w:val="0"/>
        <w:adjustRightInd w:val="0"/>
        <w:spacing w:after="0" w:line="288" w:lineRule="auto"/>
        <w:ind w:left="1134" w:hanging="1134"/>
        <w:jc w:val="both"/>
        <w:textAlignment w:val="center"/>
        <w:rPr>
          <w:rFonts w:ascii="David" w:eastAsiaTheme="minorHAnsi" w:hAnsiTheme="minorHAnsi" w:cs="David"/>
          <w:b/>
          <w:bCs/>
          <w:color w:val="000000"/>
          <w:szCs w:val="24"/>
          <w:rtl/>
        </w:rPr>
      </w:pPr>
      <w:r w:rsidRPr="00011F47">
        <w:rPr>
          <w:rFonts w:ascii="David" w:eastAsiaTheme="minorHAnsi" w:hAnsiTheme="minorHAnsi" w:cs="David" w:hint="cs"/>
          <w:b/>
          <w:bCs/>
          <w:color w:val="000000"/>
          <w:szCs w:val="24"/>
          <w:rtl/>
        </w:rPr>
        <w:t>ליקוי</w:t>
      </w:r>
    </w:p>
    <w:p w:rsidR="00011F47" w:rsidRPr="00011F47" w:rsidRDefault="00011F47" w:rsidP="00011F47">
      <w:pPr>
        <w:autoSpaceDE w:val="0"/>
        <w:autoSpaceDN w:val="0"/>
        <w:adjustRightInd w:val="0"/>
        <w:spacing w:after="0" w:line="288" w:lineRule="auto"/>
        <w:ind w:left="1134" w:hanging="1134"/>
        <w:jc w:val="both"/>
        <w:textAlignment w:val="center"/>
        <w:rPr>
          <w:rFonts w:ascii="David" w:eastAsiaTheme="minorHAnsi" w:hAnsiTheme="minorHAnsi" w:cs="David"/>
          <w:b/>
          <w:bCs/>
          <w:color w:val="000000"/>
          <w:szCs w:val="24"/>
          <w:rtl/>
        </w:rPr>
      </w:pPr>
    </w:p>
    <w:p w:rsidR="00011F47" w:rsidRPr="00011F47" w:rsidRDefault="00011F47" w:rsidP="00011F47">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3. </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המשרד לא מקבל במשך שנים את ההחלטות הדרושות בנוגע למיקומו, לאופיו, למראהו ולתפקודו העתידיים של מוזיאון "בתי אוסף". היעדר מקום לקליטת ציוד נוסף במתקני המוזיאון הקיימים גורם, בין השאר, גם לכך, שהיחידה אינה פונה לצה"ל ואינה מנחה אותו בכל הנוגע לאיסוף חומר מוזיאוני, כנדרש. כתוצאה ממצב דברים זה, נפגעת באופן מהותי יכולתו של צה"ל לשמר באמצעות המוזיאון את הממצאים ההיסטוריים החיוניים להמחשה ולהנחלה לציבור של המורשת ושל שלבים שונים בהתפתחות צה"ל.</w:t>
      </w:r>
    </w:p>
    <w:p w:rsidR="00011F47" w:rsidRPr="00011F47" w:rsidRDefault="00011F47" w:rsidP="00011F47">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011F47" w:rsidRPr="00011F47" w:rsidRDefault="00011F47" w:rsidP="00011F47">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011F47">
        <w:rPr>
          <w:rFonts w:ascii="David" w:eastAsiaTheme="minorHAnsi" w:hAnsiTheme="minorHAnsi" w:cs="David" w:hint="cs"/>
          <w:b/>
          <w:bCs/>
          <w:color w:val="000000"/>
          <w:sz w:val="24"/>
          <w:szCs w:val="24"/>
          <w:rtl/>
        </w:rPr>
        <w:t>מעקב</w:t>
      </w:r>
    </w:p>
    <w:p w:rsidR="00011F47" w:rsidRPr="00011F47" w:rsidRDefault="00011F47" w:rsidP="00011F47">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011F47" w:rsidRPr="00011F47" w:rsidRDefault="00011F47" w:rsidP="00011F47">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3.</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 xml:space="preserve">טרם התקבלה החלטה סופית לגבי מיקום מוזיאון יחידת "בתי-האוסף". הנושא היה מותנה בחוות הדעת של ראש </w:t>
      </w:r>
      <w:proofErr w:type="spellStart"/>
      <w:r w:rsidRPr="00011F47">
        <w:rPr>
          <w:rFonts w:ascii="David" w:eastAsiaTheme="minorHAnsi" w:hAnsiTheme="minorHAnsi" w:cs="David" w:hint="cs"/>
          <w:color w:val="000000"/>
          <w:sz w:val="24"/>
          <w:szCs w:val="24"/>
          <w:rtl/>
        </w:rPr>
        <w:t>אמו"ן</w:t>
      </w:r>
      <w:proofErr w:type="spellEnd"/>
      <w:r w:rsidRPr="00011F47">
        <w:rPr>
          <w:rFonts w:ascii="David" w:eastAsiaTheme="minorHAnsi" w:hAnsiTheme="minorHAnsi" w:cs="David" w:hint="cs"/>
          <w:color w:val="000000"/>
          <w:sz w:val="24"/>
          <w:szCs w:val="24"/>
          <w:rtl/>
        </w:rPr>
        <w:t xml:space="preserve"> למנכ"ל, לבחינת התאמת "מרכז רבין" או אתר אחר לעניין זה.</w:t>
      </w:r>
    </w:p>
    <w:p w:rsidR="00011F47" w:rsidRPr="00011F47" w:rsidRDefault="00011F47" w:rsidP="00011F47">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ממצאי בדיקתו פורסמו בחודש יולי 2010 ומהם עולה כי:</w:t>
      </w:r>
    </w:p>
    <w:p w:rsidR="00011F47" w:rsidRPr="00011F47" w:rsidRDefault="00011F47" w:rsidP="00011F47">
      <w:pPr>
        <w:suppressAutoHyphens/>
        <w:autoSpaceDE w:val="0"/>
        <w:autoSpaceDN w:val="0"/>
        <w:adjustRightInd w:val="0"/>
        <w:spacing w:after="0" w:line="288" w:lineRule="auto"/>
        <w:ind w:left="2268" w:hanging="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א. בבדיקת מרתף "מרכז רבין" לא נמצאו סימנים לגז </w:t>
      </w:r>
      <w:proofErr w:type="spellStart"/>
      <w:r w:rsidRPr="00011F47">
        <w:rPr>
          <w:rFonts w:ascii="David" w:eastAsiaTheme="minorHAnsi" w:hAnsiTheme="minorHAnsi" w:cs="David" w:hint="cs"/>
          <w:color w:val="000000"/>
          <w:sz w:val="24"/>
          <w:szCs w:val="24"/>
          <w:rtl/>
        </w:rPr>
        <w:t>ראדון</w:t>
      </w:r>
      <w:proofErr w:type="spellEnd"/>
      <w:r w:rsidRPr="00011F47">
        <w:rPr>
          <w:rFonts w:ascii="David" w:eastAsiaTheme="minorHAnsi" w:hAnsiTheme="minorHAnsi" w:cs="David" w:hint="cs"/>
          <w:color w:val="000000"/>
          <w:sz w:val="24"/>
          <w:szCs w:val="24"/>
          <w:rtl/>
        </w:rPr>
        <w:t>.</w:t>
      </w:r>
    </w:p>
    <w:p w:rsidR="00011F47" w:rsidRPr="00011F47" w:rsidRDefault="00011F47" w:rsidP="00011F47">
      <w:pPr>
        <w:tabs>
          <w:tab w:val="left" w:pos="1360"/>
        </w:tabs>
        <w:suppressAutoHyphens/>
        <w:autoSpaceDE w:val="0"/>
        <w:autoSpaceDN w:val="0"/>
        <w:adjustRightInd w:val="0"/>
        <w:spacing w:after="0" w:line="288" w:lineRule="auto"/>
        <w:ind w:left="1360" w:hanging="226"/>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ב. הבחינה העלתה כי אין אפשרות להעביר את מוזיאון "בתי-האוסף", על תכולתו לבית רבין. זאת, מאחר והמקום צר מלהכילו.</w:t>
      </w:r>
    </w:p>
    <w:p w:rsidR="00011F47" w:rsidRPr="00011F47" w:rsidRDefault="00011F47" w:rsidP="00011F47">
      <w:pPr>
        <w:suppressAutoHyphens/>
        <w:autoSpaceDE w:val="0"/>
        <w:autoSpaceDN w:val="0"/>
        <w:adjustRightInd w:val="0"/>
        <w:spacing w:after="0" w:line="288" w:lineRule="auto"/>
        <w:ind w:left="1360" w:hanging="226"/>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lastRenderedPageBreak/>
        <w:t xml:space="preserve">ג. אגף </w:t>
      </w:r>
      <w:proofErr w:type="spellStart"/>
      <w:r w:rsidRPr="00011F47">
        <w:rPr>
          <w:rFonts w:ascii="David" w:eastAsiaTheme="minorHAnsi" w:hAnsiTheme="minorHAnsi" w:cs="David" w:hint="cs"/>
          <w:color w:val="000000"/>
          <w:sz w:val="24"/>
          <w:szCs w:val="24"/>
          <w:rtl/>
        </w:rPr>
        <w:t>אמו"ן</w:t>
      </w:r>
      <w:proofErr w:type="spellEnd"/>
      <w:r w:rsidRPr="00011F47">
        <w:rPr>
          <w:rFonts w:ascii="David" w:eastAsiaTheme="minorHAnsi" w:hAnsiTheme="minorHAnsi" w:cs="David" w:hint="cs"/>
          <w:color w:val="000000"/>
          <w:sz w:val="24"/>
          <w:szCs w:val="24"/>
          <w:rtl/>
        </w:rPr>
        <w:t xml:space="preserve"> בשיתוף יחידת המוזיאונים עורכים בימים אלה בחינה באשר להקמת מוזיאון צה"ל/מערכות ישראל בבית רבין, ואפשר שבמסגרתו, במגבלות השטח הקיים, ישולבו חלק מהמוצגים הנמצאים היום ב"בתי-האוסף" בסמוך ליפו. צפי לסיום עבודת המטה -  עד סוף 2010.</w:t>
      </w:r>
    </w:p>
    <w:p w:rsidR="00011F47" w:rsidRPr="00011F47" w:rsidRDefault="00011F47" w:rsidP="00011F47">
      <w:pPr>
        <w:suppressAutoHyphens/>
        <w:autoSpaceDE w:val="0"/>
        <w:autoSpaceDN w:val="0"/>
        <w:adjustRightInd w:val="0"/>
        <w:spacing w:after="0" w:line="288" w:lineRule="auto"/>
        <w:ind w:left="1076"/>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לעניין עבודת המטה מול צה"ל בנושא שריון פריטי ציוד ואמל"ח לשימור ולתצוגה – במהלך המחצית הראשונה של 2010 התקיימה פגישת עבודה עם נציגי צה"ל לגבי סוגי הפריטים. עתה ממתינים לקביעת צה"ל לגבי מועד סיור בבסיסים על-מנת שניתן יהיה לסמן את הציוד הנדרש. בעיית האחסון תישאר בעינה עד לקבלת ההחלטות בדבר האתר האולטימטיבי של "בתי-האוסף".</w:t>
      </w:r>
    </w:p>
    <w:p w:rsidR="00011F47" w:rsidRPr="00011F47" w:rsidRDefault="00011F47" w:rsidP="00011F47">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ראה הערות רה"מ </w:t>
      </w:r>
      <w:proofErr w:type="spellStart"/>
      <w:r w:rsidRPr="00011F47">
        <w:rPr>
          <w:rFonts w:ascii="David" w:eastAsiaTheme="minorHAnsi" w:hAnsiTheme="minorHAnsi" w:cs="David" w:hint="cs"/>
          <w:color w:val="000000"/>
          <w:sz w:val="24"/>
          <w:szCs w:val="24"/>
          <w:rtl/>
        </w:rPr>
        <w:t>60א</w:t>
      </w:r>
      <w:proofErr w:type="spellEnd"/>
      <w:r w:rsidRPr="00011F47">
        <w:rPr>
          <w:rFonts w:ascii="David" w:eastAsiaTheme="minorHAnsi" w:hAnsiTheme="minorHAnsi" w:cs="David" w:hint="cs"/>
          <w:color w:val="000000"/>
          <w:sz w:val="24"/>
          <w:szCs w:val="24"/>
          <w:rtl/>
        </w:rPr>
        <w:t xml:space="preserve">' </w:t>
      </w:r>
      <w:proofErr w:type="spellStart"/>
      <w:r w:rsidRPr="00011F47">
        <w:rPr>
          <w:rFonts w:ascii="David" w:eastAsiaTheme="minorHAnsi" w:hAnsiTheme="minorHAnsi" w:cs="David" w:hint="cs"/>
          <w:color w:val="000000"/>
          <w:sz w:val="24"/>
          <w:szCs w:val="24"/>
          <w:rtl/>
        </w:rPr>
        <w:t>עמ</w:t>
      </w:r>
      <w:proofErr w:type="spellEnd"/>
      <w:r w:rsidRPr="00011F47">
        <w:rPr>
          <w:rFonts w:ascii="David" w:eastAsiaTheme="minorHAnsi" w:hAnsiTheme="minorHAnsi" w:cs="David" w:hint="cs"/>
          <w:color w:val="000000"/>
          <w:sz w:val="24"/>
          <w:szCs w:val="24"/>
          <w:rtl/>
        </w:rPr>
        <w:t>' 61.</w:t>
      </w:r>
    </w:p>
    <w:p w:rsidR="00011F47" w:rsidRPr="00011F47" w:rsidRDefault="00011F47" w:rsidP="00011F47">
      <w:pPr>
        <w:autoSpaceDE w:val="0"/>
        <w:autoSpaceDN w:val="0"/>
        <w:adjustRightInd w:val="0"/>
        <w:spacing w:after="0" w:line="288" w:lineRule="auto"/>
        <w:ind w:left="1076"/>
        <w:jc w:val="both"/>
        <w:textAlignment w:val="center"/>
        <w:rPr>
          <w:rFonts w:ascii="David" w:eastAsiaTheme="minorHAnsi" w:hAnsiTheme="minorHAnsi" w:cs="David"/>
          <w:color w:val="000000"/>
          <w:sz w:val="24"/>
          <w:szCs w:val="24"/>
          <w:rtl/>
        </w:rPr>
      </w:pPr>
    </w:p>
    <w:p w:rsidR="00011F47" w:rsidRPr="00011F47" w:rsidRDefault="00011F47" w:rsidP="00011F47">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011F47">
        <w:rPr>
          <w:rFonts w:ascii="David" w:eastAsiaTheme="minorHAnsi" w:hAnsiTheme="minorHAnsi" w:cs="David" w:hint="cs"/>
          <w:b/>
          <w:bCs/>
          <w:color w:val="000000"/>
          <w:szCs w:val="24"/>
          <w:rtl/>
        </w:rPr>
        <w:t>ליקוי</w:t>
      </w:r>
    </w:p>
    <w:p w:rsidR="00011F47" w:rsidRPr="00011F47" w:rsidRDefault="00011F47" w:rsidP="00011F47">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011F47" w:rsidRPr="00011F47" w:rsidRDefault="00011F47" w:rsidP="00011F47">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4. </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 xml:space="preserve">המשרד ממשיך בגביית דמי כניסה למוזיאונים שבאחריותו ללא הסדרת הבסיס המשפטי לגבייה זו ובלא שבחן את גובהם של דמי הכניסה, יש לראות בכך ליקוי חמור. </w:t>
      </w:r>
    </w:p>
    <w:p w:rsidR="00011F47" w:rsidRPr="00011F47" w:rsidRDefault="00011F47" w:rsidP="00011F47">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011F47" w:rsidRPr="00011F47" w:rsidRDefault="00011F47" w:rsidP="00011F47">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011F47">
        <w:rPr>
          <w:rFonts w:ascii="David" w:eastAsiaTheme="minorHAnsi" w:hAnsiTheme="minorHAnsi" w:cs="David" w:hint="cs"/>
          <w:b/>
          <w:bCs/>
          <w:color w:val="000000"/>
          <w:sz w:val="24"/>
          <w:szCs w:val="24"/>
          <w:rtl/>
        </w:rPr>
        <w:t>מעקב</w:t>
      </w:r>
    </w:p>
    <w:p w:rsidR="00011F47" w:rsidRPr="00011F47" w:rsidRDefault="00011F47" w:rsidP="00011F47">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011F47" w:rsidRPr="00011F47" w:rsidRDefault="00011F47" w:rsidP="00011F47">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4.</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נושא חוקיות דמי כניסה נבחן והוצג במהלך חודש יוני 2010 על-ידי לשכת היועץ המשפטי למערכת הביטחון. בסיום הבדיקה נבחנו שתי דרכי פעולה אפשריות: החלת חוק המוזיאונים  או גבית דמי כניסה בהסדר/שיטת "החזר עלות".</w:t>
      </w:r>
    </w:p>
    <w:p w:rsidR="00011F47" w:rsidRPr="00011F47" w:rsidRDefault="00011F47" w:rsidP="00011F47">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שיטה א' נפסלה מאחר ונמצא כי מוזיאוני מערכת הביטחון אינם עומדים בקריטריוני הגביה למוזיאונים על פי החוק הנ"ל. פעילות לשינוי חקיקה עלולה לארוך זמן רב ואף אין בה כדי להבטיח הצלחה וישימות ברורים.</w:t>
      </w:r>
    </w:p>
    <w:p w:rsidR="00011F47" w:rsidRPr="00011F47" w:rsidRDefault="00011F47" w:rsidP="00011F47">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מאידך אוששה על-ידי היועץ המשפטי למערכת הביטחון ההיתכנות והסבירות המיידית למימוש  לשיטה ב': גבית דמי כניסה בהסדר/שיטת "החזר עלות". עלות הקיום השוטפת  של מוזיאונים אלו נבחנה, על כל מרכיביה השונים, לרבות הוצאות קבועות ומשתנות.</w:t>
      </w:r>
    </w:p>
    <w:p w:rsidR="00011F47" w:rsidRPr="00011F47" w:rsidRDefault="00011F47" w:rsidP="00011F47">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אגף משאבי אנוש ויחידת המוזיאונים, בשיתוף ובליווי נציג היועץ המשפטי למערכת הביטחון ונציג אגף </w:t>
      </w:r>
      <w:proofErr w:type="spellStart"/>
      <w:r w:rsidRPr="00011F47">
        <w:rPr>
          <w:rFonts w:ascii="David" w:eastAsiaTheme="minorHAnsi" w:hAnsiTheme="minorHAnsi" w:cs="David" w:hint="cs"/>
          <w:color w:val="000000"/>
          <w:sz w:val="24"/>
          <w:szCs w:val="24"/>
          <w:rtl/>
        </w:rPr>
        <w:t>אב"מ</w:t>
      </w:r>
      <w:proofErr w:type="spellEnd"/>
      <w:r w:rsidRPr="00011F47">
        <w:rPr>
          <w:rFonts w:ascii="David" w:eastAsiaTheme="minorHAnsi" w:hAnsiTheme="minorHAnsi" w:cs="David" w:hint="cs"/>
          <w:color w:val="000000"/>
          <w:sz w:val="24"/>
          <w:szCs w:val="24"/>
          <w:rtl/>
        </w:rPr>
        <w:t xml:space="preserve">, יידרשו בעת הקרובה, ולא יאוחר מסוף שנת 2010  להביא לידי ביטוי את השיטה הנ"ל בהוראות ונהלי  המשרד  ולאחר שהשיטה ואופן יישומה יאושרו </w:t>
      </w:r>
      <w:proofErr w:type="spellStart"/>
      <w:r w:rsidRPr="00011F47">
        <w:rPr>
          <w:rFonts w:ascii="David" w:eastAsiaTheme="minorHAnsi" w:hAnsiTheme="minorHAnsi" w:cs="David" w:hint="cs"/>
          <w:color w:val="000000"/>
          <w:sz w:val="24"/>
          <w:szCs w:val="24"/>
          <w:rtl/>
        </w:rPr>
        <w:t>ויתוקפו</w:t>
      </w:r>
      <w:proofErr w:type="spellEnd"/>
      <w:r w:rsidRPr="00011F47">
        <w:rPr>
          <w:rFonts w:ascii="David" w:eastAsiaTheme="minorHAnsi" w:hAnsiTheme="minorHAnsi" w:cs="David" w:hint="cs"/>
          <w:color w:val="000000"/>
          <w:sz w:val="24"/>
          <w:szCs w:val="24"/>
          <w:rtl/>
        </w:rPr>
        <w:t xml:space="preserve"> על-ידי כלל הגופים הרלבנטיים לעבודת מטה זו, לרבות קיזוז חשבונאי של ההחזר עם עלות הקיום.</w:t>
      </w:r>
    </w:p>
    <w:p w:rsidR="00011F47" w:rsidRPr="00011F47" w:rsidRDefault="00011F47" w:rsidP="00011F47">
      <w:pPr>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ראה הערות רה"מ </w:t>
      </w:r>
      <w:proofErr w:type="spellStart"/>
      <w:r w:rsidRPr="00011F47">
        <w:rPr>
          <w:rFonts w:ascii="David" w:eastAsiaTheme="minorHAnsi" w:hAnsiTheme="minorHAnsi" w:cs="David" w:hint="cs"/>
          <w:color w:val="000000"/>
          <w:sz w:val="24"/>
          <w:szCs w:val="24"/>
          <w:rtl/>
        </w:rPr>
        <w:t>60א</w:t>
      </w:r>
      <w:proofErr w:type="spellEnd"/>
      <w:r w:rsidRPr="00011F47">
        <w:rPr>
          <w:rFonts w:ascii="David" w:eastAsiaTheme="minorHAnsi" w:hAnsiTheme="minorHAnsi" w:cs="David" w:hint="cs"/>
          <w:color w:val="000000"/>
          <w:sz w:val="24"/>
          <w:szCs w:val="24"/>
          <w:rtl/>
        </w:rPr>
        <w:t xml:space="preserve">' </w:t>
      </w:r>
      <w:proofErr w:type="spellStart"/>
      <w:r w:rsidRPr="00011F47">
        <w:rPr>
          <w:rFonts w:ascii="David" w:eastAsiaTheme="minorHAnsi" w:hAnsiTheme="minorHAnsi" w:cs="David" w:hint="cs"/>
          <w:color w:val="000000"/>
          <w:sz w:val="24"/>
          <w:szCs w:val="24"/>
          <w:rtl/>
        </w:rPr>
        <w:t>עמ</w:t>
      </w:r>
      <w:proofErr w:type="spellEnd"/>
      <w:r w:rsidRPr="00011F47">
        <w:rPr>
          <w:rFonts w:ascii="David" w:eastAsiaTheme="minorHAnsi" w:hAnsiTheme="minorHAnsi" w:cs="David" w:hint="cs"/>
          <w:color w:val="000000"/>
          <w:sz w:val="24"/>
          <w:szCs w:val="24"/>
          <w:rtl/>
        </w:rPr>
        <w:t>' 62.</w:t>
      </w:r>
    </w:p>
    <w:p w:rsidR="00011F47" w:rsidRPr="00011F47" w:rsidRDefault="00011F47" w:rsidP="00011F47">
      <w:pPr>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p>
    <w:p w:rsidR="00011F47" w:rsidRPr="00011F47" w:rsidRDefault="00011F47" w:rsidP="00011F47">
      <w:pPr>
        <w:autoSpaceDE w:val="0"/>
        <w:autoSpaceDN w:val="0"/>
        <w:adjustRightInd w:val="0"/>
        <w:spacing w:after="0" w:line="288" w:lineRule="auto"/>
        <w:ind w:left="1134" w:hanging="1134"/>
        <w:jc w:val="both"/>
        <w:textAlignment w:val="center"/>
        <w:rPr>
          <w:rFonts w:ascii="David" w:eastAsiaTheme="minorHAnsi" w:hAnsiTheme="minorHAnsi" w:cs="David"/>
          <w:b/>
          <w:bCs/>
          <w:color w:val="000000"/>
          <w:szCs w:val="24"/>
          <w:rtl/>
        </w:rPr>
      </w:pPr>
      <w:r w:rsidRPr="00011F47">
        <w:rPr>
          <w:rFonts w:ascii="David" w:eastAsiaTheme="minorHAnsi" w:hAnsiTheme="minorHAnsi" w:cs="David" w:hint="cs"/>
          <w:b/>
          <w:bCs/>
          <w:color w:val="000000"/>
          <w:szCs w:val="24"/>
          <w:rtl/>
        </w:rPr>
        <w:t>ליקוי</w:t>
      </w:r>
    </w:p>
    <w:p w:rsidR="00011F47" w:rsidRPr="00011F47" w:rsidRDefault="00011F47" w:rsidP="00011F47">
      <w:pPr>
        <w:autoSpaceDE w:val="0"/>
        <w:autoSpaceDN w:val="0"/>
        <w:adjustRightInd w:val="0"/>
        <w:spacing w:after="0" w:line="288" w:lineRule="auto"/>
        <w:ind w:left="1134" w:hanging="1134"/>
        <w:jc w:val="both"/>
        <w:textAlignment w:val="center"/>
        <w:rPr>
          <w:rFonts w:ascii="David" w:eastAsiaTheme="minorHAnsi" w:hAnsiTheme="minorHAnsi" w:cs="David"/>
          <w:b/>
          <w:bCs/>
          <w:color w:val="000000"/>
          <w:szCs w:val="24"/>
          <w:rtl/>
        </w:rPr>
      </w:pPr>
    </w:p>
    <w:p w:rsidR="00011F47" w:rsidRPr="00011F47" w:rsidRDefault="00011F47" w:rsidP="00011F47">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5. </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 xml:space="preserve">התפוגגותו של פרויקט לאומי - המרכז הלאומי לגבורה ולהנצחה בהר איתן וירידתם לטמיון של עשרות מיליוני ₪, שהושקעו בו מאז ההחלטה על הקמתו, התחוללו בלא שהגורמים הממלכתיים, שהיו מעורבים בו, הביאו את העניין להחלטה. משרד מבקר המדינה מעיר, כי לנוכח כך, שההחלטה על הקמתו של מרכז מוזיאוני והנצחתי לאומי התקבלה על ידי הממשלה, אזי על כל שינוי בהחלטה זו להתקבל אף הוא על ידי הממשלה בתהליך סדור. הסבר מקבל משנה תוקף לנוכח ההשלכות של ההחלטה על עתידו של המרכז בהר איתן על המדיניות הכוללת של מערכת הביטחון בנושא ההנחלה וההנצחה של מורשת צה"ל בכלל ועל עתידו של מוזיאון "בתי האוסף" (לתולדות צה"ל), בפרט. </w:t>
      </w:r>
    </w:p>
    <w:p w:rsidR="00011F47" w:rsidRPr="00011F47" w:rsidRDefault="00011F47" w:rsidP="00011F47">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011F47" w:rsidRDefault="00011F47" w:rsidP="00011F47">
      <w:pPr>
        <w:autoSpaceDE w:val="0"/>
        <w:autoSpaceDN w:val="0"/>
        <w:adjustRightInd w:val="0"/>
        <w:spacing w:after="0" w:line="288" w:lineRule="auto"/>
        <w:jc w:val="both"/>
        <w:textAlignment w:val="center"/>
        <w:rPr>
          <w:rFonts w:ascii="David" w:eastAsiaTheme="minorHAnsi" w:hAnsiTheme="minorHAnsi" w:cs="David" w:hint="cs"/>
          <w:b/>
          <w:bCs/>
          <w:color w:val="000000"/>
          <w:sz w:val="24"/>
          <w:szCs w:val="24"/>
          <w:rtl/>
        </w:rPr>
      </w:pPr>
    </w:p>
    <w:p w:rsidR="00011F47" w:rsidRPr="00011F47" w:rsidRDefault="00011F47" w:rsidP="00011F47">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011F47">
        <w:rPr>
          <w:rFonts w:ascii="David" w:eastAsiaTheme="minorHAnsi" w:hAnsiTheme="minorHAnsi" w:cs="David" w:hint="cs"/>
          <w:b/>
          <w:bCs/>
          <w:color w:val="000000"/>
          <w:sz w:val="24"/>
          <w:szCs w:val="24"/>
          <w:rtl/>
        </w:rPr>
        <w:lastRenderedPageBreak/>
        <w:t>מעקב</w:t>
      </w:r>
    </w:p>
    <w:p w:rsidR="00011F47" w:rsidRPr="00011F47" w:rsidRDefault="00011F47" w:rsidP="00011F47">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011F47" w:rsidRPr="00011F47" w:rsidRDefault="00011F47" w:rsidP="00011F47">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5.</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לנושא הקמת מוזיאון לאומי בהר איתן - נושא זה נמצא עדיין בטיפולה של לשכת שר הביטחון, מול משרד ראש הממשלה, על-מנת לבטל את החלטת הממשלה הקודמת שהפכה ללא רלבנטית לאור ביטול הפרויקט.</w:t>
      </w:r>
    </w:p>
    <w:p w:rsidR="00011F47" w:rsidRPr="00011F47" w:rsidRDefault="00011F47" w:rsidP="00011F47">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ראה הערות רה"מ </w:t>
      </w:r>
      <w:proofErr w:type="spellStart"/>
      <w:r w:rsidRPr="00011F47">
        <w:rPr>
          <w:rFonts w:ascii="David" w:eastAsiaTheme="minorHAnsi" w:hAnsiTheme="minorHAnsi" w:cs="David" w:hint="cs"/>
          <w:color w:val="000000"/>
          <w:sz w:val="24"/>
          <w:szCs w:val="24"/>
          <w:rtl/>
        </w:rPr>
        <w:t>60א</w:t>
      </w:r>
      <w:proofErr w:type="spellEnd"/>
      <w:r w:rsidRPr="00011F47">
        <w:rPr>
          <w:rFonts w:ascii="David" w:eastAsiaTheme="minorHAnsi" w:hAnsiTheme="minorHAnsi" w:cs="David" w:hint="cs"/>
          <w:color w:val="000000"/>
          <w:sz w:val="24"/>
          <w:szCs w:val="24"/>
          <w:rtl/>
        </w:rPr>
        <w:t xml:space="preserve">' </w:t>
      </w:r>
      <w:proofErr w:type="spellStart"/>
      <w:r w:rsidRPr="00011F47">
        <w:rPr>
          <w:rFonts w:ascii="David" w:eastAsiaTheme="minorHAnsi" w:hAnsiTheme="minorHAnsi" w:cs="David" w:hint="cs"/>
          <w:color w:val="000000"/>
          <w:sz w:val="24"/>
          <w:szCs w:val="24"/>
          <w:rtl/>
        </w:rPr>
        <w:t>עמ</w:t>
      </w:r>
      <w:proofErr w:type="spellEnd"/>
      <w:r w:rsidRPr="00011F47">
        <w:rPr>
          <w:rFonts w:ascii="David" w:eastAsiaTheme="minorHAnsi" w:hAnsiTheme="minorHAnsi" w:cs="David" w:hint="cs"/>
          <w:color w:val="000000"/>
          <w:sz w:val="24"/>
          <w:szCs w:val="24"/>
          <w:rtl/>
        </w:rPr>
        <w:t>' 63.</w:t>
      </w:r>
    </w:p>
    <w:p w:rsidR="00011F47" w:rsidRPr="00011F47" w:rsidRDefault="00011F47" w:rsidP="00011F47">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011F47" w:rsidRPr="00011F47" w:rsidRDefault="00011F47" w:rsidP="00011F47">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011F47">
        <w:rPr>
          <w:rFonts w:ascii="David" w:eastAsiaTheme="minorHAnsi" w:hAnsiTheme="minorHAnsi" w:cs="David" w:hint="cs"/>
          <w:b/>
          <w:bCs/>
          <w:color w:val="000000"/>
          <w:szCs w:val="24"/>
          <w:rtl/>
        </w:rPr>
        <w:t>ליקוי</w:t>
      </w:r>
    </w:p>
    <w:p w:rsidR="00011F47" w:rsidRPr="00011F47" w:rsidRDefault="00011F47" w:rsidP="00011F47">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011F47" w:rsidRPr="00011F47" w:rsidRDefault="00011F47" w:rsidP="00011F47">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6. </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 xml:space="preserve">למרות התחייבותו של צה"ל מסוף שנת 2006, ולפיה "במהלך שנת העבודה 2007, יסדיר צה"ל את תקני כלל יחידות המוזיאון במערך ויתאימם לצרכים המשתנים", במועד סיום המעקב התהליך טרם הושלם. </w:t>
      </w:r>
    </w:p>
    <w:p w:rsidR="00011F47" w:rsidRPr="00011F47" w:rsidRDefault="00011F47" w:rsidP="00011F47">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011F47" w:rsidRPr="00011F47" w:rsidRDefault="00011F47" w:rsidP="00011F47">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011F47">
        <w:rPr>
          <w:rFonts w:ascii="David" w:eastAsiaTheme="minorHAnsi" w:hAnsiTheme="minorHAnsi" w:cs="David" w:hint="cs"/>
          <w:b/>
          <w:bCs/>
          <w:color w:val="000000"/>
          <w:sz w:val="24"/>
          <w:szCs w:val="24"/>
          <w:rtl/>
        </w:rPr>
        <w:t>מעקב</w:t>
      </w:r>
    </w:p>
    <w:p w:rsidR="00011F47" w:rsidRPr="00011F47" w:rsidRDefault="00011F47" w:rsidP="00011F47">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r w:rsidRPr="00011F47">
        <w:rPr>
          <w:rFonts w:ascii="David" w:eastAsiaTheme="minorHAnsi" w:hAnsiTheme="minorHAnsi" w:cs="David" w:hint="cs"/>
          <w:b/>
          <w:bCs/>
          <w:color w:val="000000"/>
          <w:sz w:val="24"/>
          <w:szCs w:val="24"/>
          <w:rtl/>
        </w:rPr>
        <w:t>צבא הגנה לישראל</w:t>
      </w:r>
    </w:p>
    <w:p w:rsidR="00011F47" w:rsidRPr="00011F47" w:rsidRDefault="00011F47" w:rsidP="00011F47">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011F47" w:rsidRPr="00011F47" w:rsidRDefault="00011F47" w:rsidP="00011F47">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6.</w:t>
      </w:r>
      <w:r w:rsidRPr="00011F47">
        <w:rPr>
          <w:rFonts w:ascii="David" w:eastAsiaTheme="minorHAnsi" w:hAnsiTheme="minorHAnsi" w:cs="David"/>
          <w:color w:val="000000"/>
          <w:sz w:val="24"/>
          <w:szCs w:val="24"/>
          <w:rtl/>
        </w:rPr>
        <w:tab/>
      </w:r>
      <w:r w:rsidRPr="00011F47">
        <w:rPr>
          <w:rFonts w:ascii="David" w:eastAsiaTheme="minorHAnsi" w:hAnsiTheme="minorHAnsi" w:cs="David" w:hint="cs"/>
          <w:color w:val="000000"/>
          <w:sz w:val="24"/>
          <w:szCs w:val="24"/>
          <w:rtl/>
        </w:rPr>
        <w:t>הוראת קבע אכ"א 38-02-03 "קשרי גומלין- צה"ל ועמותות אזרחיות הפועלות להנצחת חללי צה"ל, קשר עם משפחות שכולות ונכי צה"ל", תעודכן בהתאם לשינויים שחלו בצה"ל במערך התקינה. ההוראה הופצה לסבב הערות בחציון ב' שנת 2010. צפי לפרסום ההוראה המעודכנת – סוף שנת 2010.</w:t>
      </w:r>
    </w:p>
    <w:p w:rsidR="00011F47" w:rsidRPr="00011F47" w:rsidRDefault="00011F47" w:rsidP="00011F47">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011F47">
        <w:rPr>
          <w:rFonts w:ascii="David" w:eastAsiaTheme="minorHAnsi" w:hAnsiTheme="minorHAnsi" w:cs="David" w:hint="cs"/>
          <w:color w:val="000000"/>
          <w:sz w:val="24"/>
          <w:szCs w:val="24"/>
          <w:rtl/>
        </w:rPr>
        <w:t xml:space="preserve">ראה הערות רה"מ </w:t>
      </w:r>
      <w:proofErr w:type="spellStart"/>
      <w:r w:rsidRPr="00011F47">
        <w:rPr>
          <w:rFonts w:ascii="David" w:eastAsiaTheme="minorHAnsi" w:hAnsiTheme="minorHAnsi" w:cs="David" w:hint="cs"/>
          <w:color w:val="000000"/>
          <w:sz w:val="24"/>
          <w:szCs w:val="24"/>
          <w:rtl/>
        </w:rPr>
        <w:t>60א</w:t>
      </w:r>
      <w:proofErr w:type="spellEnd"/>
      <w:r w:rsidRPr="00011F47">
        <w:rPr>
          <w:rFonts w:ascii="David" w:eastAsiaTheme="minorHAnsi" w:hAnsiTheme="minorHAnsi" w:cs="David" w:hint="cs"/>
          <w:color w:val="000000"/>
          <w:sz w:val="24"/>
          <w:szCs w:val="24"/>
          <w:rtl/>
        </w:rPr>
        <w:t xml:space="preserve">' </w:t>
      </w:r>
      <w:proofErr w:type="spellStart"/>
      <w:r w:rsidRPr="00011F47">
        <w:rPr>
          <w:rFonts w:ascii="David" w:eastAsiaTheme="minorHAnsi" w:hAnsiTheme="minorHAnsi" w:cs="David" w:hint="cs"/>
          <w:color w:val="000000"/>
          <w:sz w:val="24"/>
          <w:szCs w:val="24"/>
          <w:rtl/>
        </w:rPr>
        <w:t>עמ</w:t>
      </w:r>
      <w:proofErr w:type="spellEnd"/>
      <w:r w:rsidRPr="00011F47">
        <w:rPr>
          <w:rFonts w:ascii="David" w:eastAsiaTheme="minorHAnsi" w:hAnsiTheme="minorHAnsi" w:cs="David" w:hint="cs"/>
          <w:color w:val="000000"/>
          <w:sz w:val="24"/>
          <w:szCs w:val="24"/>
          <w:rtl/>
        </w:rPr>
        <w:t>' 64.</w:t>
      </w:r>
    </w:p>
    <w:p w:rsidR="00314ACB" w:rsidRPr="00011F47" w:rsidRDefault="00314ACB" w:rsidP="00011F47">
      <w:pPr>
        <w:rPr>
          <w:szCs w:val="24"/>
        </w:rPr>
      </w:pPr>
    </w:p>
    <w:sectPr w:rsidR="00314ACB" w:rsidRPr="00011F47" w:rsidSect="00533C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FA6" w:rsidRDefault="00BB1FA6" w:rsidP="00BB1FA6">
      <w:pPr>
        <w:spacing w:after="0" w:line="240" w:lineRule="auto"/>
      </w:pPr>
      <w:r>
        <w:separator/>
      </w:r>
    </w:p>
  </w:endnote>
  <w:endnote w:type="continuationSeparator" w:id="1">
    <w:p w:rsidR="00BB1FA6" w:rsidRDefault="00BB1FA6" w:rsidP="00BB1F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CBC" w:rsidRDefault="00F54CB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CBC" w:rsidRDefault="00F54CBC">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CBC" w:rsidRDefault="00F54CB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FA6" w:rsidRDefault="00BB1FA6" w:rsidP="00BB1FA6">
      <w:pPr>
        <w:spacing w:after="0" w:line="240" w:lineRule="auto"/>
      </w:pPr>
      <w:r>
        <w:separator/>
      </w:r>
    </w:p>
  </w:footnote>
  <w:footnote w:type="continuationSeparator" w:id="1">
    <w:p w:rsidR="00BB1FA6" w:rsidRDefault="00BB1FA6" w:rsidP="00BB1F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CBC" w:rsidRDefault="00F54CB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FA6" w:rsidRPr="002A74E8" w:rsidRDefault="00B36D2E" w:rsidP="00BB1FA6">
    <w:pPr>
      <w:pStyle w:val="a3"/>
      <w:tabs>
        <w:tab w:val="clear" w:pos="4153"/>
      </w:tabs>
      <w:ind w:left="84" w:hanging="483"/>
      <w:jc w:val="right"/>
      <w:rPr>
        <w:sz w:val="16"/>
        <w:szCs w:val="16"/>
        <w:rtl/>
      </w:rPr>
    </w:pPr>
    <w:r w:rsidRPr="008D32ED">
      <w:rPr>
        <w:sz w:val="14"/>
        <w:szCs w:val="14"/>
        <w:rtl/>
      </w:rPr>
      <w:fldChar w:fldCharType="begin"/>
    </w:r>
    <w:r w:rsidR="00BB1FA6" w:rsidRPr="008D32ED">
      <w:rPr>
        <w:sz w:val="14"/>
        <w:szCs w:val="14"/>
        <w:rtl/>
      </w:rPr>
      <w:instrText xml:space="preserve"> </w:instrText>
    </w:r>
    <w:r w:rsidR="00BB1FA6" w:rsidRPr="008D32ED">
      <w:rPr>
        <w:rFonts w:hint="cs"/>
        <w:sz w:val="14"/>
        <w:szCs w:val="14"/>
      </w:rPr>
      <w:instrText>TIME  \@ "HH:mm"  \* MERGEFORMAT</w:instrText>
    </w:r>
    <w:r w:rsidR="00BB1FA6" w:rsidRPr="008D32ED">
      <w:rPr>
        <w:sz w:val="14"/>
        <w:szCs w:val="14"/>
        <w:rtl/>
      </w:rPr>
      <w:instrText xml:space="preserve"> </w:instrText>
    </w:r>
    <w:r w:rsidRPr="008D32ED">
      <w:rPr>
        <w:sz w:val="14"/>
        <w:szCs w:val="14"/>
        <w:rtl/>
      </w:rPr>
      <w:fldChar w:fldCharType="separate"/>
    </w:r>
    <w:r w:rsidR="00011F47">
      <w:rPr>
        <w:rFonts w:hint="eastAsia"/>
        <w:noProof/>
        <w:sz w:val="14"/>
        <w:szCs w:val="14"/>
        <w:rtl/>
      </w:rPr>
      <w:t>‏</w:t>
    </w:r>
    <w:r w:rsidR="00011F47">
      <w:rPr>
        <w:noProof/>
        <w:sz w:val="14"/>
        <w:szCs w:val="14"/>
        <w:rtl/>
      </w:rPr>
      <w:t>13:57</w:t>
    </w:r>
    <w:r w:rsidRPr="008D32ED">
      <w:rPr>
        <w:sz w:val="14"/>
        <w:szCs w:val="14"/>
        <w:rtl/>
      </w:rPr>
      <w:fldChar w:fldCharType="end"/>
    </w:r>
    <w:r w:rsidR="00BB1FA6" w:rsidRPr="008D32ED">
      <w:rPr>
        <w:rFonts w:hint="cs"/>
        <w:sz w:val="14"/>
        <w:szCs w:val="14"/>
        <w:rtl/>
      </w:rPr>
      <w:t xml:space="preserve">  </w:t>
    </w:r>
    <w:r w:rsidRPr="008D32ED">
      <w:rPr>
        <w:sz w:val="14"/>
        <w:szCs w:val="14"/>
        <w:rtl/>
      </w:rPr>
      <w:fldChar w:fldCharType="begin"/>
    </w:r>
    <w:r w:rsidR="00BB1FA6" w:rsidRPr="008D32ED">
      <w:rPr>
        <w:sz w:val="14"/>
        <w:szCs w:val="14"/>
        <w:rtl/>
      </w:rPr>
      <w:instrText xml:space="preserve"> </w:instrText>
    </w:r>
    <w:r w:rsidR="00BB1FA6" w:rsidRPr="008D32ED">
      <w:rPr>
        <w:rFonts w:hint="cs"/>
        <w:sz w:val="14"/>
        <w:szCs w:val="14"/>
      </w:rPr>
      <w:instrText>DATE  \@ "yyyy-MM-dd"  \* MERGEFORMAT</w:instrText>
    </w:r>
    <w:r w:rsidR="00BB1FA6" w:rsidRPr="008D32ED">
      <w:rPr>
        <w:sz w:val="14"/>
        <w:szCs w:val="14"/>
        <w:rtl/>
      </w:rPr>
      <w:instrText xml:space="preserve"> </w:instrText>
    </w:r>
    <w:r w:rsidRPr="008D32ED">
      <w:rPr>
        <w:sz w:val="14"/>
        <w:szCs w:val="14"/>
        <w:rtl/>
      </w:rPr>
      <w:fldChar w:fldCharType="separate"/>
    </w:r>
    <w:r w:rsidR="00011F47">
      <w:rPr>
        <w:rFonts w:hint="eastAsia"/>
        <w:noProof/>
        <w:sz w:val="14"/>
        <w:szCs w:val="14"/>
        <w:rtl/>
      </w:rPr>
      <w:t>‏</w:t>
    </w:r>
    <w:r w:rsidR="00011F47">
      <w:rPr>
        <w:noProof/>
        <w:sz w:val="14"/>
        <w:szCs w:val="14"/>
        <w:rtl/>
      </w:rPr>
      <w:t>2010–12–12</w:t>
    </w:r>
    <w:r w:rsidRPr="008D32ED">
      <w:rPr>
        <w:sz w:val="14"/>
        <w:szCs w:val="14"/>
        <w:rtl/>
      </w:rPr>
      <w:fldChar w:fldCharType="end"/>
    </w:r>
    <w:r w:rsidR="00BB1FA6" w:rsidRPr="008D32ED">
      <w:rPr>
        <w:rFonts w:hint="cs"/>
        <w:sz w:val="14"/>
        <w:szCs w:val="14"/>
        <w:rtl/>
      </w:rPr>
      <w:t xml:space="preserve">   </w:t>
    </w:r>
    <w:fldSimple w:instr=" FILENAME  \* FirstCap \p  \* MERGEFORMAT ">
      <w:r w:rsidR="008F2276" w:rsidRPr="008F2276">
        <w:rPr>
          <w:noProof/>
          <w:sz w:val="14"/>
          <w:szCs w:val="14"/>
        </w:rPr>
        <w:t>L:\</w:t>
      </w:r>
      <w:r w:rsidR="008F2276" w:rsidRPr="008F2276">
        <w:rPr>
          <w:rFonts w:hint="eastAsia"/>
          <w:noProof/>
          <w:sz w:val="14"/>
          <w:szCs w:val="14"/>
          <w:rtl/>
        </w:rPr>
        <w:t>הספר</w:t>
      </w:r>
      <w:r w:rsidR="008F2276" w:rsidRPr="008F2276">
        <w:rPr>
          <w:noProof/>
          <w:sz w:val="14"/>
          <w:szCs w:val="14"/>
          <w:rtl/>
        </w:rPr>
        <w:t xml:space="preserve"> - </w:t>
      </w:r>
      <w:r w:rsidR="008F2276" w:rsidRPr="008F2276">
        <w:rPr>
          <w:rFonts w:hint="eastAsia"/>
          <w:noProof/>
          <w:sz w:val="14"/>
          <w:szCs w:val="14"/>
          <w:rtl/>
        </w:rPr>
        <w:t>מעקבים</w:t>
      </w:r>
      <w:r w:rsidR="008F2276" w:rsidRPr="008F2276">
        <w:rPr>
          <w:noProof/>
          <w:sz w:val="14"/>
          <w:szCs w:val="14"/>
          <w:rtl/>
        </w:rPr>
        <w:t xml:space="preserve"> 60</w:t>
      </w:r>
      <w:r w:rsidR="008F2276" w:rsidRPr="008F2276">
        <w:rPr>
          <w:rFonts w:hint="eastAsia"/>
          <w:noProof/>
          <w:sz w:val="14"/>
          <w:szCs w:val="14"/>
          <w:rtl/>
        </w:rPr>
        <w:t>ב</w:t>
      </w:r>
      <w:r w:rsidR="008F2276" w:rsidRPr="008F2276">
        <w:rPr>
          <w:noProof/>
          <w:sz w:val="14"/>
          <w:szCs w:val="14"/>
          <w:rtl/>
        </w:rPr>
        <w:t>\</w:t>
      </w:r>
      <w:r w:rsidR="008F2276" w:rsidRPr="008F2276">
        <w:rPr>
          <w:rFonts w:hint="eastAsia"/>
          <w:noProof/>
          <w:sz w:val="14"/>
          <w:szCs w:val="14"/>
          <w:rtl/>
        </w:rPr>
        <w:t>עקיבא</w:t>
      </w:r>
      <w:r w:rsidR="008F2276" w:rsidRPr="008F2276">
        <w:rPr>
          <w:noProof/>
          <w:sz w:val="14"/>
          <w:szCs w:val="14"/>
          <w:rtl/>
        </w:rPr>
        <w:t>\</w:t>
      </w:r>
      <w:r w:rsidR="008F2276" w:rsidRPr="008F2276">
        <w:rPr>
          <w:rFonts w:hint="eastAsia"/>
          <w:noProof/>
          <w:sz w:val="14"/>
          <w:szCs w:val="14"/>
          <w:rtl/>
        </w:rPr>
        <w:t>מערכת</w:t>
      </w:r>
      <w:r w:rsidR="008F2276" w:rsidRPr="008F2276">
        <w:rPr>
          <w:noProof/>
          <w:sz w:val="14"/>
          <w:szCs w:val="14"/>
          <w:rtl/>
        </w:rPr>
        <w:t xml:space="preserve"> </w:t>
      </w:r>
      <w:r w:rsidR="008F2276" w:rsidRPr="008F2276">
        <w:rPr>
          <w:rFonts w:hint="eastAsia"/>
          <w:noProof/>
          <w:sz w:val="14"/>
          <w:szCs w:val="14"/>
          <w:rtl/>
        </w:rPr>
        <w:t>הביטחון</w:t>
      </w:r>
      <w:r w:rsidR="008F2276" w:rsidRPr="008F2276">
        <w:rPr>
          <w:noProof/>
          <w:sz w:val="14"/>
          <w:szCs w:val="14"/>
          <w:rtl/>
        </w:rPr>
        <w:t>\60</w:t>
      </w:r>
      <w:r w:rsidR="008F2276" w:rsidRPr="008F2276">
        <w:rPr>
          <w:rFonts w:hint="eastAsia"/>
          <w:noProof/>
          <w:sz w:val="14"/>
          <w:szCs w:val="14"/>
          <w:rtl/>
        </w:rPr>
        <w:t>א</w:t>
      </w:r>
      <w:r w:rsidR="008F2276" w:rsidRPr="008F2276">
        <w:rPr>
          <w:noProof/>
          <w:sz w:val="14"/>
          <w:szCs w:val="14"/>
          <w:rtl/>
        </w:rPr>
        <w:t>\</w:t>
      </w:r>
      <w:r w:rsidR="008F2276" w:rsidRPr="008F2276">
        <w:rPr>
          <w:rFonts w:hint="eastAsia"/>
          <w:noProof/>
          <w:sz w:val="14"/>
          <w:szCs w:val="14"/>
          <w:rtl/>
        </w:rPr>
        <w:t>פעילות</w:t>
      </w:r>
      <w:r w:rsidR="008F2276" w:rsidRPr="008F2276">
        <w:rPr>
          <w:noProof/>
          <w:sz w:val="14"/>
          <w:szCs w:val="14"/>
          <w:rtl/>
        </w:rPr>
        <w:t xml:space="preserve"> </w:t>
      </w:r>
      <w:r w:rsidR="008F2276" w:rsidRPr="008F2276">
        <w:rPr>
          <w:rFonts w:hint="eastAsia"/>
          <w:noProof/>
          <w:sz w:val="14"/>
          <w:szCs w:val="14"/>
          <w:rtl/>
        </w:rPr>
        <w:t>משרד</w:t>
      </w:r>
      <w:r w:rsidR="008F2276" w:rsidRPr="008F2276">
        <w:rPr>
          <w:noProof/>
          <w:sz w:val="14"/>
          <w:szCs w:val="14"/>
          <w:rtl/>
        </w:rPr>
        <w:t xml:space="preserve"> </w:t>
      </w:r>
      <w:r w:rsidR="008F2276" w:rsidRPr="008F2276">
        <w:rPr>
          <w:rFonts w:hint="eastAsia"/>
          <w:noProof/>
          <w:sz w:val="14"/>
          <w:szCs w:val="14"/>
          <w:rtl/>
        </w:rPr>
        <w:t>הביטחון</w:t>
      </w:r>
      <w:r w:rsidR="008F2276" w:rsidRPr="008F2276">
        <w:rPr>
          <w:noProof/>
          <w:sz w:val="14"/>
          <w:szCs w:val="14"/>
          <w:rtl/>
        </w:rPr>
        <w:t xml:space="preserve"> </w:t>
      </w:r>
      <w:r w:rsidR="008F2276" w:rsidRPr="008F2276">
        <w:rPr>
          <w:rFonts w:hint="eastAsia"/>
          <w:noProof/>
          <w:sz w:val="14"/>
          <w:szCs w:val="14"/>
          <w:rtl/>
        </w:rPr>
        <w:t>להצגה</w:t>
      </w:r>
      <w:r w:rsidR="008F2276" w:rsidRPr="008F2276">
        <w:rPr>
          <w:noProof/>
          <w:sz w:val="14"/>
          <w:szCs w:val="14"/>
          <w:rtl/>
        </w:rPr>
        <w:t xml:space="preserve"> </w:t>
      </w:r>
      <w:r w:rsidR="008F2276" w:rsidRPr="008F2276">
        <w:rPr>
          <w:rFonts w:hint="eastAsia"/>
          <w:noProof/>
          <w:sz w:val="14"/>
          <w:szCs w:val="14"/>
          <w:rtl/>
        </w:rPr>
        <w:t>ולהנחלה</w:t>
      </w:r>
      <w:r w:rsidR="008F2276" w:rsidRPr="008F2276">
        <w:rPr>
          <w:noProof/>
          <w:sz w:val="14"/>
          <w:szCs w:val="14"/>
          <w:rtl/>
        </w:rPr>
        <w:t xml:space="preserve"> </w:t>
      </w:r>
      <w:r w:rsidR="008F2276" w:rsidRPr="008F2276">
        <w:rPr>
          <w:rFonts w:hint="eastAsia"/>
          <w:noProof/>
          <w:sz w:val="14"/>
          <w:szCs w:val="14"/>
          <w:rtl/>
        </w:rPr>
        <w:t>של</w:t>
      </w:r>
      <w:r w:rsidR="008F2276" w:rsidRPr="008F2276">
        <w:rPr>
          <w:noProof/>
          <w:sz w:val="14"/>
          <w:szCs w:val="14"/>
          <w:rtl/>
        </w:rPr>
        <w:t xml:space="preserve"> </w:t>
      </w:r>
      <w:r w:rsidR="008F2276" w:rsidRPr="008F2276">
        <w:rPr>
          <w:rFonts w:hint="eastAsia"/>
          <w:noProof/>
          <w:sz w:val="14"/>
          <w:szCs w:val="14"/>
          <w:rtl/>
        </w:rPr>
        <w:t>מורשת</w:t>
      </w:r>
      <w:r w:rsidR="008F2276" w:rsidRPr="008F2276">
        <w:rPr>
          <w:noProof/>
          <w:sz w:val="14"/>
          <w:szCs w:val="14"/>
          <w:rtl/>
        </w:rPr>
        <w:t xml:space="preserve"> </w:t>
      </w:r>
      <w:r w:rsidR="008F2276" w:rsidRPr="008F2276">
        <w:rPr>
          <w:rFonts w:hint="eastAsia"/>
          <w:noProof/>
          <w:sz w:val="14"/>
          <w:szCs w:val="14"/>
          <w:rtl/>
        </w:rPr>
        <w:t>הקרב</w:t>
      </w:r>
      <w:r w:rsidR="008F2276" w:rsidRPr="008F2276">
        <w:rPr>
          <w:noProof/>
          <w:sz w:val="20"/>
          <w:szCs w:val="20"/>
          <w:rtl/>
        </w:rPr>
        <w:t xml:space="preserve"> </w:t>
      </w:r>
      <w:r w:rsidR="008F2276" w:rsidRPr="008F2276">
        <w:rPr>
          <w:rFonts w:hint="eastAsia"/>
          <w:noProof/>
          <w:sz w:val="20"/>
          <w:szCs w:val="20"/>
          <w:rtl/>
        </w:rPr>
        <w:t>של</w:t>
      </w:r>
      <w:r w:rsidR="008F2276" w:rsidRPr="008F2276">
        <w:rPr>
          <w:noProof/>
          <w:sz w:val="20"/>
          <w:szCs w:val="20"/>
          <w:rtl/>
        </w:rPr>
        <w:t xml:space="preserve"> </w:t>
      </w:r>
      <w:r w:rsidR="008F2276" w:rsidRPr="008F2276">
        <w:rPr>
          <w:rFonts w:hint="eastAsia"/>
          <w:noProof/>
          <w:sz w:val="20"/>
          <w:szCs w:val="20"/>
          <w:rtl/>
        </w:rPr>
        <w:t>צהל</w:t>
      </w:r>
      <w:r w:rsidR="008F2276" w:rsidRPr="008F2276">
        <w:rPr>
          <w:noProof/>
          <w:sz w:val="20"/>
          <w:szCs w:val="20"/>
        </w:rPr>
        <w:t>.docx</w:t>
      </w:r>
    </w:fldSimple>
    <w:r w:rsidR="00BB1FA6" w:rsidRPr="002A74E8">
      <w:rPr>
        <w:rFonts w:hint="cs"/>
        <w:sz w:val="16"/>
        <w:szCs w:val="16"/>
        <w:rtl/>
      </w:rPr>
      <w:t xml:space="preserve">    -</w:t>
    </w:r>
    <w:r w:rsidRPr="002A74E8">
      <w:rPr>
        <w:sz w:val="16"/>
        <w:szCs w:val="16"/>
        <w:rtl/>
      </w:rPr>
      <w:fldChar w:fldCharType="begin"/>
    </w:r>
    <w:r w:rsidR="00BB1FA6" w:rsidRPr="002A74E8">
      <w:rPr>
        <w:sz w:val="16"/>
        <w:szCs w:val="16"/>
        <w:rtl/>
      </w:rPr>
      <w:instrText xml:space="preserve"> </w:instrText>
    </w:r>
    <w:r w:rsidR="00BB1FA6" w:rsidRPr="002A74E8">
      <w:rPr>
        <w:sz w:val="16"/>
        <w:szCs w:val="16"/>
      </w:rPr>
      <w:instrText>PAGE   \* MERGEFORMAT</w:instrText>
    </w:r>
    <w:r w:rsidR="00BB1FA6" w:rsidRPr="002A74E8">
      <w:rPr>
        <w:sz w:val="16"/>
        <w:szCs w:val="16"/>
        <w:rtl/>
      </w:rPr>
      <w:instrText xml:space="preserve"> </w:instrText>
    </w:r>
    <w:r w:rsidRPr="002A74E8">
      <w:rPr>
        <w:sz w:val="16"/>
        <w:szCs w:val="16"/>
        <w:rtl/>
      </w:rPr>
      <w:fldChar w:fldCharType="separate"/>
    </w:r>
    <w:r w:rsidR="00011F47">
      <w:rPr>
        <w:noProof/>
        <w:sz w:val="16"/>
        <w:szCs w:val="16"/>
        <w:rtl/>
      </w:rPr>
      <w:t>3</w:t>
    </w:r>
    <w:r w:rsidRPr="002A74E8">
      <w:rPr>
        <w:sz w:val="16"/>
        <w:szCs w:val="16"/>
        <w:rtl/>
      </w:rPr>
      <w:fldChar w:fldCharType="end"/>
    </w:r>
    <w:r w:rsidR="00BB1FA6" w:rsidRPr="002A74E8">
      <w:rPr>
        <w:rFonts w:hint="cs"/>
        <w:sz w:val="16"/>
        <w:szCs w:val="16"/>
        <w:rtl/>
      </w:rPr>
      <w:t>-</w:t>
    </w:r>
  </w:p>
  <w:p w:rsidR="00BB1FA6" w:rsidRPr="00B90376" w:rsidRDefault="00BB1FA6" w:rsidP="00BB1FA6">
    <w:pPr>
      <w:tabs>
        <w:tab w:val="left" w:pos="1316"/>
        <w:tab w:val="center" w:pos="4153"/>
      </w:tabs>
      <w:ind w:hanging="483"/>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                                                                                מערכת הביטחון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CBC" w:rsidRDefault="00F54CB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B1FA6"/>
    <w:rsid w:val="00000243"/>
    <w:rsid w:val="00000739"/>
    <w:rsid w:val="00011F47"/>
    <w:rsid w:val="00027667"/>
    <w:rsid w:val="00043D5A"/>
    <w:rsid w:val="000503EE"/>
    <w:rsid w:val="000510D6"/>
    <w:rsid w:val="00073FA9"/>
    <w:rsid w:val="00082BAA"/>
    <w:rsid w:val="00087487"/>
    <w:rsid w:val="000B2B5D"/>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5006"/>
    <w:rsid w:val="001E6A43"/>
    <w:rsid w:val="00232852"/>
    <w:rsid w:val="00233C9F"/>
    <w:rsid w:val="00237AB5"/>
    <w:rsid w:val="00274039"/>
    <w:rsid w:val="00280509"/>
    <w:rsid w:val="00282D49"/>
    <w:rsid w:val="002831EA"/>
    <w:rsid w:val="00286579"/>
    <w:rsid w:val="00292E82"/>
    <w:rsid w:val="0029553E"/>
    <w:rsid w:val="00297441"/>
    <w:rsid w:val="002A6F8F"/>
    <w:rsid w:val="002B3D39"/>
    <w:rsid w:val="002B6CF7"/>
    <w:rsid w:val="002D02ED"/>
    <w:rsid w:val="002D0694"/>
    <w:rsid w:val="002E2B52"/>
    <w:rsid w:val="002E6760"/>
    <w:rsid w:val="002E6B4E"/>
    <w:rsid w:val="0030735E"/>
    <w:rsid w:val="00310136"/>
    <w:rsid w:val="00314ACB"/>
    <w:rsid w:val="0033198C"/>
    <w:rsid w:val="003344B0"/>
    <w:rsid w:val="00354067"/>
    <w:rsid w:val="00360A13"/>
    <w:rsid w:val="00366311"/>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446AC"/>
    <w:rsid w:val="004538D4"/>
    <w:rsid w:val="00456C02"/>
    <w:rsid w:val="00467CE6"/>
    <w:rsid w:val="004763C5"/>
    <w:rsid w:val="004917AA"/>
    <w:rsid w:val="004A255F"/>
    <w:rsid w:val="004B0F0E"/>
    <w:rsid w:val="004B1C7B"/>
    <w:rsid w:val="004C7217"/>
    <w:rsid w:val="004D427F"/>
    <w:rsid w:val="004E075B"/>
    <w:rsid w:val="004E46A0"/>
    <w:rsid w:val="004F2791"/>
    <w:rsid w:val="00510929"/>
    <w:rsid w:val="00510974"/>
    <w:rsid w:val="005139D8"/>
    <w:rsid w:val="00514843"/>
    <w:rsid w:val="005219B4"/>
    <w:rsid w:val="00522522"/>
    <w:rsid w:val="00524C07"/>
    <w:rsid w:val="00533C78"/>
    <w:rsid w:val="00537BD2"/>
    <w:rsid w:val="005471C9"/>
    <w:rsid w:val="00547425"/>
    <w:rsid w:val="0055111F"/>
    <w:rsid w:val="00563607"/>
    <w:rsid w:val="005A548B"/>
    <w:rsid w:val="005A6E05"/>
    <w:rsid w:val="005D57C1"/>
    <w:rsid w:val="005F2229"/>
    <w:rsid w:val="0060499E"/>
    <w:rsid w:val="00606B34"/>
    <w:rsid w:val="00606CCF"/>
    <w:rsid w:val="00624861"/>
    <w:rsid w:val="00632551"/>
    <w:rsid w:val="00642830"/>
    <w:rsid w:val="00646F69"/>
    <w:rsid w:val="006643DF"/>
    <w:rsid w:val="006653A5"/>
    <w:rsid w:val="0067780E"/>
    <w:rsid w:val="006807A6"/>
    <w:rsid w:val="006942D9"/>
    <w:rsid w:val="006A67BA"/>
    <w:rsid w:val="006E0566"/>
    <w:rsid w:val="006E7DFD"/>
    <w:rsid w:val="006E7ED9"/>
    <w:rsid w:val="006F7EF9"/>
    <w:rsid w:val="0073050A"/>
    <w:rsid w:val="00733D53"/>
    <w:rsid w:val="00737753"/>
    <w:rsid w:val="00753962"/>
    <w:rsid w:val="007629F8"/>
    <w:rsid w:val="00762B5D"/>
    <w:rsid w:val="00772A72"/>
    <w:rsid w:val="007736D0"/>
    <w:rsid w:val="007827A7"/>
    <w:rsid w:val="00783E86"/>
    <w:rsid w:val="00787AB8"/>
    <w:rsid w:val="007B0C4D"/>
    <w:rsid w:val="007B4AAF"/>
    <w:rsid w:val="007B7AE5"/>
    <w:rsid w:val="007D1079"/>
    <w:rsid w:val="00810E64"/>
    <w:rsid w:val="0081406C"/>
    <w:rsid w:val="00817201"/>
    <w:rsid w:val="00867F44"/>
    <w:rsid w:val="0088076B"/>
    <w:rsid w:val="008A1154"/>
    <w:rsid w:val="008B1C1D"/>
    <w:rsid w:val="008B5AD7"/>
    <w:rsid w:val="008D6336"/>
    <w:rsid w:val="008F2276"/>
    <w:rsid w:val="008F64E3"/>
    <w:rsid w:val="009021C2"/>
    <w:rsid w:val="00917859"/>
    <w:rsid w:val="00922D8C"/>
    <w:rsid w:val="009409FE"/>
    <w:rsid w:val="00963FFB"/>
    <w:rsid w:val="00971380"/>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E2A32"/>
    <w:rsid w:val="00AF66AA"/>
    <w:rsid w:val="00AF7804"/>
    <w:rsid w:val="00B00D9A"/>
    <w:rsid w:val="00B07FA8"/>
    <w:rsid w:val="00B16BE4"/>
    <w:rsid w:val="00B24388"/>
    <w:rsid w:val="00B3265D"/>
    <w:rsid w:val="00B36D2E"/>
    <w:rsid w:val="00B43DC6"/>
    <w:rsid w:val="00B571BA"/>
    <w:rsid w:val="00B613C7"/>
    <w:rsid w:val="00B669B1"/>
    <w:rsid w:val="00B71422"/>
    <w:rsid w:val="00B82574"/>
    <w:rsid w:val="00B83D24"/>
    <w:rsid w:val="00B96C6C"/>
    <w:rsid w:val="00BA4815"/>
    <w:rsid w:val="00BA5E48"/>
    <w:rsid w:val="00BA7B4B"/>
    <w:rsid w:val="00BB1FA6"/>
    <w:rsid w:val="00BB3133"/>
    <w:rsid w:val="00BB4131"/>
    <w:rsid w:val="00BC6FA3"/>
    <w:rsid w:val="00BD08C2"/>
    <w:rsid w:val="00BE0D3F"/>
    <w:rsid w:val="00BE4AF6"/>
    <w:rsid w:val="00C038DE"/>
    <w:rsid w:val="00C03A0E"/>
    <w:rsid w:val="00C3029E"/>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74D9"/>
    <w:rsid w:val="00DC0772"/>
    <w:rsid w:val="00DE169C"/>
    <w:rsid w:val="00DF2B24"/>
    <w:rsid w:val="00DF5F13"/>
    <w:rsid w:val="00E074F8"/>
    <w:rsid w:val="00E12867"/>
    <w:rsid w:val="00E20A2E"/>
    <w:rsid w:val="00E23E1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0B95"/>
    <w:rsid w:val="00EF3EE3"/>
    <w:rsid w:val="00EF6F1E"/>
    <w:rsid w:val="00F17E20"/>
    <w:rsid w:val="00F24A00"/>
    <w:rsid w:val="00F471BF"/>
    <w:rsid w:val="00F532A4"/>
    <w:rsid w:val="00F53CF2"/>
    <w:rsid w:val="00F54CBC"/>
    <w:rsid w:val="00F61368"/>
    <w:rsid w:val="00F61BE5"/>
    <w:rsid w:val="00F73C50"/>
    <w:rsid w:val="00F76F5F"/>
    <w:rsid w:val="00F80D9F"/>
    <w:rsid w:val="00F82663"/>
    <w:rsid w:val="00F95696"/>
    <w:rsid w:val="00FA7550"/>
    <w:rsid w:val="00FB2C23"/>
    <w:rsid w:val="00FB4B1B"/>
    <w:rsid w:val="00FC5AE5"/>
    <w:rsid w:val="00FC5FDB"/>
    <w:rsid w:val="00FD6E60"/>
    <w:rsid w:val="00FD755B"/>
    <w:rsid w:val="00FD791E"/>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FA6"/>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BB1FA6"/>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BB1FA6"/>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BB1FA6"/>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BB1FA6"/>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BB1FA6"/>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BB1FA6"/>
    <w:pPr>
      <w:bidi w:val="0"/>
      <w:spacing w:before="240" w:after="60" w:line="240" w:lineRule="auto"/>
      <w:outlineLvl w:val="5"/>
    </w:pPr>
    <w:rPr>
      <w:rFonts w:eastAsia="Calibri" w:cs="Times New Roman"/>
      <w:b/>
      <w:bCs/>
    </w:rPr>
  </w:style>
  <w:style w:type="paragraph" w:styleId="7">
    <w:name w:val="heading 7"/>
    <w:basedOn w:val="a"/>
    <w:next w:val="a"/>
    <w:link w:val="70"/>
    <w:qFormat/>
    <w:rsid w:val="00BB1FA6"/>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BB1FA6"/>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BB1FA6"/>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B1FA6"/>
    <w:pPr>
      <w:tabs>
        <w:tab w:val="center" w:pos="4153"/>
        <w:tab w:val="right" w:pos="8306"/>
      </w:tabs>
      <w:spacing w:line="240" w:lineRule="auto"/>
    </w:pPr>
  </w:style>
  <w:style w:type="character" w:customStyle="1" w:styleId="a4">
    <w:name w:val="כותרת עליונה תו"/>
    <w:basedOn w:val="a0"/>
    <w:link w:val="a3"/>
    <w:rsid w:val="00BB1FA6"/>
  </w:style>
  <w:style w:type="paragraph" w:styleId="a5">
    <w:name w:val="footer"/>
    <w:basedOn w:val="a"/>
    <w:link w:val="a6"/>
    <w:unhideWhenUsed/>
    <w:rsid w:val="00BB1FA6"/>
    <w:pPr>
      <w:tabs>
        <w:tab w:val="center" w:pos="4153"/>
        <w:tab w:val="right" w:pos="8306"/>
      </w:tabs>
      <w:spacing w:line="240" w:lineRule="auto"/>
    </w:pPr>
  </w:style>
  <w:style w:type="character" w:customStyle="1" w:styleId="a6">
    <w:name w:val="כותרת תחתונה תו"/>
    <w:basedOn w:val="a0"/>
    <w:link w:val="a5"/>
    <w:rsid w:val="00BB1FA6"/>
  </w:style>
  <w:style w:type="paragraph" w:styleId="a7">
    <w:name w:val="Balloon Text"/>
    <w:basedOn w:val="a"/>
    <w:link w:val="a8"/>
    <w:semiHidden/>
    <w:unhideWhenUsed/>
    <w:rsid w:val="00BB1FA6"/>
    <w:pPr>
      <w:spacing w:line="240" w:lineRule="auto"/>
    </w:pPr>
    <w:rPr>
      <w:rFonts w:ascii="Tahoma" w:hAnsi="Tahoma" w:cs="Tahoma"/>
      <w:sz w:val="16"/>
      <w:szCs w:val="16"/>
    </w:rPr>
  </w:style>
  <w:style w:type="character" w:customStyle="1" w:styleId="a8">
    <w:name w:val="טקסט בלונים תו"/>
    <w:basedOn w:val="a0"/>
    <w:link w:val="a7"/>
    <w:semiHidden/>
    <w:rsid w:val="00BB1FA6"/>
    <w:rPr>
      <w:rFonts w:ascii="Tahoma" w:hAnsi="Tahoma" w:cs="Tahoma"/>
      <w:sz w:val="16"/>
      <w:szCs w:val="16"/>
    </w:rPr>
  </w:style>
  <w:style w:type="character" w:customStyle="1" w:styleId="10">
    <w:name w:val="כותרת 1 תו"/>
    <w:basedOn w:val="a0"/>
    <w:link w:val="1"/>
    <w:rsid w:val="00BB1FA6"/>
    <w:rPr>
      <w:rFonts w:ascii="Cambria" w:eastAsia="Calibri" w:hAnsi="Cambria" w:cs="Times New Roman"/>
      <w:b/>
      <w:bCs/>
      <w:kern w:val="32"/>
      <w:sz w:val="32"/>
      <w:szCs w:val="32"/>
    </w:rPr>
  </w:style>
  <w:style w:type="character" w:customStyle="1" w:styleId="20">
    <w:name w:val="כותרת 2 תו"/>
    <w:basedOn w:val="a0"/>
    <w:link w:val="2"/>
    <w:rsid w:val="00BB1FA6"/>
    <w:rPr>
      <w:rFonts w:ascii="Cambria" w:eastAsia="Calibri" w:hAnsi="Cambria" w:cs="Times New Roman"/>
      <w:b/>
      <w:bCs/>
      <w:i/>
      <w:iCs/>
      <w:sz w:val="28"/>
      <w:szCs w:val="28"/>
    </w:rPr>
  </w:style>
  <w:style w:type="character" w:customStyle="1" w:styleId="30">
    <w:name w:val="כותרת 3 תו"/>
    <w:basedOn w:val="a0"/>
    <w:link w:val="3"/>
    <w:rsid w:val="00BB1FA6"/>
    <w:rPr>
      <w:rFonts w:ascii="Cambria" w:eastAsia="Calibri" w:hAnsi="Cambria" w:cs="Times New Roman"/>
      <w:b/>
      <w:bCs/>
      <w:sz w:val="26"/>
      <w:szCs w:val="26"/>
    </w:rPr>
  </w:style>
  <w:style w:type="character" w:customStyle="1" w:styleId="40">
    <w:name w:val="כותרת 4 תו"/>
    <w:basedOn w:val="a0"/>
    <w:link w:val="4"/>
    <w:rsid w:val="00BB1FA6"/>
    <w:rPr>
      <w:rFonts w:ascii="Calibri" w:eastAsia="Calibri" w:hAnsi="Calibri" w:cs="Times New Roman"/>
      <w:b/>
      <w:bCs/>
      <w:sz w:val="28"/>
      <w:szCs w:val="28"/>
    </w:rPr>
  </w:style>
  <w:style w:type="character" w:customStyle="1" w:styleId="50">
    <w:name w:val="כותרת 5 תו"/>
    <w:basedOn w:val="a0"/>
    <w:link w:val="5"/>
    <w:rsid w:val="00BB1FA6"/>
    <w:rPr>
      <w:rFonts w:ascii="Calibri" w:eastAsia="Calibri" w:hAnsi="Calibri" w:cs="Times New Roman"/>
      <w:b/>
      <w:bCs/>
      <w:i/>
      <w:iCs/>
      <w:sz w:val="26"/>
      <w:szCs w:val="26"/>
    </w:rPr>
  </w:style>
  <w:style w:type="character" w:customStyle="1" w:styleId="60">
    <w:name w:val="כותרת 6 תו"/>
    <w:basedOn w:val="a0"/>
    <w:link w:val="6"/>
    <w:rsid w:val="00BB1FA6"/>
    <w:rPr>
      <w:rFonts w:ascii="Calibri" w:eastAsia="Calibri" w:hAnsi="Calibri" w:cs="Times New Roman"/>
      <w:b/>
      <w:bCs/>
      <w:sz w:val="22"/>
      <w:szCs w:val="22"/>
    </w:rPr>
  </w:style>
  <w:style w:type="character" w:customStyle="1" w:styleId="70">
    <w:name w:val="כותרת 7 תו"/>
    <w:basedOn w:val="a0"/>
    <w:link w:val="7"/>
    <w:rsid w:val="00BB1FA6"/>
    <w:rPr>
      <w:rFonts w:ascii="Calibri" w:eastAsia="Calibri" w:hAnsi="Calibri" w:cs="Times New Roman"/>
    </w:rPr>
  </w:style>
  <w:style w:type="character" w:customStyle="1" w:styleId="80">
    <w:name w:val="כותרת 8 תו"/>
    <w:basedOn w:val="a0"/>
    <w:link w:val="8"/>
    <w:rsid w:val="00BB1FA6"/>
    <w:rPr>
      <w:rFonts w:ascii="Calibri" w:eastAsia="Calibri" w:hAnsi="Calibri" w:cs="Times New Roman"/>
      <w:i/>
      <w:iCs/>
    </w:rPr>
  </w:style>
  <w:style w:type="character" w:customStyle="1" w:styleId="90">
    <w:name w:val="כותרת 9 תו"/>
    <w:basedOn w:val="a0"/>
    <w:link w:val="9"/>
    <w:rsid w:val="00BB1FA6"/>
    <w:rPr>
      <w:rFonts w:ascii="Cambria" w:eastAsia="Calibri" w:hAnsi="Cambria" w:cs="Times New Roman"/>
      <w:sz w:val="22"/>
      <w:szCs w:val="22"/>
    </w:rPr>
  </w:style>
  <w:style w:type="paragraph" w:styleId="a9">
    <w:name w:val="caption"/>
    <w:basedOn w:val="a"/>
    <w:next w:val="a"/>
    <w:qFormat/>
    <w:rsid w:val="00BB1FA6"/>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BB1FA6"/>
    <w:pPr>
      <w:ind w:left="720"/>
      <w:contextualSpacing/>
    </w:pPr>
  </w:style>
  <w:style w:type="paragraph" w:customStyle="1" w:styleId="aa">
    <w:name w:val="נבנצלים"/>
    <w:basedOn w:val="a"/>
    <w:next w:val="a"/>
    <w:autoRedefine/>
    <w:rsid w:val="00BB1FA6"/>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BB1FA6"/>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BB1FA6"/>
    <w:rPr>
      <w:rFonts w:ascii="Times New Roman" w:eastAsia="Calibri" w:hAnsi="Times New Roman"/>
      <w:sz w:val="20"/>
      <w:szCs w:val="20"/>
      <w:lang w:eastAsia="he-IL"/>
    </w:rPr>
  </w:style>
  <w:style w:type="character" w:styleId="ad">
    <w:name w:val="footnote reference"/>
    <w:basedOn w:val="a0"/>
    <w:semiHidden/>
    <w:rsid w:val="00BB1FA6"/>
    <w:rPr>
      <w:rFonts w:cs="David"/>
      <w:vertAlign w:val="superscript"/>
      <w:lang w:bidi="he-IL"/>
    </w:rPr>
  </w:style>
  <w:style w:type="paragraph" w:customStyle="1" w:styleId="ae">
    <w:name w:val="תו"/>
    <w:basedOn w:val="a"/>
    <w:rsid w:val="00BB1FA6"/>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BB1FA6"/>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BB1FA6"/>
    <w:rPr>
      <w:rFonts w:ascii="Cambria" w:eastAsia="Calibri" w:hAnsi="Cambria" w:cs="Times New Roman"/>
      <w:b/>
      <w:bCs/>
      <w:kern w:val="28"/>
      <w:sz w:val="32"/>
      <w:szCs w:val="32"/>
    </w:rPr>
  </w:style>
  <w:style w:type="paragraph" w:customStyle="1" w:styleId="12">
    <w:name w:val="ללא מרווח1"/>
    <w:basedOn w:val="a"/>
    <w:rsid w:val="00BB1FA6"/>
    <w:pPr>
      <w:spacing w:after="0" w:line="240" w:lineRule="auto"/>
    </w:pPr>
    <w:rPr>
      <w:rFonts w:eastAsia="Calibri" w:cs="Times New Roman"/>
      <w:sz w:val="24"/>
      <w:szCs w:val="32"/>
    </w:rPr>
  </w:style>
  <w:style w:type="character" w:customStyle="1" w:styleId="13">
    <w:name w:val="הדגשה חזקה1"/>
    <w:basedOn w:val="a0"/>
    <w:rsid w:val="00BB1FA6"/>
    <w:rPr>
      <w:rFonts w:cs="Times New Roman"/>
      <w:b/>
      <w:i/>
      <w:sz w:val="24"/>
      <w:szCs w:val="24"/>
      <w:u w:val="single"/>
    </w:rPr>
  </w:style>
  <w:style w:type="character" w:customStyle="1" w:styleId="14">
    <w:name w:val="הפניה מעודנת1"/>
    <w:basedOn w:val="a0"/>
    <w:rsid w:val="00BB1FA6"/>
    <w:rPr>
      <w:rFonts w:cs="Times New Roman"/>
      <w:sz w:val="24"/>
      <w:szCs w:val="24"/>
      <w:u w:val="single"/>
    </w:rPr>
  </w:style>
  <w:style w:type="character" w:customStyle="1" w:styleId="15">
    <w:name w:val="כותר הספר1"/>
    <w:basedOn w:val="a0"/>
    <w:rsid w:val="00BB1FA6"/>
    <w:rPr>
      <w:rFonts w:ascii="Cambria" w:hAnsi="Cambria" w:cs="Times New Roman"/>
      <w:b/>
      <w:i/>
      <w:sz w:val="24"/>
      <w:szCs w:val="24"/>
    </w:rPr>
  </w:style>
  <w:style w:type="character" w:customStyle="1" w:styleId="21">
    <w:name w:val="תו תו2"/>
    <w:basedOn w:val="a0"/>
    <w:uiPriority w:val="99"/>
    <w:rsid w:val="00BB1FA6"/>
    <w:rPr>
      <w:rFonts w:cs="Times New Roman"/>
      <w:b/>
      <w:bCs/>
      <w:i/>
      <w:iCs/>
      <w:sz w:val="26"/>
      <w:szCs w:val="26"/>
      <w:lang w:val="en-US" w:eastAsia="en-US" w:bidi="he-IL"/>
    </w:rPr>
  </w:style>
  <w:style w:type="character" w:customStyle="1" w:styleId="16">
    <w:name w:val="טקסט מציין מיקום1"/>
    <w:basedOn w:val="a0"/>
    <w:semiHidden/>
    <w:rsid w:val="00BB1FA6"/>
    <w:rPr>
      <w:rFonts w:cs="Times New Roman"/>
      <w:color w:val="808080"/>
    </w:rPr>
  </w:style>
  <w:style w:type="paragraph" w:styleId="af1">
    <w:name w:val="Subtitle"/>
    <w:basedOn w:val="a"/>
    <w:next w:val="a"/>
    <w:link w:val="af2"/>
    <w:qFormat/>
    <w:rsid w:val="00BB1FA6"/>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BB1FA6"/>
    <w:rPr>
      <w:rFonts w:ascii="Cambria" w:eastAsia="Calibri" w:hAnsi="Cambria" w:cs="Times New Roman"/>
    </w:rPr>
  </w:style>
  <w:style w:type="character" w:styleId="af3">
    <w:name w:val="Strong"/>
    <w:basedOn w:val="a0"/>
    <w:qFormat/>
    <w:rsid w:val="00BB1FA6"/>
    <w:rPr>
      <w:rFonts w:cs="Times New Roman"/>
      <w:b/>
      <w:bCs/>
    </w:rPr>
  </w:style>
  <w:style w:type="character" w:styleId="af4">
    <w:name w:val="Emphasis"/>
    <w:basedOn w:val="a0"/>
    <w:qFormat/>
    <w:rsid w:val="00BB1FA6"/>
    <w:rPr>
      <w:rFonts w:ascii="Calibri" w:hAnsi="Calibri" w:cs="Times New Roman"/>
      <w:b/>
      <w:i/>
      <w:iCs/>
    </w:rPr>
  </w:style>
  <w:style w:type="paragraph" w:customStyle="1" w:styleId="17">
    <w:name w:val="הצעת מחיר1"/>
    <w:basedOn w:val="a"/>
    <w:next w:val="a"/>
    <w:link w:val="QuoteChar"/>
    <w:rsid w:val="00BB1FA6"/>
    <w:pPr>
      <w:bidi w:val="0"/>
      <w:spacing w:after="0" w:line="240" w:lineRule="auto"/>
    </w:pPr>
    <w:rPr>
      <w:rFonts w:eastAsia="Calibri" w:cs="Times New Roman"/>
      <w:i/>
      <w:sz w:val="24"/>
      <w:szCs w:val="24"/>
    </w:rPr>
  </w:style>
  <w:style w:type="character" w:customStyle="1" w:styleId="QuoteChar">
    <w:name w:val="Quote Char"/>
    <w:basedOn w:val="a0"/>
    <w:link w:val="17"/>
    <w:locked/>
    <w:rsid w:val="00BB1FA6"/>
    <w:rPr>
      <w:rFonts w:ascii="Calibri" w:eastAsia="Calibri" w:hAnsi="Calibri" w:cs="Times New Roman"/>
      <w:i/>
    </w:rPr>
  </w:style>
  <w:style w:type="paragraph" w:customStyle="1" w:styleId="18">
    <w:name w:val="הצעת מחיר חזקה1"/>
    <w:basedOn w:val="a"/>
    <w:next w:val="a"/>
    <w:link w:val="IntenseQuoteChar"/>
    <w:rsid w:val="00BB1FA6"/>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BB1FA6"/>
    <w:rPr>
      <w:rFonts w:ascii="Calibri" w:eastAsia="Calibri" w:hAnsi="Calibri" w:cs="Times New Roman"/>
      <w:b/>
      <w:i/>
      <w:szCs w:val="22"/>
    </w:rPr>
  </w:style>
  <w:style w:type="character" w:customStyle="1" w:styleId="19">
    <w:name w:val="הדגשה מעודנת1"/>
    <w:rsid w:val="00BB1FA6"/>
    <w:rPr>
      <w:i/>
      <w:color w:val="5A5A5A"/>
    </w:rPr>
  </w:style>
  <w:style w:type="character" w:customStyle="1" w:styleId="1a">
    <w:name w:val="הפניה חזקה1"/>
    <w:basedOn w:val="a0"/>
    <w:rsid w:val="00BB1FA6"/>
    <w:rPr>
      <w:rFonts w:cs="Times New Roman"/>
      <w:b/>
      <w:sz w:val="24"/>
      <w:u w:val="single"/>
    </w:rPr>
  </w:style>
  <w:style w:type="paragraph" w:customStyle="1" w:styleId="1b">
    <w:name w:val="כותרת תוכן עניינים1"/>
    <w:basedOn w:val="1"/>
    <w:next w:val="a"/>
    <w:semiHidden/>
    <w:rsid w:val="00BB1FA6"/>
    <w:pPr>
      <w:bidi w:val="0"/>
      <w:outlineLvl w:val="9"/>
    </w:pPr>
  </w:style>
  <w:style w:type="table" w:styleId="af5">
    <w:name w:val="Table Grid"/>
    <w:basedOn w:val="a1"/>
    <w:rsid w:val="00BB1FA6"/>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כותרת מאמר"/>
    <w:basedOn w:val="a"/>
    <w:uiPriority w:val="99"/>
    <w:rsid w:val="00011F47"/>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3947</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2010-10-14T08:09:00Z</cp:lastPrinted>
  <dcterms:created xsi:type="dcterms:W3CDTF">2010-12-12T11:58:00Z</dcterms:created>
  <dcterms:modified xsi:type="dcterms:W3CDTF">2010-12-12T11:58:00Z</dcterms:modified>
</cp:coreProperties>
</file>