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BE0" w:rsidRPr="00FB7BE0" w:rsidRDefault="00FB7BE0" w:rsidP="00FB7BE0">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FB7BE0">
        <w:rPr>
          <w:rFonts w:ascii="David" w:eastAsiaTheme="minorHAnsi" w:hAnsiTheme="minorHAnsi" w:cs="David" w:hint="cs"/>
          <w:b/>
          <w:bCs/>
          <w:color w:val="000000"/>
          <w:sz w:val="32"/>
          <w:szCs w:val="32"/>
          <w:rtl/>
        </w:rPr>
        <w:t>שירות חיילי חובה מחוץ ליחידות צה"ל</w:t>
      </w:r>
    </w:p>
    <w:p w:rsidR="00FB7BE0" w:rsidRPr="00FB7BE0" w:rsidRDefault="00FB7BE0" w:rsidP="00FB7BE0">
      <w:pPr>
        <w:tabs>
          <w:tab w:val="left" w:pos="3206"/>
          <w:tab w:val="center" w:pos="4153"/>
        </w:tabs>
        <w:autoSpaceDE w:val="0"/>
        <w:autoSpaceDN w:val="0"/>
        <w:adjustRightInd w:val="0"/>
        <w:jc w:val="both"/>
        <w:textAlignment w:val="center"/>
        <w:rPr>
          <w:rFonts w:ascii="David" w:eastAsiaTheme="minorHAnsi" w:cs="David"/>
          <w:b/>
          <w:bCs/>
          <w:color w:val="000000"/>
          <w:sz w:val="24"/>
          <w:szCs w:val="24"/>
          <w:rtl/>
        </w:rPr>
      </w:pPr>
      <w:r w:rsidRPr="00FB7BE0">
        <w:rPr>
          <w:rFonts w:ascii="David" w:eastAsiaTheme="minorHAnsi" w:cs="David" w:hint="cs"/>
          <w:b/>
          <w:bCs/>
          <w:color w:val="000000"/>
          <w:sz w:val="24"/>
          <w:szCs w:val="24"/>
          <w:rtl/>
        </w:rPr>
        <w:t>הגופים המבוקרים: משרד הביטחון, משרד לביטחון פנים, משרד החינוך, משרד רה"מ (נתיב), צבא ההגנה לישראל, משטרת ישראל</w:t>
      </w:r>
    </w:p>
    <w:p w:rsidR="00FB7BE0" w:rsidRPr="00FB7BE0" w:rsidRDefault="00FB7BE0" w:rsidP="00FB7BE0">
      <w:pPr>
        <w:tabs>
          <w:tab w:val="left" w:pos="3206"/>
          <w:tab w:val="center" w:pos="4153"/>
        </w:tabs>
        <w:autoSpaceDE w:val="0"/>
        <w:autoSpaceDN w:val="0"/>
        <w:adjustRightInd w:val="0"/>
        <w:textAlignment w:val="center"/>
        <w:rPr>
          <w:rFonts w:ascii="David" w:eastAsiaTheme="minorHAnsi" w:cs="David"/>
          <w:color w:val="000000"/>
          <w:sz w:val="24"/>
          <w:szCs w:val="24"/>
          <w:rtl/>
        </w:rPr>
      </w:pPr>
      <w:r w:rsidRPr="00FB7BE0">
        <w:rPr>
          <w:rFonts w:ascii="David" w:eastAsiaTheme="minorHAnsi" w:cs="David" w:hint="cs"/>
          <w:color w:val="000000"/>
          <w:sz w:val="24"/>
          <w:szCs w:val="24"/>
          <w:rtl/>
        </w:rPr>
        <w:t xml:space="preserve">ליקויים 6-8 תוקנו. ראה הערות רה"מ </w:t>
      </w:r>
      <w:proofErr w:type="spellStart"/>
      <w:r w:rsidRPr="00FB7BE0">
        <w:rPr>
          <w:rFonts w:ascii="David" w:eastAsiaTheme="minorHAnsi" w:cs="David" w:hint="cs"/>
          <w:color w:val="000000"/>
          <w:sz w:val="24"/>
          <w:szCs w:val="24"/>
          <w:rtl/>
        </w:rPr>
        <w:t>60א</w:t>
      </w:r>
      <w:proofErr w:type="spellEnd"/>
      <w:r w:rsidRPr="00FB7BE0">
        <w:rPr>
          <w:rFonts w:ascii="David" w:eastAsiaTheme="minorHAnsi" w:cs="David" w:hint="cs"/>
          <w:color w:val="000000"/>
          <w:sz w:val="24"/>
          <w:szCs w:val="24"/>
          <w:rtl/>
        </w:rPr>
        <w:t xml:space="preserve">' </w:t>
      </w:r>
      <w:proofErr w:type="spellStart"/>
      <w:r w:rsidRPr="00FB7BE0">
        <w:rPr>
          <w:rFonts w:ascii="David" w:eastAsiaTheme="minorHAnsi" w:cs="David" w:hint="cs"/>
          <w:color w:val="000000"/>
          <w:sz w:val="24"/>
          <w:szCs w:val="24"/>
          <w:rtl/>
        </w:rPr>
        <w:t>עמ</w:t>
      </w:r>
      <w:proofErr w:type="spellEnd"/>
      <w:r w:rsidRPr="00FB7BE0">
        <w:rPr>
          <w:rFonts w:ascii="David" w:eastAsiaTheme="minorHAnsi" w:cs="David" w:hint="cs"/>
          <w:color w:val="000000"/>
          <w:sz w:val="24"/>
          <w:szCs w:val="24"/>
          <w:rtl/>
        </w:rPr>
        <w:t>' 40-41.</w:t>
      </w:r>
    </w:p>
    <w:p w:rsidR="00FB7BE0" w:rsidRPr="00FB7BE0" w:rsidRDefault="00FB7BE0" w:rsidP="00FB7BE0">
      <w:pPr>
        <w:autoSpaceDE w:val="0"/>
        <w:autoSpaceDN w:val="0"/>
        <w:adjustRightInd w:val="0"/>
        <w:spacing w:line="288" w:lineRule="auto"/>
        <w:ind w:left="12"/>
        <w:jc w:val="both"/>
        <w:textAlignment w:val="center"/>
        <w:rPr>
          <w:rFonts w:ascii="David" w:eastAsiaTheme="minorHAnsi" w:cs="David"/>
          <w:b/>
          <w:bCs/>
          <w:color w:val="000000"/>
          <w:szCs w:val="24"/>
          <w:rtl/>
        </w:rPr>
      </w:pPr>
      <w:r w:rsidRPr="00FB7BE0">
        <w:rPr>
          <w:rFonts w:ascii="David" w:eastAsiaTheme="minorHAnsi" w:cs="David" w:hint="cs"/>
          <w:b/>
          <w:bCs/>
          <w:color w:val="000000"/>
          <w:szCs w:val="24"/>
          <w:rtl/>
        </w:rPr>
        <w:t>ליקוי</w:t>
      </w:r>
    </w:p>
    <w:p w:rsidR="00FB7BE0" w:rsidRPr="00FB7BE0" w:rsidRDefault="00FB7BE0" w:rsidP="00FB7BE0">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FB7BE0">
        <w:rPr>
          <w:rFonts w:ascii="David" w:eastAsiaTheme="minorHAnsi" w:cs="David" w:hint="cs"/>
          <w:color w:val="000000"/>
          <w:sz w:val="24"/>
          <w:szCs w:val="24"/>
          <w:rtl/>
        </w:rPr>
        <w:t xml:space="preserve">2. </w:t>
      </w:r>
      <w:r w:rsidRPr="00FB7BE0">
        <w:rPr>
          <w:rFonts w:ascii="David" w:eastAsiaTheme="minorHAnsi" w:cs="David"/>
          <w:color w:val="000000"/>
          <w:sz w:val="24"/>
          <w:szCs w:val="24"/>
          <w:rtl/>
        </w:rPr>
        <w:tab/>
      </w:r>
      <w:r w:rsidRPr="00FB7BE0">
        <w:rPr>
          <w:rFonts w:ascii="David" w:eastAsiaTheme="minorHAnsi" w:cs="David" w:hint="cs"/>
          <w:color w:val="000000"/>
          <w:sz w:val="24"/>
          <w:szCs w:val="24"/>
          <w:rtl/>
        </w:rPr>
        <w:t xml:space="preserve">בפברואר 2006 הטילה הממשלה על שר הביטחון לבחון, יחד עם משרדי הממשלה והגופים הנוגעים לעניין, את ההמלצה בדבר הפסקת שירות חיילי החובה מחוץ לסד"כ צה"ל, ולהציג לממשלה הצעות ליישומה. לאחר שצוות פנימי של מערכת הביטחון המליץ על צמצום משמעותי של השירות מחוץ ליחידות צה"ל, התכנס במאי 2008 צוות בין-משרדי לבדיקת הסוגיה. במועד סיום הביקורת, מעל לשלוש שנים מאז החלטת הממשלה, עבודת הצוות הבין-משרדי טרם הסתיימה. </w:t>
      </w:r>
    </w:p>
    <w:p w:rsidR="00FB7BE0" w:rsidRPr="00FB7BE0" w:rsidRDefault="00FB7BE0" w:rsidP="00FB7BE0">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FB7BE0">
        <w:rPr>
          <w:rFonts w:ascii="David" w:eastAsiaTheme="minorHAnsi" w:cs="David" w:hint="cs"/>
          <w:b/>
          <w:bCs/>
          <w:color w:val="000000"/>
          <w:sz w:val="24"/>
          <w:szCs w:val="24"/>
          <w:rtl/>
        </w:rPr>
        <w:t>מעקב</w:t>
      </w:r>
    </w:p>
    <w:p w:rsidR="00FB7BE0" w:rsidRPr="00FB7BE0" w:rsidRDefault="00FB7BE0" w:rsidP="00FB7BE0">
      <w:pPr>
        <w:autoSpaceDE w:val="0"/>
        <w:autoSpaceDN w:val="0"/>
        <w:adjustRightInd w:val="0"/>
        <w:spacing w:line="288" w:lineRule="auto"/>
        <w:ind w:left="566" w:hanging="566"/>
        <w:jc w:val="both"/>
        <w:textAlignment w:val="center"/>
        <w:rPr>
          <w:rFonts w:ascii="David" w:eastAsiaTheme="minorHAnsi" w:cs="David"/>
          <w:b/>
          <w:bCs/>
          <w:color w:val="000000"/>
          <w:sz w:val="24"/>
          <w:szCs w:val="24"/>
          <w:rtl/>
        </w:rPr>
      </w:pPr>
      <w:r w:rsidRPr="00FB7BE0">
        <w:rPr>
          <w:rFonts w:ascii="David" w:eastAsiaTheme="minorHAnsi" w:cs="David" w:hint="cs"/>
          <w:b/>
          <w:bCs/>
          <w:color w:val="000000"/>
          <w:sz w:val="24"/>
          <w:szCs w:val="24"/>
          <w:rtl/>
        </w:rPr>
        <w:t>צבא ההגנה לישראל</w:t>
      </w:r>
    </w:p>
    <w:p w:rsidR="00FB7BE0" w:rsidRPr="00FB7BE0" w:rsidRDefault="00FB7BE0" w:rsidP="00FB7BE0">
      <w:pPr>
        <w:suppressAutoHyphens/>
        <w:autoSpaceDE w:val="0"/>
        <w:autoSpaceDN w:val="0"/>
        <w:adjustRightInd w:val="0"/>
        <w:spacing w:line="288" w:lineRule="auto"/>
        <w:ind w:left="1134" w:hanging="1134"/>
        <w:jc w:val="both"/>
        <w:textAlignment w:val="center"/>
        <w:rPr>
          <w:rFonts w:ascii="David" w:eastAsiaTheme="minorHAnsi" w:cs="David"/>
          <w:color w:val="000000"/>
          <w:sz w:val="24"/>
          <w:szCs w:val="24"/>
          <w:rtl/>
        </w:rPr>
      </w:pPr>
      <w:r w:rsidRPr="00FB7BE0">
        <w:rPr>
          <w:rFonts w:ascii="David" w:eastAsiaTheme="minorHAnsi" w:cs="David" w:hint="cs"/>
          <w:color w:val="000000"/>
          <w:sz w:val="24"/>
          <w:szCs w:val="24"/>
          <w:rtl/>
        </w:rPr>
        <w:t>2.</w:t>
      </w:r>
      <w:r w:rsidRPr="00FB7BE0">
        <w:rPr>
          <w:rFonts w:ascii="David" w:eastAsiaTheme="minorHAnsi" w:cs="David"/>
          <w:color w:val="000000"/>
          <w:sz w:val="24"/>
          <w:szCs w:val="24"/>
          <w:rtl/>
        </w:rPr>
        <w:tab/>
      </w:r>
      <w:r w:rsidRPr="00FB7BE0">
        <w:rPr>
          <w:rFonts w:ascii="David" w:eastAsiaTheme="minorHAnsi" w:cs="David" w:hint="cs"/>
          <w:color w:val="000000"/>
          <w:sz w:val="24"/>
          <w:szCs w:val="24"/>
          <w:rtl/>
        </w:rPr>
        <w:t xml:space="preserve">צה"ל סיים זה מכבר את חלקו בעבודת המטה הבין משרדית שהתקיימה בראשות היועץ המשפטי לשר הביטחון.הנושא הוצג לשר הביטחון אשר קיבל את המלצות הוועדה, והנחה את יו"ר הוועדה לקיים סבב התייעצות נוסף עם המשרד לביטחון פנים על מנת להגיע לסיכומים שיהיו מקובלים על שני המשרדים. עם קבלת החלטות בנושא על-ידי הדרג המדיני, צה"ל יפעל בהתאם לעדכון השיאים והתקנים </w:t>
      </w:r>
      <w:proofErr w:type="spellStart"/>
      <w:r w:rsidRPr="00FB7BE0">
        <w:rPr>
          <w:rFonts w:ascii="David" w:eastAsiaTheme="minorHAnsi" w:cs="David" w:hint="cs"/>
          <w:color w:val="000000"/>
          <w:sz w:val="24"/>
          <w:szCs w:val="24"/>
          <w:rtl/>
        </w:rPr>
        <w:t>בימ"לים</w:t>
      </w:r>
      <w:proofErr w:type="spellEnd"/>
      <w:r w:rsidRPr="00FB7BE0">
        <w:rPr>
          <w:rFonts w:ascii="David" w:eastAsiaTheme="minorHAnsi" w:cs="David" w:hint="cs"/>
          <w:color w:val="000000"/>
          <w:sz w:val="24"/>
          <w:szCs w:val="24"/>
          <w:rtl/>
        </w:rPr>
        <w:t xml:space="preserve">. </w:t>
      </w:r>
    </w:p>
    <w:p w:rsidR="00FB7BE0" w:rsidRPr="00FB7BE0" w:rsidRDefault="00FB7BE0" w:rsidP="00FB7BE0">
      <w:pPr>
        <w:autoSpaceDE w:val="0"/>
        <w:autoSpaceDN w:val="0"/>
        <w:adjustRightInd w:val="0"/>
        <w:spacing w:line="288" w:lineRule="auto"/>
        <w:ind w:left="12"/>
        <w:jc w:val="both"/>
        <w:textAlignment w:val="center"/>
        <w:rPr>
          <w:rFonts w:ascii="David" w:eastAsiaTheme="minorHAnsi" w:cs="David"/>
          <w:b/>
          <w:bCs/>
          <w:color w:val="000000"/>
          <w:szCs w:val="24"/>
          <w:rtl/>
        </w:rPr>
      </w:pPr>
      <w:r w:rsidRPr="00FB7BE0">
        <w:rPr>
          <w:rFonts w:ascii="David" w:eastAsiaTheme="minorHAnsi" w:cs="David" w:hint="cs"/>
          <w:b/>
          <w:bCs/>
          <w:color w:val="000000"/>
          <w:szCs w:val="24"/>
          <w:rtl/>
        </w:rPr>
        <w:t>ליקוי</w:t>
      </w:r>
    </w:p>
    <w:p w:rsidR="00FB7BE0" w:rsidRPr="00FB7BE0" w:rsidRDefault="00FB7BE0" w:rsidP="00FB7BE0">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FB7BE0">
        <w:rPr>
          <w:rFonts w:ascii="David" w:eastAsiaTheme="minorHAnsi" w:cs="David" w:hint="cs"/>
          <w:color w:val="000000"/>
          <w:sz w:val="24"/>
          <w:szCs w:val="24"/>
          <w:rtl/>
        </w:rPr>
        <w:t xml:space="preserve">3. </w:t>
      </w:r>
      <w:r w:rsidRPr="00FB7BE0">
        <w:rPr>
          <w:rFonts w:ascii="David" w:eastAsiaTheme="minorHAnsi" w:cs="David"/>
          <w:color w:val="000000"/>
          <w:sz w:val="24"/>
          <w:szCs w:val="24"/>
          <w:rtl/>
        </w:rPr>
        <w:tab/>
      </w:r>
      <w:r w:rsidRPr="00FB7BE0">
        <w:rPr>
          <w:rFonts w:ascii="David" w:eastAsiaTheme="minorHAnsi" w:cs="David" w:hint="cs"/>
          <w:color w:val="000000"/>
          <w:sz w:val="24"/>
          <w:szCs w:val="24"/>
          <w:rtl/>
        </w:rPr>
        <w:t xml:space="preserve">הפעלת שוטרי החובה במשטרת ישראל (להלן - </w:t>
      </w:r>
      <w:proofErr w:type="spellStart"/>
      <w:r w:rsidRPr="00FB7BE0">
        <w:rPr>
          <w:rFonts w:ascii="David" w:eastAsiaTheme="minorHAnsi" w:cs="David" w:hint="cs"/>
          <w:color w:val="000000"/>
          <w:sz w:val="24"/>
          <w:szCs w:val="24"/>
          <w:rtl/>
        </w:rPr>
        <w:t>שח"ם</w:t>
      </w:r>
      <w:proofErr w:type="spellEnd"/>
      <w:r w:rsidRPr="00FB7BE0">
        <w:rPr>
          <w:rFonts w:ascii="David" w:eastAsiaTheme="minorHAnsi" w:cs="David" w:hint="cs"/>
          <w:color w:val="000000"/>
          <w:sz w:val="24"/>
          <w:szCs w:val="24"/>
          <w:rtl/>
        </w:rPr>
        <w:t xml:space="preserve">) במתכונת הנוכחית אינה משיגה ככלל את ייעודה. הסיבות העיקריות לכך הן: גילם הצעיר של שוטרי </w:t>
      </w:r>
      <w:proofErr w:type="spellStart"/>
      <w:r w:rsidRPr="00FB7BE0">
        <w:rPr>
          <w:rFonts w:ascii="David" w:eastAsiaTheme="minorHAnsi" w:cs="David" w:hint="cs"/>
          <w:color w:val="000000"/>
          <w:sz w:val="24"/>
          <w:szCs w:val="24"/>
          <w:rtl/>
        </w:rPr>
        <w:t>השח"ם</w:t>
      </w:r>
      <w:proofErr w:type="spellEnd"/>
      <w:r w:rsidRPr="00FB7BE0">
        <w:rPr>
          <w:rFonts w:ascii="David" w:eastAsiaTheme="minorHAnsi" w:cs="David" w:hint="cs"/>
          <w:color w:val="000000"/>
          <w:sz w:val="24"/>
          <w:szCs w:val="24"/>
          <w:rtl/>
        </w:rPr>
        <w:t xml:space="preserve"> והיעדר ניסיונם, הפוגעים באופן קשה הן בתפקודם והן בתפקודם של שוטרי הקבע אליהם הם מתלווים; קיום קושי בהפעלתם מאחר שהרוב המכריע של שוטרי </w:t>
      </w:r>
      <w:proofErr w:type="spellStart"/>
      <w:r w:rsidRPr="00FB7BE0">
        <w:rPr>
          <w:rFonts w:ascii="David" w:eastAsiaTheme="minorHAnsi" w:cs="David" w:hint="cs"/>
          <w:color w:val="000000"/>
          <w:sz w:val="24"/>
          <w:szCs w:val="24"/>
          <w:rtl/>
        </w:rPr>
        <w:t>השח"ם</w:t>
      </w:r>
      <w:proofErr w:type="spellEnd"/>
      <w:r w:rsidRPr="00FB7BE0">
        <w:rPr>
          <w:rFonts w:ascii="David" w:eastAsiaTheme="minorHAnsi" w:cs="David" w:hint="cs"/>
          <w:color w:val="000000"/>
          <w:sz w:val="24"/>
          <w:szCs w:val="24"/>
          <w:rtl/>
        </w:rPr>
        <w:t xml:space="preserve"> הן נשים, דבר המקשה לדבריהם על יכולתה של משטרת ישראל לפעול. בשל תקופת השירות הקצרה יחסית של נשים בצה"ל בהשוואה לגברים, והצורך בהכשרה ובצבירת ניסיון כדי להתמודד עם המשימות המוטלות עליהן, פרק הזמן שנותר למיצוי יכולתן של שוטרות </w:t>
      </w:r>
      <w:proofErr w:type="spellStart"/>
      <w:r w:rsidRPr="00FB7BE0">
        <w:rPr>
          <w:rFonts w:ascii="David" w:eastAsiaTheme="minorHAnsi" w:cs="David" w:hint="cs"/>
          <w:color w:val="000000"/>
          <w:sz w:val="24"/>
          <w:szCs w:val="24"/>
          <w:rtl/>
        </w:rPr>
        <w:t>השח"ם</w:t>
      </w:r>
      <w:proofErr w:type="spellEnd"/>
      <w:r w:rsidRPr="00FB7BE0">
        <w:rPr>
          <w:rFonts w:ascii="David" w:eastAsiaTheme="minorHAnsi" w:cs="David" w:hint="cs"/>
          <w:color w:val="000000"/>
          <w:sz w:val="24"/>
          <w:szCs w:val="24"/>
          <w:rtl/>
        </w:rPr>
        <w:t xml:space="preserve"> הוא קצר ביותר - ומתמצה בעיקר בחודשים האחרונים לשירותן; משך השירות הקצר של שוטרות </w:t>
      </w:r>
      <w:proofErr w:type="spellStart"/>
      <w:r w:rsidRPr="00FB7BE0">
        <w:rPr>
          <w:rFonts w:ascii="David" w:eastAsiaTheme="minorHAnsi" w:cs="David" w:hint="cs"/>
          <w:color w:val="000000"/>
          <w:sz w:val="24"/>
          <w:szCs w:val="24"/>
          <w:rtl/>
        </w:rPr>
        <w:t>השח"ם</w:t>
      </w:r>
      <w:proofErr w:type="spellEnd"/>
      <w:r w:rsidRPr="00FB7BE0">
        <w:rPr>
          <w:rFonts w:ascii="David" w:eastAsiaTheme="minorHAnsi" w:cs="David" w:hint="cs"/>
          <w:color w:val="000000"/>
          <w:sz w:val="24"/>
          <w:szCs w:val="24"/>
          <w:rtl/>
        </w:rPr>
        <w:t xml:space="preserve"> גורם גם לתחלופה גדולה של כוח אדם, על כל המשתמע מכך. </w:t>
      </w:r>
    </w:p>
    <w:p w:rsidR="00FB7BE0" w:rsidRPr="00FB7BE0" w:rsidRDefault="00FB7BE0" w:rsidP="00FB7BE0">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FB7BE0">
        <w:rPr>
          <w:rFonts w:ascii="David" w:eastAsiaTheme="minorHAnsi" w:cs="David" w:hint="cs"/>
          <w:b/>
          <w:bCs/>
          <w:color w:val="000000"/>
          <w:sz w:val="24"/>
          <w:szCs w:val="24"/>
          <w:rtl/>
        </w:rPr>
        <w:t>מעקב</w:t>
      </w:r>
    </w:p>
    <w:p w:rsidR="00FB7BE0" w:rsidRPr="00FB7BE0" w:rsidRDefault="00FB7BE0" w:rsidP="00FB7BE0">
      <w:pPr>
        <w:autoSpaceDE w:val="0"/>
        <w:autoSpaceDN w:val="0"/>
        <w:adjustRightInd w:val="0"/>
        <w:spacing w:line="288" w:lineRule="auto"/>
        <w:ind w:left="566" w:hanging="566"/>
        <w:jc w:val="both"/>
        <w:textAlignment w:val="center"/>
        <w:rPr>
          <w:rFonts w:ascii="David" w:eastAsiaTheme="minorHAnsi" w:cs="David"/>
          <w:b/>
          <w:bCs/>
          <w:color w:val="000000"/>
          <w:sz w:val="24"/>
          <w:szCs w:val="24"/>
          <w:rtl/>
        </w:rPr>
      </w:pPr>
      <w:r w:rsidRPr="00FB7BE0">
        <w:rPr>
          <w:rFonts w:ascii="David" w:eastAsiaTheme="minorHAnsi" w:cs="David" w:hint="cs"/>
          <w:b/>
          <w:bCs/>
          <w:color w:val="000000"/>
          <w:sz w:val="24"/>
          <w:szCs w:val="24"/>
          <w:rtl/>
        </w:rPr>
        <w:t>משרד הביטחון</w:t>
      </w:r>
    </w:p>
    <w:p w:rsidR="00FB7BE0" w:rsidRPr="00FB7BE0" w:rsidRDefault="00FB7BE0" w:rsidP="00FB7BE0">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FB7BE0">
        <w:rPr>
          <w:rFonts w:ascii="David" w:eastAsiaTheme="minorHAnsi" w:cs="David" w:hint="cs"/>
          <w:color w:val="000000"/>
          <w:sz w:val="24"/>
          <w:szCs w:val="24"/>
          <w:rtl/>
        </w:rPr>
        <w:t>2-3.</w:t>
      </w:r>
      <w:r w:rsidRPr="00FB7BE0">
        <w:rPr>
          <w:rFonts w:ascii="David" w:eastAsiaTheme="minorHAnsi" w:cs="David"/>
          <w:color w:val="000000"/>
          <w:sz w:val="24"/>
          <w:szCs w:val="24"/>
          <w:rtl/>
        </w:rPr>
        <w:tab/>
      </w:r>
      <w:r w:rsidRPr="00FB7BE0">
        <w:rPr>
          <w:rFonts w:ascii="David" w:eastAsiaTheme="minorHAnsi" w:cs="David" w:hint="cs"/>
          <w:color w:val="000000"/>
          <w:sz w:val="24"/>
          <w:szCs w:val="24"/>
          <w:rtl/>
        </w:rPr>
        <w:t xml:space="preserve">הוועדה הבין-משרדית, שבראשה עמד המשנה ליועץ המשפטי למערכת הביטחון, סיכמה את מסקנותיה והגישה המלצותיה לשר הביטחון עוד בחודש פברואר 2010. עבודת המטה הוצגה לשר הביטחון באפריל 2010 והשר קיבל ואישר עקרונית את המלצות הועדה. יחד עם זאת, </w:t>
      </w:r>
      <w:proofErr w:type="spellStart"/>
      <w:r w:rsidRPr="00FB7BE0">
        <w:rPr>
          <w:rFonts w:ascii="David" w:eastAsiaTheme="minorHAnsi" w:cs="David" w:hint="cs"/>
          <w:color w:val="000000"/>
          <w:sz w:val="24"/>
          <w:szCs w:val="24"/>
          <w:rtl/>
        </w:rPr>
        <w:t>הינחה</w:t>
      </w:r>
      <w:proofErr w:type="spellEnd"/>
      <w:r w:rsidRPr="00FB7BE0">
        <w:rPr>
          <w:rFonts w:ascii="David" w:eastAsiaTheme="minorHAnsi" w:cs="David" w:hint="cs"/>
          <w:color w:val="000000"/>
          <w:sz w:val="24"/>
          <w:szCs w:val="24"/>
          <w:rtl/>
        </w:rPr>
        <w:t xml:space="preserve"> השר לא להעלות בשלב זה את עבודת המטה להצגה ולהחלטת ממשלה, אלא לקיים עבודת מטה ומשא ומתן מקדים עם המשרד לביטחון פנים בעניין שוטרים, חיילים וחיילי מג"ב, וזאת בטרם תוצג לממשלה. לעניין זה, סגן היועץ המשפטי של המשרד קיים בחודש יוני 2010 מפגשים עם הנהלת המשרד לביטחון פנים להסדרת נושא הקיצוץ ההדרגתי בהקצאות חיילים למטרות אלו. זאת, כהכנה למפגש שר הביטחון עם השר לביטחון פנים. אולם במשא ומתן מקדים זה הוא נקלע לחילוקי דעות מהותיים עימם בעיקר סביב עניין התניית </w:t>
      </w:r>
      <w:r w:rsidRPr="00FB7BE0">
        <w:rPr>
          <w:rFonts w:ascii="David" w:eastAsiaTheme="minorHAnsi" w:cs="David" w:hint="cs"/>
          <w:color w:val="000000"/>
          <w:sz w:val="24"/>
          <w:szCs w:val="24"/>
          <w:rtl/>
        </w:rPr>
        <w:lastRenderedPageBreak/>
        <w:t>המשרד לביטחון פנים שהקיצוץ בחיילים יפוצה בתקינת שוטרים הולמת חלופית. הוועדה לביקורת המדינה בכנסת אף קיימה ישיבה בנושא זה ב – 2 באוגוסט 2010.</w:t>
      </w:r>
    </w:p>
    <w:p w:rsidR="00FB7BE0" w:rsidRPr="00FB7BE0" w:rsidRDefault="00FB7BE0" w:rsidP="00FB7BE0">
      <w:pPr>
        <w:autoSpaceDE w:val="0"/>
        <w:autoSpaceDN w:val="0"/>
        <w:adjustRightInd w:val="0"/>
        <w:spacing w:line="288" w:lineRule="auto"/>
        <w:ind w:left="1134"/>
        <w:jc w:val="both"/>
        <w:textAlignment w:val="center"/>
        <w:rPr>
          <w:rFonts w:ascii="David" w:eastAsiaTheme="minorHAnsi" w:cs="David"/>
          <w:color w:val="000000"/>
          <w:sz w:val="24"/>
          <w:szCs w:val="24"/>
          <w:rtl/>
        </w:rPr>
      </w:pPr>
      <w:r w:rsidRPr="00FB7BE0">
        <w:rPr>
          <w:rFonts w:ascii="David" w:eastAsiaTheme="minorHAnsi" w:cs="David" w:hint="cs"/>
          <w:color w:val="000000"/>
          <w:sz w:val="24"/>
          <w:szCs w:val="24"/>
          <w:rtl/>
        </w:rPr>
        <w:t xml:space="preserve">ראה הערות רה"מ </w:t>
      </w:r>
      <w:proofErr w:type="spellStart"/>
      <w:r w:rsidRPr="00FB7BE0">
        <w:rPr>
          <w:rFonts w:ascii="David" w:eastAsiaTheme="minorHAnsi" w:cs="David" w:hint="cs"/>
          <w:color w:val="000000"/>
          <w:sz w:val="24"/>
          <w:szCs w:val="24"/>
          <w:rtl/>
        </w:rPr>
        <w:t>60א</w:t>
      </w:r>
      <w:proofErr w:type="spellEnd"/>
      <w:r w:rsidRPr="00FB7BE0">
        <w:rPr>
          <w:rFonts w:ascii="David" w:eastAsiaTheme="minorHAnsi" w:cs="David" w:hint="cs"/>
          <w:color w:val="000000"/>
          <w:sz w:val="24"/>
          <w:szCs w:val="24"/>
          <w:rtl/>
        </w:rPr>
        <w:t xml:space="preserve">' </w:t>
      </w:r>
      <w:proofErr w:type="spellStart"/>
      <w:r w:rsidRPr="00FB7BE0">
        <w:rPr>
          <w:rFonts w:ascii="David" w:eastAsiaTheme="minorHAnsi" w:cs="David" w:hint="cs"/>
          <w:color w:val="000000"/>
          <w:sz w:val="24"/>
          <w:szCs w:val="24"/>
          <w:rtl/>
        </w:rPr>
        <w:t>עמ</w:t>
      </w:r>
      <w:proofErr w:type="spellEnd"/>
      <w:r w:rsidRPr="00FB7BE0">
        <w:rPr>
          <w:rFonts w:ascii="David" w:eastAsiaTheme="minorHAnsi" w:cs="David" w:hint="cs"/>
          <w:color w:val="000000"/>
          <w:sz w:val="24"/>
          <w:szCs w:val="24"/>
          <w:rtl/>
        </w:rPr>
        <w:t>' 38-39.</w:t>
      </w:r>
    </w:p>
    <w:p w:rsidR="00FB7BE0" w:rsidRPr="00FB7BE0" w:rsidRDefault="00FB7BE0" w:rsidP="00FB7BE0">
      <w:pPr>
        <w:autoSpaceDE w:val="0"/>
        <w:autoSpaceDN w:val="0"/>
        <w:adjustRightInd w:val="0"/>
        <w:spacing w:line="288" w:lineRule="auto"/>
        <w:ind w:left="12"/>
        <w:jc w:val="both"/>
        <w:textAlignment w:val="center"/>
        <w:rPr>
          <w:rFonts w:ascii="David" w:eastAsiaTheme="minorHAnsi" w:cs="David"/>
          <w:b/>
          <w:bCs/>
          <w:color w:val="000000"/>
          <w:szCs w:val="24"/>
          <w:rtl/>
        </w:rPr>
      </w:pPr>
      <w:r w:rsidRPr="00FB7BE0">
        <w:rPr>
          <w:rFonts w:ascii="David" w:eastAsiaTheme="minorHAnsi" w:cs="David" w:hint="cs"/>
          <w:b/>
          <w:bCs/>
          <w:color w:val="000000"/>
          <w:szCs w:val="24"/>
          <w:rtl/>
        </w:rPr>
        <w:t>ליקוי</w:t>
      </w:r>
    </w:p>
    <w:p w:rsidR="00FB7BE0" w:rsidRPr="00FB7BE0" w:rsidRDefault="00FB7BE0" w:rsidP="00FB7BE0">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FB7BE0">
        <w:rPr>
          <w:rFonts w:ascii="David" w:eastAsiaTheme="minorHAnsi" w:cs="David" w:hint="cs"/>
          <w:color w:val="000000"/>
          <w:sz w:val="24"/>
          <w:szCs w:val="24"/>
          <w:rtl/>
        </w:rPr>
        <w:t xml:space="preserve">4. </w:t>
      </w:r>
      <w:r w:rsidRPr="00FB7BE0">
        <w:rPr>
          <w:rFonts w:ascii="David" w:eastAsiaTheme="minorHAnsi" w:cs="David"/>
          <w:color w:val="000000"/>
          <w:sz w:val="24"/>
          <w:szCs w:val="24"/>
          <w:rtl/>
        </w:rPr>
        <w:tab/>
      </w:r>
      <w:r w:rsidRPr="00FB7BE0">
        <w:rPr>
          <w:rFonts w:ascii="David" w:eastAsiaTheme="minorHAnsi" w:cs="David" w:hint="cs"/>
          <w:color w:val="000000"/>
          <w:sz w:val="24"/>
          <w:szCs w:val="24"/>
          <w:rtl/>
        </w:rPr>
        <w:t xml:space="preserve">בינואר 2006 קבעה הממשלה, כי המשרד, המשרד לביטחון הפנים ומשרד המשפטים יפעלו לתיקון החוק, באופן שניתן יהיה לשבץ משרתי חובה בכלל יחידות המשטרה, לרבות אלו העוסקות במאבק בפשיעה ובאכיפת חוקי התנועה. במועד סיום הביקורת, כשלוש שנים לאחר החלטת הממשלה על הצורך בתיקון החוק, טרם הושגה הסכמה בין הגורמים בדבר התנאים להמשך שירותם של חיילים במ"י, וממילא טרם תוקן החוק. על כן, ממשיך להתקיים ההסדר הנוכחי, שבו מחד, אין מיצוי יעיל של פוטנציאל חיילי </w:t>
      </w:r>
      <w:proofErr w:type="spellStart"/>
      <w:r w:rsidRPr="00FB7BE0">
        <w:rPr>
          <w:rFonts w:ascii="David" w:eastAsiaTheme="minorHAnsi" w:cs="David" w:hint="cs"/>
          <w:color w:val="000000"/>
          <w:sz w:val="24"/>
          <w:szCs w:val="24"/>
          <w:rtl/>
        </w:rPr>
        <w:t>שח"ם</w:t>
      </w:r>
      <w:proofErr w:type="spellEnd"/>
      <w:r w:rsidRPr="00FB7BE0">
        <w:rPr>
          <w:rFonts w:ascii="David" w:eastAsiaTheme="minorHAnsi" w:cs="David" w:hint="cs"/>
          <w:color w:val="000000"/>
          <w:sz w:val="24"/>
          <w:szCs w:val="24"/>
          <w:rtl/>
        </w:rPr>
        <w:t xml:space="preserve">, כשמאידך, צה"ל זקוק להם למשימותיו. יש בהמשך המצב עד כדי בזבוז של משאב לאומי זה. </w:t>
      </w:r>
    </w:p>
    <w:p w:rsidR="00FB7BE0" w:rsidRPr="00FB7BE0" w:rsidRDefault="00FB7BE0" w:rsidP="00FB7BE0">
      <w:pPr>
        <w:autoSpaceDE w:val="0"/>
        <w:autoSpaceDN w:val="0"/>
        <w:adjustRightInd w:val="0"/>
        <w:spacing w:after="57" w:line="288" w:lineRule="auto"/>
        <w:jc w:val="both"/>
        <w:textAlignment w:val="center"/>
        <w:rPr>
          <w:rFonts w:ascii="David" w:eastAsiaTheme="minorHAnsi" w:cs="David"/>
          <w:b/>
          <w:bCs/>
          <w:color w:val="000000"/>
          <w:sz w:val="24"/>
          <w:szCs w:val="24"/>
          <w:rtl/>
        </w:rPr>
      </w:pPr>
      <w:r w:rsidRPr="00FB7BE0">
        <w:rPr>
          <w:rFonts w:ascii="David" w:eastAsiaTheme="minorHAnsi" w:cs="David" w:hint="cs"/>
          <w:b/>
          <w:bCs/>
          <w:color w:val="000000"/>
          <w:sz w:val="24"/>
          <w:szCs w:val="24"/>
          <w:rtl/>
        </w:rPr>
        <w:t>מעקב</w:t>
      </w:r>
    </w:p>
    <w:p w:rsidR="00FB7BE0" w:rsidRPr="00FB7BE0" w:rsidRDefault="00FB7BE0" w:rsidP="00FB7BE0">
      <w:pPr>
        <w:suppressAutoHyphens/>
        <w:autoSpaceDE w:val="0"/>
        <w:autoSpaceDN w:val="0"/>
        <w:adjustRightInd w:val="0"/>
        <w:spacing w:line="288" w:lineRule="auto"/>
        <w:ind w:left="1134" w:hanging="1134"/>
        <w:jc w:val="both"/>
        <w:textAlignment w:val="center"/>
        <w:rPr>
          <w:rFonts w:ascii="David" w:eastAsiaTheme="minorHAnsi" w:cs="David"/>
          <w:color w:val="000000"/>
          <w:sz w:val="24"/>
          <w:szCs w:val="24"/>
          <w:rtl/>
        </w:rPr>
      </w:pPr>
      <w:r w:rsidRPr="00FB7BE0">
        <w:rPr>
          <w:rFonts w:ascii="David" w:eastAsiaTheme="minorHAnsi" w:cs="David" w:hint="cs"/>
          <w:color w:val="000000"/>
        </w:rPr>
        <w:t>4.</w:t>
      </w:r>
      <w:r w:rsidRPr="00FB7BE0">
        <w:rPr>
          <w:rFonts w:ascii="David" w:eastAsiaTheme="minorHAnsi" w:cs="David"/>
          <w:color w:val="000000"/>
        </w:rPr>
        <w:tab/>
      </w:r>
      <w:r w:rsidRPr="00FB7BE0">
        <w:rPr>
          <w:rFonts w:ascii="David" w:eastAsiaTheme="minorHAnsi" w:cs="David" w:hint="cs"/>
          <w:color w:val="000000"/>
          <w:sz w:val="24"/>
          <w:szCs w:val="24"/>
          <w:rtl/>
        </w:rPr>
        <w:t>ראה מעקב לליקויים 2-3.</w:t>
      </w:r>
    </w:p>
    <w:p w:rsidR="00FB7BE0" w:rsidRPr="00FB7BE0" w:rsidRDefault="00FB7BE0" w:rsidP="00FB7BE0">
      <w:pPr>
        <w:autoSpaceDE w:val="0"/>
        <w:autoSpaceDN w:val="0"/>
        <w:adjustRightInd w:val="0"/>
        <w:spacing w:line="288" w:lineRule="auto"/>
        <w:ind w:left="12"/>
        <w:jc w:val="both"/>
        <w:textAlignment w:val="center"/>
        <w:rPr>
          <w:rFonts w:ascii="David" w:eastAsiaTheme="minorHAnsi" w:cs="David"/>
          <w:b/>
          <w:bCs/>
          <w:color w:val="000000"/>
          <w:szCs w:val="24"/>
          <w:rtl/>
        </w:rPr>
      </w:pPr>
      <w:r w:rsidRPr="00FB7BE0">
        <w:rPr>
          <w:rFonts w:ascii="David" w:eastAsiaTheme="minorHAnsi" w:cs="David" w:hint="cs"/>
          <w:b/>
          <w:bCs/>
          <w:color w:val="000000"/>
          <w:szCs w:val="24"/>
          <w:rtl/>
        </w:rPr>
        <w:t>ליקוי</w:t>
      </w:r>
    </w:p>
    <w:p w:rsidR="00FB7BE0" w:rsidRPr="00FB7BE0" w:rsidRDefault="00FB7BE0" w:rsidP="00FB7BE0">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FB7BE0">
        <w:rPr>
          <w:rFonts w:ascii="David" w:eastAsiaTheme="minorHAnsi" w:cs="David" w:hint="cs"/>
          <w:color w:val="000000"/>
          <w:sz w:val="24"/>
          <w:szCs w:val="24"/>
          <w:rtl/>
        </w:rPr>
        <w:t xml:space="preserve">5. </w:t>
      </w:r>
      <w:r w:rsidRPr="00FB7BE0">
        <w:rPr>
          <w:rFonts w:ascii="David" w:eastAsiaTheme="minorHAnsi" w:cs="David"/>
          <w:color w:val="000000"/>
          <w:sz w:val="24"/>
          <w:szCs w:val="24"/>
          <w:rtl/>
        </w:rPr>
        <w:tab/>
      </w:r>
      <w:r w:rsidRPr="00FB7BE0">
        <w:rPr>
          <w:rFonts w:ascii="David" w:eastAsiaTheme="minorHAnsi" w:cs="David" w:hint="cs"/>
          <w:color w:val="000000"/>
          <w:sz w:val="24"/>
          <w:szCs w:val="24"/>
          <w:rtl/>
        </w:rPr>
        <w:t xml:space="preserve">הצוות הפנימי המליץ על צמצום של 40% במספר החיילים המוקצה למשרד, המלצה שאישרו הרמטכ"ל ושר הביטחון. בפועל הקיצוץ מומש באופן חלקי בלבד. </w:t>
      </w:r>
    </w:p>
    <w:p w:rsidR="00FB7BE0" w:rsidRPr="00FB7BE0" w:rsidRDefault="00FB7BE0" w:rsidP="00FB7BE0">
      <w:pPr>
        <w:autoSpaceDE w:val="0"/>
        <w:autoSpaceDN w:val="0"/>
        <w:adjustRightInd w:val="0"/>
        <w:spacing w:line="288" w:lineRule="auto"/>
        <w:jc w:val="both"/>
        <w:textAlignment w:val="center"/>
        <w:rPr>
          <w:rFonts w:ascii="David" w:eastAsiaTheme="minorHAnsi" w:cs="David"/>
          <w:b/>
          <w:bCs/>
          <w:color w:val="000000"/>
          <w:sz w:val="24"/>
          <w:szCs w:val="24"/>
          <w:rtl/>
        </w:rPr>
      </w:pPr>
      <w:r w:rsidRPr="00FB7BE0">
        <w:rPr>
          <w:rFonts w:ascii="David" w:eastAsiaTheme="minorHAnsi" w:cs="David" w:hint="cs"/>
          <w:b/>
          <w:bCs/>
          <w:color w:val="000000"/>
          <w:sz w:val="24"/>
          <w:szCs w:val="24"/>
          <w:rtl/>
        </w:rPr>
        <w:t xml:space="preserve">מעקב </w:t>
      </w:r>
    </w:p>
    <w:p w:rsidR="00FB7BE0" w:rsidRPr="00FB7BE0" w:rsidRDefault="00FB7BE0" w:rsidP="00FB7BE0">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FB7BE0">
        <w:rPr>
          <w:rFonts w:ascii="David" w:eastAsiaTheme="minorHAnsi" w:cs="David" w:hint="cs"/>
          <w:color w:val="000000"/>
          <w:sz w:val="24"/>
          <w:szCs w:val="24"/>
          <w:rtl/>
        </w:rPr>
        <w:t>5.</w:t>
      </w:r>
      <w:r w:rsidRPr="00FB7BE0">
        <w:rPr>
          <w:rFonts w:ascii="David" w:eastAsiaTheme="minorHAnsi" w:cs="David"/>
          <w:color w:val="000000"/>
          <w:sz w:val="24"/>
          <w:szCs w:val="24"/>
          <w:rtl/>
        </w:rPr>
        <w:tab/>
      </w:r>
      <w:r w:rsidRPr="00FB7BE0">
        <w:rPr>
          <w:rFonts w:ascii="David" w:eastAsiaTheme="minorHAnsi" w:cs="David" w:hint="cs"/>
          <w:color w:val="000000"/>
          <w:sz w:val="24"/>
          <w:szCs w:val="24"/>
          <w:rtl/>
        </w:rPr>
        <w:t>המלצת הוועדה הבין-משרדית בנושא היקף ההפחתה של שירות חיילות במשרד הביטחון הוצגה בפני שר הביטחון באפריל 2010. הצעת הקיצוץ המקורית לחיילות עמדה במקור על 40%. לבסוף הוצע לשר שהקיצוץ במשרד יעמוד בשיעור של 20% בלבד.</w:t>
      </w:r>
    </w:p>
    <w:p w:rsidR="00FB7BE0" w:rsidRPr="00FB7BE0" w:rsidRDefault="00FB7BE0" w:rsidP="00FB7BE0">
      <w:pPr>
        <w:autoSpaceDE w:val="0"/>
        <w:autoSpaceDN w:val="0"/>
        <w:adjustRightInd w:val="0"/>
        <w:spacing w:line="288" w:lineRule="auto"/>
        <w:ind w:left="1134"/>
        <w:jc w:val="both"/>
        <w:textAlignment w:val="center"/>
        <w:rPr>
          <w:rFonts w:ascii="David" w:eastAsiaTheme="minorHAnsi" w:cs="David"/>
          <w:color w:val="000000"/>
          <w:sz w:val="24"/>
          <w:szCs w:val="24"/>
          <w:rtl/>
        </w:rPr>
      </w:pPr>
      <w:r w:rsidRPr="00FB7BE0">
        <w:rPr>
          <w:rFonts w:ascii="David" w:eastAsiaTheme="minorHAnsi" w:cs="David" w:hint="cs"/>
          <w:color w:val="000000"/>
          <w:sz w:val="24"/>
          <w:szCs w:val="24"/>
          <w:rtl/>
        </w:rPr>
        <w:t xml:space="preserve">ראה הערות רה"מ </w:t>
      </w:r>
      <w:proofErr w:type="spellStart"/>
      <w:r w:rsidRPr="00FB7BE0">
        <w:rPr>
          <w:rFonts w:ascii="David" w:eastAsiaTheme="minorHAnsi" w:cs="David" w:hint="cs"/>
          <w:color w:val="000000"/>
          <w:sz w:val="24"/>
          <w:szCs w:val="24"/>
          <w:rtl/>
        </w:rPr>
        <w:t>60א</w:t>
      </w:r>
      <w:proofErr w:type="spellEnd"/>
      <w:r w:rsidRPr="00FB7BE0">
        <w:rPr>
          <w:rFonts w:ascii="David" w:eastAsiaTheme="minorHAnsi" w:cs="David" w:hint="cs"/>
          <w:color w:val="000000"/>
          <w:sz w:val="24"/>
          <w:szCs w:val="24"/>
          <w:rtl/>
        </w:rPr>
        <w:t xml:space="preserve">' </w:t>
      </w:r>
      <w:proofErr w:type="spellStart"/>
      <w:r w:rsidRPr="00FB7BE0">
        <w:rPr>
          <w:rFonts w:ascii="David" w:eastAsiaTheme="minorHAnsi" w:cs="David" w:hint="cs"/>
          <w:color w:val="000000"/>
          <w:sz w:val="24"/>
          <w:szCs w:val="24"/>
          <w:rtl/>
        </w:rPr>
        <w:t>עמ</w:t>
      </w:r>
      <w:proofErr w:type="spellEnd"/>
      <w:r w:rsidRPr="00FB7BE0">
        <w:rPr>
          <w:rFonts w:ascii="David" w:eastAsiaTheme="minorHAnsi" w:cs="David" w:hint="cs"/>
          <w:color w:val="000000"/>
          <w:sz w:val="24"/>
          <w:szCs w:val="24"/>
          <w:rtl/>
        </w:rPr>
        <w:t>' 40.</w:t>
      </w:r>
    </w:p>
    <w:p w:rsidR="00FB7BE0" w:rsidRPr="00FB7BE0" w:rsidRDefault="00FB7BE0" w:rsidP="00FB7BE0">
      <w:pPr>
        <w:autoSpaceDE w:val="0"/>
        <w:autoSpaceDN w:val="0"/>
        <w:adjustRightInd w:val="0"/>
        <w:spacing w:line="288" w:lineRule="auto"/>
        <w:ind w:left="12"/>
        <w:jc w:val="both"/>
        <w:textAlignment w:val="center"/>
        <w:rPr>
          <w:rFonts w:ascii="David" w:eastAsiaTheme="minorHAnsi" w:cs="David"/>
          <w:b/>
          <w:bCs/>
          <w:color w:val="000000"/>
          <w:szCs w:val="24"/>
          <w:rtl/>
        </w:rPr>
      </w:pPr>
      <w:r w:rsidRPr="00FB7BE0">
        <w:rPr>
          <w:rFonts w:ascii="David" w:eastAsiaTheme="minorHAnsi" w:cs="David" w:hint="cs"/>
          <w:b/>
          <w:bCs/>
          <w:color w:val="000000"/>
          <w:szCs w:val="24"/>
          <w:rtl/>
        </w:rPr>
        <w:t>ליקוי</w:t>
      </w:r>
    </w:p>
    <w:p w:rsidR="00FB7BE0" w:rsidRPr="00FB7BE0" w:rsidRDefault="00FB7BE0" w:rsidP="00FB7BE0">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FB7BE0">
        <w:rPr>
          <w:rFonts w:ascii="David" w:eastAsiaTheme="minorHAnsi" w:cs="David" w:hint="cs"/>
          <w:color w:val="000000"/>
          <w:sz w:val="24"/>
          <w:szCs w:val="24"/>
          <w:rtl/>
        </w:rPr>
        <w:t xml:space="preserve">9. </w:t>
      </w:r>
      <w:r w:rsidRPr="00FB7BE0">
        <w:rPr>
          <w:rFonts w:ascii="David" w:eastAsiaTheme="minorHAnsi" w:cs="David"/>
          <w:color w:val="000000"/>
          <w:sz w:val="24"/>
          <w:szCs w:val="24"/>
          <w:rtl/>
        </w:rPr>
        <w:tab/>
      </w:r>
      <w:r w:rsidRPr="00FB7BE0">
        <w:rPr>
          <w:rFonts w:ascii="David" w:eastAsiaTheme="minorHAnsi" w:cs="David" w:hint="cs"/>
          <w:color w:val="000000"/>
          <w:sz w:val="24"/>
          <w:szCs w:val="24"/>
          <w:rtl/>
        </w:rPr>
        <w:t xml:space="preserve">הוראת המשרד קובעת, כי האגף הביטחוני-חברתי הוא גורם המטה במשרד המרכז את הטיפול בנושא סיוע חיילים מחוץ לסד"כ לגופים שנקבעו בצו שירות ביטחון (קביעת שירות מוכר לפי סעיף 26א לחוק), </w:t>
      </w:r>
      <w:proofErr w:type="spellStart"/>
      <w:r w:rsidRPr="00FB7BE0">
        <w:rPr>
          <w:rFonts w:ascii="David" w:eastAsiaTheme="minorHAnsi" w:cs="David" w:hint="cs"/>
          <w:color w:val="000000"/>
          <w:sz w:val="24"/>
          <w:szCs w:val="24"/>
          <w:rtl/>
        </w:rPr>
        <w:t>התשנ"ו</w:t>
      </w:r>
      <w:proofErr w:type="spellEnd"/>
      <w:r w:rsidRPr="00FB7BE0">
        <w:rPr>
          <w:rFonts w:ascii="David" w:eastAsiaTheme="minorHAnsi" w:cs="David" w:hint="cs"/>
          <w:color w:val="000000"/>
          <w:sz w:val="24"/>
          <w:szCs w:val="24"/>
          <w:rtl/>
        </w:rPr>
        <w:t xml:space="preserve">-1996. בביקורת עלה, כי האגף אינו מבצע כל פעילות הקשורה לשירות חיילים במסגרת שירות מוכר. </w:t>
      </w:r>
    </w:p>
    <w:p w:rsidR="00FB7BE0" w:rsidRPr="00FB7BE0" w:rsidRDefault="00FB7BE0" w:rsidP="00FB7BE0">
      <w:pPr>
        <w:autoSpaceDE w:val="0"/>
        <w:autoSpaceDN w:val="0"/>
        <w:adjustRightInd w:val="0"/>
        <w:spacing w:line="288" w:lineRule="auto"/>
        <w:ind w:left="12"/>
        <w:jc w:val="both"/>
        <w:textAlignment w:val="center"/>
        <w:rPr>
          <w:rFonts w:ascii="David" w:eastAsiaTheme="minorHAnsi" w:cs="David"/>
          <w:b/>
          <w:bCs/>
          <w:color w:val="000000"/>
          <w:szCs w:val="24"/>
          <w:rtl/>
        </w:rPr>
      </w:pPr>
      <w:r w:rsidRPr="00FB7BE0">
        <w:rPr>
          <w:rFonts w:ascii="David" w:eastAsiaTheme="minorHAnsi" w:cs="David" w:hint="cs"/>
          <w:b/>
          <w:bCs/>
          <w:color w:val="000000"/>
          <w:szCs w:val="24"/>
          <w:rtl/>
        </w:rPr>
        <w:t>ליקוי</w:t>
      </w:r>
    </w:p>
    <w:p w:rsidR="00FB7BE0" w:rsidRPr="00FB7BE0" w:rsidRDefault="00FB7BE0" w:rsidP="00FB7BE0">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FB7BE0">
        <w:rPr>
          <w:rFonts w:ascii="David" w:eastAsiaTheme="minorHAnsi" w:cs="David" w:hint="cs"/>
          <w:color w:val="000000"/>
          <w:sz w:val="24"/>
          <w:szCs w:val="24"/>
          <w:rtl/>
        </w:rPr>
        <w:t xml:space="preserve">10. </w:t>
      </w:r>
      <w:r w:rsidRPr="00FB7BE0">
        <w:rPr>
          <w:rFonts w:ascii="David" w:eastAsiaTheme="minorHAnsi" w:cs="David"/>
          <w:color w:val="000000"/>
          <w:sz w:val="24"/>
          <w:szCs w:val="24"/>
          <w:rtl/>
        </w:rPr>
        <w:tab/>
      </w:r>
      <w:r w:rsidRPr="00FB7BE0">
        <w:rPr>
          <w:rFonts w:ascii="David" w:eastAsiaTheme="minorHAnsi" w:cs="David" w:hint="cs"/>
          <w:color w:val="000000"/>
          <w:sz w:val="24"/>
          <w:szCs w:val="24"/>
          <w:rtl/>
        </w:rPr>
        <w:t xml:space="preserve">במצב שבו המשרד אינו ממלא את תפקידו כגורם מטה המרכז את הטיפול בהשמת חיילים בחובה </w:t>
      </w:r>
      <w:proofErr w:type="spellStart"/>
      <w:r w:rsidRPr="00FB7BE0">
        <w:rPr>
          <w:rFonts w:ascii="David" w:eastAsiaTheme="minorHAnsi" w:cs="David" w:hint="cs"/>
          <w:color w:val="000000"/>
          <w:sz w:val="24"/>
          <w:szCs w:val="24"/>
          <w:rtl/>
        </w:rPr>
        <w:t>בימ"לים</w:t>
      </w:r>
      <w:proofErr w:type="spellEnd"/>
      <w:r w:rsidRPr="00FB7BE0">
        <w:rPr>
          <w:rFonts w:ascii="David" w:eastAsiaTheme="minorHAnsi" w:cs="David" w:hint="cs"/>
          <w:color w:val="000000"/>
          <w:sz w:val="24"/>
          <w:szCs w:val="24"/>
          <w:rtl/>
        </w:rPr>
        <w:t xml:space="preserve"> בכלל ובתכנון כוח האדם השנתי המוקצה למשימות מחוץ לסד"כ והתקשרות מול הגופים השונים בפרט, צה"ל מקבל החלטות הנוגעות להקצאת כוח האדם למשימות מחוץ לסד"כ באופן עצמאי, מתוך ראייה חד-צדדית, ולא מתוך ראייה כללית הבוחנת את צורכי כלל הגופים המסתייעים. </w:t>
      </w:r>
    </w:p>
    <w:p w:rsidR="00FB7BE0" w:rsidRPr="00FB7BE0" w:rsidRDefault="00FB7BE0" w:rsidP="00FB7BE0">
      <w:pPr>
        <w:autoSpaceDE w:val="0"/>
        <w:autoSpaceDN w:val="0"/>
        <w:adjustRightInd w:val="0"/>
        <w:spacing w:line="288" w:lineRule="auto"/>
        <w:jc w:val="both"/>
        <w:textAlignment w:val="center"/>
        <w:rPr>
          <w:rFonts w:ascii="David" w:eastAsiaTheme="minorHAnsi" w:cs="David"/>
          <w:b/>
          <w:bCs/>
          <w:color w:val="000000"/>
          <w:sz w:val="24"/>
          <w:szCs w:val="24"/>
          <w:rtl/>
        </w:rPr>
      </w:pPr>
      <w:r w:rsidRPr="00FB7BE0">
        <w:rPr>
          <w:rFonts w:ascii="David" w:eastAsiaTheme="minorHAnsi" w:cs="David" w:hint="cs"/>
          <w:b/>
          <w:bCs/>
          <w:color w:val="000000"/>
          <w:sz w:val="24"/>
          <w:szCs w:val="24"/>
          <w:rtl/>
        </w:rPr>
        <w:t xml:space="preserve">מעקב </w:t>
      </w:r>
    </w:p>
    <w:p w:rsidR="00FB7BE0" w:rsidRPr="00FB7BE0" w:rsidRDefault="00FB7BE0" w:rsidP="00FB7BE0">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FB7BE0">
        <w:rPr>
          <w:rFonts w:ascii="David" w:eastAsiaTheme="minorHAnsi" w:cs="David" w:hint="cs"/>
          <w:color w:val="000000"/>
          <w:sz w:val="24"/>
          <w:szCs w:val="24"/>
          <w:rtl/>
        </w:rPr>
        <w:t>9-10.</w:t>
      </w:r>
      <w:r w:rsidRPr="00FB7BE0">
        <w:rPr>
          <w:rFonts w:ascii="David" w:eastAsiaTheme="minorHAnsi" w:cs="David"/>
          <w:color w:val="000000"/>
          <w:sz w:val="24"/>
          <w:szCs w:val="24"/>
          <w:rtl/>
        </w:rPr>
        <w:tab/>
      </w:r>
      <w:r w:rsidRPr="00FB7BE0">
        <w:rPr>
          <w:rFonts w:ascii="David" w:eastAsiaTheme="minorHAnsi" w:cs="David" w:hint="cs"/>
          <w:color w:val="000000"/>
          <w:sz w:val="24"/>
          <w:szCs w:val="24"/>
          <w:rtl/>
        </w:rPr>
        <w:t xml:space="preserve">הוראת המשרד מס' 11.26 – האגף הביטחוני חברתי - ארגון, בסעיפים הדנים בהשמת חיילי </w:t>
      </w:r>
      <w:proofErr w:type="spellStart"/>
      <w:r w:rsidRPr="00FB7BE0">
        <w:rPr>
          <w:rFonts w:ascii="David" w:eastAsiaTheme="minorHAnsi" w:cs="David" w:hint="cs"/>
          <w:color w:val="000000"/>
          <w:sz w:val="24"/>
          <w:szCs w:val="24"/>
          <w:rtl/>
        </w:rPr>
        <w:t>ימ"לים</w:t>
      </w:r>
      <w:proofErr w:type="spellEnd"/>
      <w:r w:rsidRPr="00FB7BE0">
        <w:rPr>
          <w:rFonts w:ascii="David" w:eastAsiaTheme="minorHAnsi" w:cs="David" w:hint="cs"/>
          <w:color w:val="000000"/>
          <w:sz w:val="24"/>
          <w:szCs w:val="24"/>
          <w:rtl/>
        </w:rPr>
        <w:t xml:space="preserve"> שונתה בינואר 2010, ונגרעה ממנה אחריותו הלא רלבנטית של האגף מנושא האחריות לחיילים </w:t>
      </w:r>
      <w:proofErr w:type="spellStart"/>
      <w:r w:rsidRPr="00FB7BE0">
        <w:rPr>
          <w:rFonts w:ascii="David" w:eastAsiaTheme="minorHAnsi" w:cs="David" w:hint="cs"/>
          <w:color w:val="000000"/>
          <w:sz w:val="24"/>
          <w:szCs w:val="24"/>
          <w:rtl/>
        </w:rPr>
        <w:t>בימ"לים</w:t>
      </w:r>
      <w:proofErr w:type="spellEnd"/>
      <w:r w:rsidRPr="00FB7BE0">
        <w:rPr>
          <w:rFonts w:ascii="David" w:eastAsiaTheme="minorHAnsi" w:cs="David" w:hint="cs"/>
          <w:color w:val="000000"/>
          <w:sz w:val="24"/>
          <w:szCs w:val="24"/>
          <w:rtl/>
        </w:rPr>
        <w:t xml:space="preserve">. במקביל עודכנה בפברואר 2010, הוראת המשרד מס' 59.12: "שירות חיילים סדירים בסיוע למשרדי ממשלה וגופים ממשלתיים - תקצוב וגביה", כבר בפברואר 2010, המסדירה את האחריות לגבייה </w:t>
      </w:r>
      <w:r w:rsidRPr="00FB7BE0">
        <w:rPr>
          <w:rFonts w:ascii="David" w:eastAsiaTheme="minorHAnsi" w:cs="David" w:hint="cs"/>
          <w:color w:val="000000"/>
          <w:sz w:val="24"/>
          <w:szCs w:val="24"/>
          <w:rtl/>
        </w:rPr>
        <w:lastRenderedPageBreak/>
        <w:t>ולהתקשרות בין מערכת הביטחון לבין אותם גופים מסתייעים, לרבות הבקרה על תהליכים אלו, בדגש על אחריות: אגף התקציבים, אגף הכספים והיועץ הכלכלי למערכת הביטחון.</w:t>
      </w:r>
    </w:p>
    <w:p w:rsidR="00FB7BE0" w:rsidRPr="00FB7BE0" w:rsidRDefault="00FB7BE0" w:rsidP="00FB7BE0">
      <w:pPr>
        <w:suppressAutoHyphens/>
        <w:autoSpaceDE w:val="0"/>
        <w:autoSpaceDN w:val="0"/>
        <w:adjustRightInd w:val="0"/>
        <w:spacing w:after="0" w:line="288" w:lineRule="auto"/>
        <w:ind w:left="1134"/>
        <w:jc w:val="both"/>
        <w:textAlignment w:val="center"/>
        <w:rPr>
          <w:rFonts w:ascii="David" w:eastAsiaTheme="minorHAnsi" w:cs="David"/>
          <w:color w:val="000000"/>
          <w:sz w:val="24"/>
          <w:szCs w:val="24"/>
          <w:rtl/>
        </w:rPr>
      </w:pPr>
      <w:r w:rsidRPr="00FB7BE0">
        <w:rPr>
          <w:rFonts w:ascii="David" w:eastAsiaTheme="minorHAnsi" w:cs="David" w:hint="cs"/>
          <w:color w:val="000000"/>
          <w:sz w:val="24"/>
          <w:szCs w:val="24"/>
          <w:rtl/>
        </w:rPr>
        <w:t xml:space="preserve">לנושא החתימה החוזית - עניין ההחתמה של גופים מסתייעים אלה, על חוזה העסקה סטנדרטי, מידי חידוש חוזה, נמצאת עדיין על שולחן היועץ המשפטי למערכת הביטחון. עם פרסומה לקראת סוף 2010 היא תהפוך </w:t>
      </w:r>
      <w:proofErr w:type="spellStart"/>
      <w:r w:rsidRPr="00FB7BE0">
        <w:rPr>
          <w:rFonts w:ascii="David" w:eastAsiaTheme="minorHAnsi" w:cs="David" w:hint="cs"/>
          <w:color w:val="000000"/>
          <w:sz w:val="24"/>
          <w:szCs w:val="24"/>
          <w:rtl/>
        </w:rPr>
        <w:t>למיתווה</w:t>
      </w:r>
      <w:proofErr w:type="spellEnd"/>
      <w:r w:rsidRPr="00FB7BE0">
        <w:rPr>
          <w:rFonts w:ascii="David" w:eastAsiaTheme="minorHAnsi" w:cs="David" w:hint="cs"/>
          <w:color w:val="000000"/>
          <w:sz w:val="24"/>
          <w:szCs w:val="24"/>
          <w:rtl/>
        </w:rPr>
        <w:t xml:space="preserve"> החוזי הקבוע עימם. יחד עם זאת, מנגנוני הבקרה לחיוב ולגבייה הכספית בגין השירות, מתקיימים כבר עתה, בבקרת ובאחריות הגופים התקציביים.</w:t>
      </w:r>
    </w:p>
    <w:p w:rsidR="00FB7BE0" w:rsidRPr="00FB7BE0" w:rsidRDefault="00FB7BE0" w:rsidP="00FB7BE0">
      <w:pPr>
        <w:autoSpaceDE w:val="0"/>
        <w:autoSpaceDN w:val="0"/>
        <w:adjustRightInd w:val="0"/>
        <w:spacing w:line="288" w:lineRule="auto"/>
        <w:ind w:left="1134"/>
        <w:jc w:val="both"/>
        <w:textAlignment w:val="center"/>
        <w:rPr>
          <w:rFonts w:ascii="David" w:eastAsiaTheme="minorHAnsi" w:cs="David"/>
          <w:color w:val="000000"/>
          <w:sz w:val="24"/>
          <w:szCs w:val="24"/>
          <w:rtl/>
        </w:rPr>
      </w:pPr>
      <w:r w:rsidRPr="00FB7BE0">
        <w:rPr>
          <w:rFonts w:ascii="David" w:eastAsiaTheme="minorHAnsi" w:cs="David" w:hint="cs"/>
          <w:color w:val="000000"/>
          <w:sz w:val="24"/>
          <w:szCs w:val="24"/>
          <w:rtl/>
        </w:rPr>
        <w:t xml:space="preserve">ראה הערות רה"מ </w:t>
      </w:r>
      <w:proofErr w:type="spellStart"/>
      <w:r w:rsidRPr="00FB7BE0">
        <w:rPr>
          <w:rFonts w:ascii="David" w:eastAsiaTheme="minorHAnsi" w:cs="David" w:hint="cs"/>
          <w:color w:val="000000"/>
          <w:sz w:val="24"/>
          <w:szCs w:val="24"/>
          <w:rtl/>
        </w:rPr>
        <w:t>60א</w:t>
      </w:r>
      <w:proofErr w:type="spellEnd"/>
      <w:r w:rsidRPr="00FB7BE0">
        <w:rPr>
          <w:rFonts w:ascii="David" w:eastAsiaTheme="minorHAnsi" w:cs="David" w:hint="cs"/>
          <w:color w:val="000000"/>
          <w:sz w:val="24"/>
          <w:szCs w:val="24"/>
          <w:rtl/>
        </w:rPr>
        <w:t xml:space="preserve">' </w:t>
      </w:r>
      <w:proofErr w:type="spellStart"/>
      <w:r w:rsidRPr="00FB7BE0">
        <w:rPr>
          <w:rFonts w:ascii="David" w:eastAsiaTheme="minorHAnsi" w:cs="David" w:hint="cs"/>
          <w:color w:val="000000"/>
          <w:sz w:val="24"/>
          <w:szCs w:val="24"/>
          <w:rtl/>
        </w:rPr>
        <w:t>עמ</w:t>
      </w:r>
      <w:proofErr w:type="spellEnd"/>
      <w:r w:rsidRPr="00FB7BE0">
        <w:rPr>
          <w:rFonts w:ascii="David" w:eastAsiaTheme="minorHAnsi" w:cs="David" w:hint="cs"/>
          <w:color w:val="000000"/>
          <w:sz w:val="24"/>
          <w:szCs w:val="24"/>
          <w:rtl/>
        </w:rPr>
        <w:t>' 41.</w:t>
      </w:r>
    </w:p>
    <w:p w:rsidR="00FB7BE0" w:rsidRPr="00FB7BE0" w:rsidRDefault="00FB7BE0" w:rsidP="00FB7BE0">
      <w:pPr>
        <w:tabs>
          <w:tab w:val="left" w:pos="1076"/>
        </w:tabs>
        <w:autoSpaceDE w:val="0"/>
        <w:autoSpaceDN w:val="0"/>
        <w:adjustRightInd w:val="0"/>
        <w:spacing w:line="288" w:lineRule="auto"/>
        <w:ind w:hanging="58"/>
        <w:jc w:val="both"/>
        <w:textAlignment w:val="center"/>
        <w:rPr>
          <w:rFonts w:ascii="David" w:eastAsiaTheme="minorHAnsi" w:cs="David"/>
          <w:b/>
          <w:bCs/>
          <w:color w:val="000000"/>
          <w:szCs w:val="24"/>
          <w:rtl/>
        </w:rPr>
      </w:pPr>
      <w:r w:rsidRPr="00FB7BE0">
        <w:rPr>
          <w:rFonts w:ascii="David" w:eastAsiaTheme="minorHAnsi" w:cs="David" w:hint="cs"/>
          <w:b/>
          <w:bCs/>
          <w:color w:val="000000"/>
          <w:szCs w:val="24"/>
          <w:rtl/>
        </w:rPr>
        <w:t>ליקוי</w:t>
      </w:r>
    </w:p>
    <w:p w:rsidR="00FB7BE0" w:rsidRPr="00FB7BE0" w:rsidRDefault="00FB7BE0" w:rsidP="00FB7BE0">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FB7BE0">
        <w:rPr>
          <w:rFonts w:ascii="David" w:eastAsiaTheme="minorHAnsi" w:cs="David" w:hint="cs"/>
          <w:color w:val="000000"/>
          <w:sz w:val="24"/>
          <w:szCs w:val="24"/>
          <w:rtl/>
        </w:rPr>
        <w:t xml:space="preserve">11. </w:t>
      </w:r>
      <w:r w:rsidRPr="00FB7BE0">
        <w:rPr>
          <w:rFonts w:ascii="David" w:eastAsiaTheme="minorHAnsi" w:cs="David"/>
          <w:color w:val="000000"/>
          <w:sz w:val="24"/>
          <w:szCs w:val="24"/>
          <w:rtl/>
        </w:rPr>
        <w:tab/>
      </w:r>
      <w:r w:rsidRPr="00FB7BE0">
        <w:rPr>
          <w:rFonts w:ascii="David" w:eastAsiaTheme="minorHAnsi" w:cs="David" w:hint="cs"/>
          <w:color w:val="000000"/>
          <w:sz w:val="24"/>
          <w:szCs w:val="24"/>
          <w:rtl/>
        </w:rPr>
        <w:t xml:space="preserve">אי-השלמת עבודת הצוות הבין-משרדי לבחינת השירות מחוץ לסד"כ היא למעשה הנצחת המצב הקיים על מגרעותיו, והתעלמות מהצורך בקביעת המלצות אופרטיביות למיצוי כוח אדם המועבר מצה"ל </w:t>
      </w:r>
      <w:proofErr w:type="spellStart"/>
      <w:r w:rsidRPr="00FB7BE0">
        <w:rPr>
          <w:rFonts w:ascii="David" w:eastAsiaTheme="minorHAnsi" w:cs="David" w:hint="cs"/>
          <w:color w:val="000000"/>
          <w:sz w:val="24"/>
          <w:szCs w:val="24"/>
          <w:rtl/>
        </w:rPr>
        <w:t>לימ"לים</w:t>
      </w:r>
      <w:proofErr w:type="spellEnd"/>
      <w:r w:rsidRPr="00FB7BE0">
        <w:rPr>
          <w:rFonts w:ascii="David" w:eastAsiaTheme="minorHAnsi" w:cs="David" w:hint="cs"/>
          <w:color w:val="000000"/>
          <w:sz w:val="24"/>
          <w:szCs w:val="24"/>
          <w:rtl/>
        </w:rPr>
        <w:t xml:space="preserve">. ראוי שהצוות הבין-משרדי יסיים בהקדם את עבודתו ויגיש המלצותיו לממשלה, תוך תיקון הליקויים שעלו בדוח ביקורת זה. מעבר לכך, על המשרד למלא את תפקידו בכל הנוגע לריכוז הטיפול בהשמת חיילים בשירות חובה </w:t>
      </w:r>
      <w:proofErr w:type="spellStart"/>
      <w:r w:rsidRPr="00FB7BE0">
        <w:rPr>
          <w:rFonts w:ascii="David" w:eastAsiaTheme="minorHAnsi" w:cs="David" w:hint="cs"/>
          <w:color w:val="000000"/>
          <w:sz w:val="24"/>
          <w:szCs w:val="24"/>
          <w:rtl/>
        </w:rPr>
        <w:t>בימ"לים</w:t>
      </w:r>
      <w:proofErr w:type="spellEnd"/>
      <w:r w:rsidRPr="00FB7BE0">
        <w:rPr>
          <w:rFonts w:ascii="David" w:eastAsiaTheme="minorHAnsi" w:cs="David" w:hint="cs"/>
          <w:color w:val="000000"/>
          <w:sz w:val="24"/>
          <w:szCs w:val="24"/>
          <w:rtl/>
        </w:rPr>
        <w:t>.</w:t>
      </w:r>
    </w:p>
    <w:p w:rsidR="00FB7BE0" w:rsidRPr="00FB7BE0" w:rsidRDefault="00FB7BE0" w:rsidP="00FB7BE0">
      <w:pPr>
        <w:autoSpaceDE w:val="0"/>
        <w:autoSpaceDN w:val="0"/>
        <w:adjustRightInd w:val="0"/>
        <w:spacing w:line="288" w:lineRule="auto"/>
        <w:jc w:val="both"/>
        <w:textAlignment w:val="center"/>
        <w:rPr>
          <w:rFonts w:ascii="David" w:eastAsiaTheme="minorHAnsi" w:cs="David"/>
          <w:b/>
          <w:bCs/>
          <w:color w:val="000000"/>
          <w:sz w:val="24"/>
          <w:szCs w:val="24"/>
          <w:rtl/>
        </w:rPr>
      </w:pPr>
      <w:r w:rsidRPr="00FB7BE0">
        <w:rPr>
          <w:rFonts w:ascii="David" w:eastAsiaTheme="minorHAnsi" w:cs="David" w:hint="cs"/>
          <w:b/>
          <w:bCs/>
          <w:color w:val="000000"/>
          <w:sz w:val="24"/>
          <w:szCs w:val="24"/>
          <w:rtl/>
        </w:rPr>
        <w:t>מעקב</w:t>
      </w:r>
    </w:p>
    <w:p w:rsidR="00FB7BE0" w:rsidRPr="00FB7BE0" w:rsidRDefault="00FB7BE0" w:rsidP="00FB7BE0">
      <w:pPr>
        <w:autoSpaceDE w:val="0"/>
        <w:autoSpaceDN w:val="0"/>
        <w:adjustRightInd w:val="0"/>
        <w:spacing w:line="288" w:lineRule="auto"/>
        <w:ind w:left="1134" w:hanging="1134"/>
        <w:jc w:val="both"/>
        <w:textAlignment w:val="center"/>
        <w:rPr>
          <w:rFonts w:ascii="David" w:eastAsiaTheme="minorHAnsi" w:cs="David"/>
          <w:color w:val="000000"/>
          <w:sz w:val="24"/>
          <w:szCs w:val="24"/>
          <w:rtl/>
        </w:rPr>
      </w:pPr>
      <w:r w:rsidRPr="00FB7BE0">
        <w:rPr>
          <w:rFonts w:ascii="David" w:eastAsiaTheme="minorHAnsi" w:cs="David" w:hint="cs"/>
          <w:color w:val="000000"/>
          <w:sz w:val="24"/>
          <w:szCs w:val="24"/>
          <w:rtl/>
        </w:rPr>
        <w:t>11.</w:t>
      </w:r>
      <w:r w:rsidRPr="00FB7BE0">
        <w:rPr>
          <w:rFonts w:ascii="David" w:eastAsiaTheme="minorHAnsi" w:cs="David"/>
          <w:color w:val="000000"/>
          <w:sz w:val="24"/>
          <w:szCs w:val="24"/>
          <w:rtl/>
        </w:rPr>
        <w:tab/>
      </w:r>
      <w:r w:rsidRPr="00FB7BE0">
        <w:rPr>
          <w:rFonts w:ascii="David" w:eastAsiaTheme="minorHAnsi" w:cs="David" w:hint="cs"/>
          <w:color w:val="000000"/>
          <w:sz w:val="24"/>
          <w:szCs w:val="24"/>
          <w:rtl/>
        </w:rPr>
        <w:t>ראה מעקב לליקויים 2-3.</w:t>
      </w:r>
    </w:p>
    <w:p w:rsidR="005B1751" w:rsidRPr="00FB7BE0" w:rsidRDefault="005B1751" w:rsidP="00FB7BE0">
      <w:pPr>
        <w:rPr>
          <w:sz w:val="24"/>
          <w:rtl/>
        </w:rPr>
      </w:pPr>
    </w:p>
    <w:sectPr w:rsidR="005B1751" w:rsidRPr="00FB7BE0" w:rsidSect="00533C7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CE9" w:rsidRDefault="00D01CE9" w:rsidP="008D423A">
      <w:pPr>
        <w:spacing w:after="0" w:line="240" w:lineRule="auto"/>
      </w:pPr>
      <w:r>
        <w:separator/>
      </w:r>
    </w:p>
  </w:endnote>
  <w:endnote w:type="continuationSeparator" w:id="1">
    <w:p w:rsidR="00D01CE9" w:rsidRDefault="00D01CE9" w:rsidP="008D42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CE9" w:rsidRDefault="00D01CE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CE9" w:rsidRDefault="00D01CE9">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CE9" w:rsidRDefault="00D01CE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CE9" w:rsidRDefault="00D01CE9" w:rsidP="008D423A">
      <w:pPr>
        <w:spacing w:after="0" w:line="240" w:lineRule="auto"/>
      </w:pPr>
      <w:r>
        <w:separator/>
      </w:r>
    </w:p>
  </w:footnote>
  <w:footnote w:type="continuationSeparator" w:id="1">
    <w:p w:rsidR="00D01CE9" w:rsidRDefault="00D01CE9" w:rsidP="008D42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CE9" w:rsidRDefault="00D01CE9">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CE9" w:rsidRPr="002A74E8" w:rsidRDefault="00FD5F94" w:rsidP="008D423A">
    <w:pPr>
      <w:pStyle w:val="a3"/>
      <w:tabs>
        <w:tab w:val="clear" w:pos="4153"/>
      </w:tabs>
      <w:ind w:left="84" w:hanging="483"/>
      <w:jc w:val="right"/>
      <w:rPr>
        <w:sz w:val="16"/>
        <w:szCs w:val="16"/>
        <w:rtl/>
      </w:rPr>
    </w:pPr>
    <w:r w:rsidRPr="002A74E8">
      <w:rPr>
        <w:sz w:val="16"/>
        <w:szCs w:val="16"/>
        <w:rtl/>
      </w:rPr>
      <w:fldChar w:fldCharType="begin"/>
    </w:r>
    <w:r w:rsidR="00D01CE9" w:rsidRPr="002A74E8">
      <w:rPr>
        <w:sz w:val="16"/>
        <w:szCs w:val="16"/>
        <w:rtl/>
      </w:rPr>
      <w:instrText xml:space="preserve"> </w:instrText>
    </w:r>
    <w:r w:rsidR="00D01CE9" w:rsidRPr="002A74E8">
      <w:rPr>
        <w:rFonts w:hint="cs"/>
        <w:sz w:val="16"/>
        <w:szCs w:val="16"/>
      </w:rPr>
      <w:instrText>TIME  \@ "HH:mm"  \* MERGEFORMAT</w:instrText>
    </w:r>
    <w:r w:rsidR="00D01CE9" w:rsidRPr="002A74E8">
      <w:rPr>
        <w:sz w:val="16"/>
        <w:szCs w:val="16"/>
        <w:rtl/>
      </w:rPr>
      <w:instrText xml:space="preserve"> </w:instrText>
    </w:r>
    <w:r w:rsidRPr="002A74E8">
      <w:rPr>
        <w:sz w:val="16"/>
        <w:szCs w:val="16"/>
        <w:rtl/>
      </w:rPr>
      <w:fldChar w:fldCharType="separate"/>
    </w:r>
    <w:r w:rsidR="00FB7BE0">
      <w:rPr>
        <w:rFonts w:hint="eastAsia"/>
        <w:noProof/>
        <w:sz w:val="16"/>
        <w:szCs w:val="16"/>
        <w:rtl/>
      </w:rPr>
      <w:t>‏</w:t>
    </w:r>
    <w:r w:rsidR="00FB7BE0">
      <w:rPr>
        <w:noProof/>
        <w:sz w:val="16"/>
        <w:szCs w:val="16"/>
        <w:rtl/>
      </w:rPr>
      <w:t>13:44</w:t>
    </w:r>
    <w:r w:rsidRPr="002A74E8">
      <w:rPr>
        <w:sz w:val="16"/>
        <w:szCs w:val="16"/>
        <w:rtl/>
      </w:rPr>
      <w:fldChar w:fldCharType="end"/>
    </w:r>
    <w:r w:rsidR="00D01CE9" w:rsidRPr="002A74E8">
      <w:rPr>
        <w:rFonts w:hint="cs"/>
        <w:sz w:val="16"/>
        <w:szCs w:val="16"/>
        <w:rtl/>
      </w:rPr>
      <w:t xml:space="preserve">  </w:t>
    </w:r>
    <w:r w:rsidRPr="002A74E8">
      <w:rPr>
        <w:sz w:val="16"/>
        <w:szCs w:val="16"/>
        <w:rtl/>
      </w:rPr>
      <w:fldChar w:fldCharType="begin"/>
    </w:r>
    <w:r w:rsidR="00D01CE9" w:rsidRPr="002A74E8">
      <w:rPr>
        <w:sz w:val="16"/>
        <w:szCs w:val="16"/>
        <w:rtl/>
      </w:rPr>
      <w:instrText xml:space="preserve"> </w:instrText>
    </w:r>
    <w:r w:rsidR="00D01CE9" w:rsidRPr="002A74E8">
      <w:rPr>
        <w:rFonts w:hint="cs"/>
        <w:sz w:val="16"/>
        <w:szCs w:val="16"/>
      </w:rPr>
      <w:instrText>DATE  \@ "yyyy-MM-dd"  \* MERGEFORMAT</w:instrText>
    </w:r>
    <w:r w:rsidR="00D01CE9" w:rsidRPr="002A74E8">
      <w:rPr>
        <w:sz w:val="16"/>
        <w:szCs w:val="16"/>
        <w:rtl/>
      </w:rPr>
      <w:instrText xml:space="preserve"> </w:instrText>
    </w:r>
    <w:r w:rsidRPr="002A74E8">
      <w:rPr>
        <w:sz w:val="16"/>
        <w:szCs w:val="16"/>
        <w:rtl/>
      </w:rPr>
      <w:fldChar w:fldCharType="separate"/>
    </w:r>
    <w:r w:rsidR="00FB7BE0">
      <w:rPr>
        <w:rFonts w:hint="eastAsia"/>
        <w:noProof/>
        <w:sz w:val="16"/>
        <w:szCs w:val="16"/>
        <w:rtl/>
      </w:rPr>
      <w:t>‏</w:t>
    </w:r>
    <w:r w:rsidR="00FB7BE0">
      <w:rPr>
        <w:noProof/>
        <w:sz w:val="16"/>
        <w:szCs w:val="16"/>
        <w:rtl/>
      </w:rPr>
      <w:t>2010–12–12</w:t>
    </w:r>
    <w:r w:rsidRPr="002A74E8">
      <w:rPr>
        <w:sz w:val="16"/>
        <w:szCs w:val="16"/>
        <w:rtl/>
      </w:rPr>
      <w:fldChar w:fldCharType="end"/>
    </w:r>
    <w:r w:rsidR="00D01CE9" w:rsidRPr="002A74E8">
      <w:rPr>
        <w:rFonts w:hint="cs"/>
        <w:sz w:val="16"/>
        <w:szCs w:val="16"/>
        <w:rtl/>
      </w:rPr>
      <w:t xml:space="preserve">   </w:t>
    </w:r>
    <w:fldSimple w:instr=" FILENAME  \* FirstCap \p  \* MERGEFORMAT ">
      <w:r w:rsidR="006E4130" w:rsidRPr="006E4130">
        <w:rPr>
          <w:noProof/>
          <w:sz w:val="16"/>
          <w:szCs w:val="16"/>
        </w:rPr>
        <w:t>L:\</w:t>
      </w:r>
      <w:r w:rsidR="006E4130" w:rsidRPr="006E4130">
        <w:rPr>
          <w:rFonts w:hint="eastAsia"/>
          <w:noProof/>
          <w:sz w:val="16"/>
          <w:szCs w:val="16"/>
          <w:rtl/>
        </w:rPr>
        <w:t>הספר</w:t>
      </w:r>
      <w:r w:rsidR="006E4130" w:rsidRPr="006E4130">
        <w:rPr>
          <w:noProof/>
          <w:sz w:val="16"/>
          <w:szCs w:val="16"/>
          <w:rtl/>
        </w:rPr>
        <w:t xml:space="preserve"> - </w:t>
      </w:r>
      <w:r w:rsidR="006E4130" w:rsidRPr="006E4130">
        <w:rPr>
          <w:rFonts w:hint="eastAsia"/>
          <w:noProof/>
          <w:sz w:val="16"/>
          <w:szCs w:val="16"/>
          <w:rtl/>
        </w:rPr>
        <w:t>מעקבים</w:t>
      </w:r>
      <w:r w:rsidR="006E4130" w:rsidRPr="006E4130">
        <w:rPr>
          <w:noProof/>
          <w:sz w:val="16"/>
          <w:szCs w:val="16"/>
          <w:rtl/>
        </w:rPr>
        <w:t xml:space="preserve"> 60</w:t>
      </w:r>
      <w:r w:rsidR="006E4130" w:rsidRPr="006E4130">
        <w:rPr>
          <w:rFonts w:hint="eastAsia"/>
          <w:noProof/>
          <w:sz w:val="16"/>
          <w:szCs w:val="16"/>
          <w:rtl/>
        </w:rPr>
        <w:t>ב</w:t>
      </w:r>
      <w:r w:rsidR="006E4130" w:rsidRPr="006E4130">
        <w:rPr>
          <w:noProof/>
          <w:sz w:val="16"/>
          <w:szCs w:val="16"/>
          <w:rtl/>
        </w:rPr>
        <w:t>\</w:t>
      </w:r>
      <w:r w:rsidR="006E4130" w:rsidRPr="006E4130">
        <w:rPr>
          <w:rFonts w:hint="eastAsia"/>
          <w:noProof/>
          <w:sz w:val="16"/>
          <w:szCs w:val="16"/>
          <w:rtl/>
        </w:rPr>
        <w:t>עקיבא</w:t>
      </w:r>
      <w:r w:rsidR="006E4130" w:rsidRPr="006E4130">
        <w:rPr>
          <w:noProof/>
          <w:sz w:val="16"/>
          <w:szCs w:val="16"/>
          <w:rtl/>
        </w:rPr>
        <w:t>\</w:t>
      </w:r>
      <w:r w:rsidR="006E4130" w:rsidRPr="006E4130">
        <w:rPr>
          <w:rFonts w:hint="eastAsia"/>
          <w:noProof/>
          <w:sz w:val="16"/>
          <w:szCs w:val="16"/>
          <w:rtl/>
        </w:rPr>
        <w:t>מערכת</w:t>
      </w:r>
      <w:r w:rsidR="006E4130" w:rsidRPr="006E4130">
        <w:rPr>
          <w:noProof/>
          <w:sz w:val="16"/>
          <w:szCs w:val="16"/>
          <w:rtl/>
        </w:rPr>
        <w:t xml:space="preserve"> </w:t>
      </w:r>
      <w:r w:rsidR="006E4130" w:rsidRPr="006E4130">
        <w:rPr>
          <w:rFonts w:hint="eastAsia"/>
          <w:noProof/>
          <w:sz w:val="16"/>
          <w:szCs w:val="16"/>
          <w:rtl/>
        </w:rPr>
        <w:t>הביטחון</w:t>
      </w:r>
      <w:r w:rsidR="006E4130" w:rsidRPr="006E4130">
        <w:rPr>
          <w:noProof/>
          <w:sz w:val="16"/>
          <w:szCs w:val="16"/>
          <w:rtl/>
        </w:rPr>
        <w:t>\60</w:t>
      </w:r>
      <w:r w:rsidR="006E4130" w:rsidRPr="006E4130">
        <w:rPr>
          <w:rFonts w:hint="eastAsia"/>
          <w:noProof/>
          <w:sz w:val="16"/>
          <w:szCs w:val="16"/>
          <w:rtl/>
        </w:rPr>
        <w:t>א</w:t>
      </w:r>
      <w:r w:rsidR="006E4130" w:rsidRPr="006E4130">
        <w:rPr>
          <w:noProof/>
          <w:sz w:val="16"/>
          <w:szCs w:val="16"/>
          <w:rtl/>
        </w:rPr>
        <w:t>\</w:t>
      </w:r>
      <w:r w:rsidR="006E4130" w:rsidRPr="006E4130">
        <w:rPr>
          <w:rFonts w:hint="eastAsia"/>
          <w:noProof/>
          <w:sz w:val="16"/>
          <w:szCs w:val="16"/>
          <w:rtl/>
        </w:rPr>
        <w:t>שירות</w:t>
      </w:r>
      <w:r w:rsidR="006E4130" w:rsidRPr="006E4130">
        <w:rPr>
          <w:noProof/>
          <w:sz w:val="16"/>
          <w:szCs w:val="16"/>
          <w:rtl/>
        </w:rPr>
        <w:t xml:space="preserve"> </w:t>
      </w:r>
      <w:r w:rsidR="006E4130" w:rsidRPr="006E4130">
        <w:rPr>
          <w:rFonts w:hint="eastAsia"/>
          <w:noProof/>
          <w:sz w:val="16"/>
          <w:szCs w:val="16"/>
          <w:rtl/>
        </w:rPr>
        <w:t>חיילי</w:t>
      </w:r>
      <w:r w:rsidR="006E4130" w:rsidRPr="006E4130">
        <w:rPr>
          <w:noProof/>
          <w:sz w:val="16"/>
          <w:szCs w:val="16"/>
          <w:rtl/>
        </w:rPr>
        <w:t xml:space="preserve"> </w:t>
      </w:r>
      <w:r w:rsidR="006E4130" w:rsidRPr="006E4130">
        <w:rPr>
          <w:rFonts w:hint="eastAsia"/>
          <w:noProof/>
          <w:sz w:val="16"/>
          <w:szCs w:val="16"/>
          <w:rtl/>
        </w:rPr>
        <w:t>חובה</w:t>
      </w:r>
      <w:r w:rsidR="006E4130" w:rsidRPr="006E4130">
        <w:rPr>
          <w:noProof/>
          <w:sz w:val="16"/>
          <w:szCs w:val="16"/>
          <w:rtl/>
        </w:rPr>
        <w:t xml:space="preserve"> </w:t>
      </w:r>
      <w:r w:rsidR="006E4130" w:rsidRPr="006E4130">
        <w:rPr>
          <w:rFonts w:hint="eastAsia"/>
          <w:noProof/>
          <w:sz w:val="16"/>
          <w:szCs w:val="16"/>
          <w:rtl/>
        </w:rPr>
        <w:t>מחוץ</w:t>
      </w:r>
      <w:r w:rsidR="006E4130" w:rsidRPr="006E4130">
        <w:rPr>
          <w:noProof/>
          <w:sz w:val="16"/>
          <w:szCs w:val="16"/>
          <w:rtl/>
        </w:rPr>
        <w:t xml:space="preserve"> </w:t>
      </w:r>
      <w:r w:rsidR="006E4130" w:rsidRPr="006E4130">
        <w:rPr>
          <w:rFonts w:hint="eastAsia"/>
          <w:noProof/>
          <w:sz w:val="16"/>
          <w:szCs w:val="16"/>
          <w:rtl/>
        </w:rPr>
        <w:t>ליחידות</w:t>
      </w:r>
      <w:r w:rsidR="006E4130" w:rsidRPr="006E4130">
        <w:rPr>
          <w:noProof/>
          <w:sz w:val="16"/>
          <w:szCs w:val="16"/>
          <w:rtl/>
        </w:rPr>
        <w:t xml:space="preserve"> </w:t>
      </w:r>
      <w:r w:rsidR="006E4130" w:rsidRPr="006E4130">
        <w:rPr>
          <w:rFonts w:hint="eastAsia"/>
          <w:noProof/>
          <w:sz w:val="16"/>
          <w:szCs w:val="16"/>
          <w:rtl/>
        </w:rPr>
        <w:t>צהל</w:t>
      </w:r>
      <w:r w:rsidR="006E4130" w:rsidRPr="006E4130">
        <w:rPr>
          <w:noProof/>
          <w:sz w:val="16"/>
          <w:szCs w:val="16"/>
        </w:rPr>
        <w:t>.docx</w:t>
      </w:r>
    </w:fldSimple>
    <w:r w:rsidR="00D01CE9" w:rsidRPr="002A74E8">
      <w:rPr>
        <w:rFonts w:hint="cs"/>
        <w:sz w:val="16"/>
        <w:szCs w:val="16"/>
        <w:rtl/>
      </w:rPr>
      <w:t xml:space="preserve">    -</w:t>
    </w:r>
    <w:r w:rsidRPr="002A74E8">
      <w:rPr>
        <w:sz w:val="16"/>
        <w:szCs w:val="16"/>
        <w:rtl/>
      </w:rPr>
      <w:fldChar w:fldCharType="begin"/>
    </w:r>
    <w:r w:rsidR="00D01CE9" w:rsidRPr="002A74E8">
      <w:rPr>
        <w:sz w:val="16"/>
        <w:szCs w:val="16"/>
        <w:rtl/>
      </w:rPr>
      <w:instrText xml:space="preserve"> </w:instrText>
    </w:r>
    <w:r w:rsidR="00D01CE9" w:rsidRPr="002A74E8">
      <w:rPr>
        <w:sz w:val="16"/>
        <w:szCs w:val="16"/>
      </w:rPr>
      <w:instrText>PAGE   \* MERGEFORMAT</w:instrText>
    </w:r>
    <w:r w:rsidR="00D01CE9" w:rsidRPr="002A74E8">
      <w:rPr>
        <w:sz w:val="16"/>
        <w:szCs w:val="16"/>
        <w:rtl/>
      </w:rPr>
      <w:instrText xml:space="preserve"> </w:instrText>
    </w:r>
    <w:r w:rsidRPr="002A74E8">
      <w:rPr>
        <w:sz w:val="16"/>
        <w:szCs w:val="16"/>
        <w:rtl/>
      </w:rPr>
      <w:fldChar w:fldCharType="separate"/>
    </w:r>
    <w:r w:rsidR="00FB7BE0">
      <w:rPr>
        <w:noProof/>
        <w:sz w:val="16"/>
        <w:szCs w:val="16"/>
        <w:rtl/>
      </w:rPr>
      <w:t>3</w:t>
    </w:r>
    <w:r w:rsidRPr="002A74E8">
      <w:rPr>
        <w:sz w:val="16"/>
        <w:szCs w:val="16"/>
        <w:rtl/>
      </w:rPr>
      <w:fldChar w:fldCharType="end"/>
    </w:r>
    <w:r w:rsidR="00D01CE9" w:rsidRPr="002A74E8">
      <w:rPr>
        <w:rFonts w:hint="cs"/>
        <w:sz w:val="16"/>
        <w:szCs w:val="16"/>
        <w:rtl/>
      </w:rPr>
      <w:t>-</w:t>
    </w:r>
  </w:p>
  <w:p w:rsidR="00D01CE9" w:rsidRPr="00B90376" w:rsidRDefault="00D01CE9" w:rsidP="008D423A">
    <w:pPr>
      <w:tabs>
        <w:tab w:val="left" w:pos="1316"/>
        <w:tab w:val="center" w:pos="4153"/>
      </w:tabs>
      <w:ind w:hanging="483"/>
      <w:rPr>
        <w:rFonts w:cs="David"/>
        <w:sz w:val="18"/>
        <w:szCs w:val="18"/>
        <w:u w:val="single"/>
        <w:rtl/>
      </w:rPr>
    </w:pPr>
    <w:r w:rsidRPr="00B90376">
      <w:rPr>
        <w:rFonts w:cs="David" w:hint="cs"/>
        <w:sz w:val="18"/>
        <w:szCs w:val="18"/>
        <w:u w:val="single"/>
        <w:rtl/>
      </w:rPr>
      <w:t>מעקב אחר תיקון ליקויים, אגף המפקח הכללי  לענייני ביקורת המדינה                                                                                מערכת הביטחון</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CE9" w:rsidRDefault="00D01CE9">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E4A"/>
    <w:multiLevelType w:val="hybridMultilevel"/>
    <w:tmpl w:val="05F86B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0432AF"/>
    <w:multiLevelType w:val="hybridMultilevel"/>
    <w:tmpl w:val="C2C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774C3"/>
    <w:multiLevelType w:val="hybridMultilevel"/>
    <w:tmpl w:val="8A18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670AA"/>
    <w:multiLevelType w:val="hybridMultilevel"/>
    <w:tmpl w:val="4AD42CAE"/>
    <w:lvl w:ilvl="0" w:tplc="0409000F">
      <w:start w:val="11"/>
      <w:numFmt w:val="decimal"/>
      <w:lvlText w:val="%1."/>
      <w:lvlJc w:val="left"/>
      <w:pPr>
        <w:tabs>
          <w:tab w:val="num" w:pos="1854"/>
        </w:tabs>
        <w:ind w:left="1854" w:hanging="360"/>
      </w:pPr>
      <w:rPr>
        <w:rFonts w:cs="Times New Roman" w:hint="default"/>
      </w:rPr>
    </w:lvl>
    <w:lvl w:ilvl="1" w:tplc="04090019" w:tentative="1">
      <w:start w:val="1"/>
      <w:numFmt w:val="lowerLetter"/>
      <w:lvlText w:val="%2."/>
      <w:lvlJc w:val="left"/>
      <w:pPr>
        <w:tabs>
          <w:tab w:val="num" w:pos="2574"/>
        </w:tabs>
        <w:ind w:left="2574" w:hanging="360"/>
      </w:pPr>
      <w:rPr>
        <w:rFonts w:cs="Times New Roman"/>
      </w:rPr>
    </w:lvl>
    <w:lvl w:ilvl="2" w:tplc="0409001B" w:tentative="1">
      <w:start w:val="1"/>
      <w:numFmt w:val="lowerRoman"/>
      <w:lvlText w:val="%3."/>
      <w:lvlJc w:val="right"/>
      <w:pPr>
        <w:tabs>
          <w:tab w:val="num" w:pos="3294"/>
        </w:tabs>
        <w:ind w:left="3294" w:hanging="180"/>
      </w:pPr>
      <w:rPr>
        <w:rFonts w:cs="Times New Roman"/>
      </w:rPr>
    </w:lvl>
    <w:lvl w:ilvl="3" w:tplc="0409000F" w:tentative="1">
      <w:start w:val="1"/>
      <w:numFmt w:val="decimal"/>
      <w:lvlText w:val="%4."/>
      <w:lvlJc w:val="left"/>
      <w:pPr>
        <w:tabs>
          <w:tab w:val="num" w:pos="4014"/>
        </w:tabs>
        <w:ind w:left="4014" w:hanging="360"/>
      </w:pPr>
      <w:rPr>
        <w:rFonts w:cs="Times New Roman"/>
      </w:rPr>
    </w:lvl>
    <w:lvl w:ilvl="4" w:tplc="04090019" w:tentative="1">
      <w:start w:val="1"/>
      <w:numFmt w:val="lowerLetter"/>
      <w:lvlText w:val="%5."/>
      <w:lvlJc w:val="left"/>
      <w:pPr>
        <w:tabs>
          <w:tab w:val="num" w:pos="4734"/>
        </w:tabs>
        <w:ind w:left="4734" w:hanging="360"/>
      </w:pPr>
      <w:rPr>
        <w:rFonts w:cs="Times New Roman"/>
      </w:rPr>
    </w:lvl>
    <w:lvl w:ilvl="5" w:tplc="0409001B" w:tentative="1">
      <w:start w:val="1"/>
      <w:numFmt w:val="lowerRoman"/>
      <w:lvlText w:val="%6."/>
      <w:lvlJc w:val="right"/>
      <w:pPr>
        <w:tabs>
          <w:tab w:val="num" w:pos="5454"/>
        </w:tabs>
        <w:ind w:left="5454" w:hanging="180"/>
      </w:pPr>
      <w:rPr>
        <w:rFonts w:cs="Times New Roman"/>
      </w:rPr>
    </w:lvl>
    <w:lvl w:ilvl="6" w:tplc="0409000F" w:tentative="1">
      <w:start w:val="1"/>
      <w:numFmt w:val="decimal"/>
      <w:lvlText w:val="%7."/>
      <w:lvlJc w:val="left"/>
      <w:pPr>
        <w:tabs>
          <w:tab w:val="num" w:pos="6174"/>
        </w:tabs>
        <w:ind w:left="6174" w:hanging="360"/>
      </w:pPr>
      <w:rPr>
        <w:rFonts w:cs="Times New Roman"/>
      </w:rPr>
    </w:lvl>
    <w:lvl w:ilvl="7" w:tplc="04090019" w:tentative="1">
      <w:start w:val="1"/>
      <w:numFmt w:val="lowerLetter"/>
      <w:lvlText w:val="%8."/>
      <w:lvlJc w:val="left"/>
      <w:pPr>
        <w:tabs>
          <w:tab w:val="num" w:pos="6894"/>
        </w:tabs>
        <w:ind w:left="6894" w:hanging="360"/>
      </w:pPr>
      <w:rPr>
        <w:rFonts w:cs="Times New Roman"/>
      </w:rPr>
    </w:lvl>
    <w:lvl w:ilvl="8" w:tplc="0409001B" w:tentative="1">
      <w:start w:val="1"/>
      <w:numFmt w:val="lowerRoman"/>
      <w:lvlText w:val="%9."/>
      <w:lvlJc w:val="right"/>
      <w:pPr>
        <w:tabs>
          <w:tab w:val="num" w:pos="7614"/>
        </w:tabs>
        <w:ind w:left="7614" w:hanging="180"/>
      </w:pPr>
      <w:rPr>
        <w:rFonts w:cs="Times New Roman"/>
      </w:rPr>
    </w:lvl>
  </w:abstractNum>
  <w:abstractNum w:abstractNumId="4">
    <w:nsid w:val="21533809"/>
    <w:multiLevelType w:val="hybridMultilevel"/>
    <w:tmpl w:val="338AB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0C4208"/>
    <w:multiLevelType w:val="hybridMultilevel"/>
    <w:tmpl w:val="3DA8BE52"/>
    <w:lvl w:ilvl="0" w:tplc="08A02E72">
      <w:start w:val="1"/>
      <w:numFmt w:val="decimal"/>
      <w:lvlText w:val="%1."/>
      <w:lvlJc w:val="left"/>
      <w:pPr>
        <w:ind w:left="1350" w:hanging="99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6A0717D"/>
    <w:multiLevelType w:val="hybridMultilevel"/>
    <w:tmpl w:val="51D003B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F45B2"/>
    <w:multiLevelType w:val="hybridMultilevel"/>
    <w:tmpl w:val="E794CE5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7D20E85"/>
    <w:multiLevelType w:val="hybridMultilevel"/>
    <w:tmpl w:val="2F3682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7810736"/>
    <w:multiLevelType w:val="hybridMultilevel"/>
    <w:tmpl w:val="75D4C6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97E5B54"/>
    <w:multiLevelType w:val="hybridMultilevel"/>
    <w:tmpl w:val="FA02B5FE"/>
    <w:lvl w:ilvl="0" w:tplc="8B7EDBB8">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710015D"/>
    <w:multiLevelType w:val="hybridMultilevel"/>
    <w:tmpl w:val="86F261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11"/>
  </w:num>
  <w:num w:numId="4">
    <w:abstractNumId w:val="5"/>
  </w:num>
  <w:num w:numId="5">
    <w:abstractNumId w:val="9"/>
  </w:num>
  <w:num w:numId="6">
    <w:abstractNumId w:val="7"/>
  </w:num>
  <w:num w:numId="7">
    <w:abstractNumId w:val="0"/>
  </w:num>
  <w:num w:numId="8">
    <w:abstractNumId w:val="10"/>
  </w:num>
  <w:num w:numId="9">
    <w:abstractNumId w:val="3"/>
  </w:num>
  <w:num w:numId="10">
    <w:abstractNumId w:val="8"/>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8D423A"/>
    <w:rsid w:val="00000243"/>
    <w:rsid w:val="00000739"/>
    <w:rsid w:val="00003824"/>
    <w:rsid w:val="00027667"/>
    <w:rsid w:val="00043D5A"/>
    <w:rsid w:val="00044FC2"/>
    <w:rsid w:val="000510D6"/>
    <w:rsid w:val="00073FA9"/>
    <w:rsid w:val="00082BAA"/>
    <w:rsid w:val="00087487"/>
    <w:rsid w:val="000B2B5D"/>
    <w:rsid w:val="000C2368"/>
    <w:rsid w:val="000C4E8F"/>
    <w:rsid w:val="000D0FB7"/>
    <w:rsid w:val="000D160F"/>
    <w:rsid w:val="001000F7"/>
    <w:rsid w:val="00102332"/>
    <w:rsid w:val="001050B8"/>
    <w:rsid w:val="001057BF"/>
    <w:rsid w:val="00114DC0"/>
    <w:rsid w:val="00117077"/>
    <w:rsid w:val="00120484"/>
    <w:rsid w:val="00121C7C"/>
    <w:rsid w:val="0014223F"/>
    <w:rsid w:val="00146367"/>
    <w:rsid w:val="00150C10"/>
    <w:rsid w:val="001641DB"/>
    <w:rsid w:val="00165F1F"/>
    <w:rsid w:val="00192663"/>
    <w:rsid w:val="001A616D"/>
    <w:rsid w:val="001C723E"/>
    <w:rsid w:val="001D2CC6"/>
    <w:rsid w:val="001E5006"/>
    <w:rsid w:val="001E6A43"/>
    <w:rsid w:val="00232852"/>
    <w:rsid w:val="00237AB5"/>
    <w:rsid w:val="002536BD"/>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13FB1"/>
    <w:rsid w:val="003176A4"/>
    <w:rsid w:val="0033198C"/>
    <w:rsid w:val="003344B0"/>
    <w:rsid w:val="00345937"/>
    <w:rsid w:val="00354067"/>
    <w:rsid w:val="00360A13"/>
    <w:rsid w:val="00377C35"/>
    <w:rsid w:val="003A6D84"/>
    <w:rsid w:val="003A7C4A"/>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917AA"/>
    <w:rsid w:val="004A255F"/>
    <w:rsid w:val="004B0F0E"/>
    <w:rsid w:val="004B1C7B"/>
    <w:rsid w:val="004C1C19"/>
    <w:rsid w:val="004C7217"/>
    <w:rsid w:val="004E075B"/>
    <w:rsid w:val="004E46A0"/>
    <w:rsid w:val="004F2791"/>
    <w:rsid w:val="00510929"/>
    <w:rsid w:val="005139D8"/>
    <w:rsid w:val="00514843"/>
    <w:rsid w:val="0051514A"/>
    <w:rsid w:val="005219B4"/>
    <w:rsid w:val="00533C78"/>
    <w:rsid w:val="00537BD2"/>
    <w:rsid w:val="00547425"/>
    <w:rsid w:val="0055111F"/>
    <w:rsid w:val="00563607"/>
    <w:rsid w:val="005700B7"/>
    <w:rsid w:val="005A548B"/>
    <w:rsid w:val="005A6E05"/>
    <w:rsid w:val="005B1751"/>
    <w:rsid w:val="005D57C1"/>
    <w:rsid w:val="0060499E"/>
    <w:rsid w:val="00606B34"/>
    <w:rsid w:val="00606CCF"/>
    <w:rsid w:val="00624861"/>
    <w:rsid w:val="00632551"/>
    <w:rsid w:val="00642830"/>
    <w:rsid w:val="00646F69"/>
    <w:rsid w:val="006643DF"/>
    <w:rsid w:val="006653A5"/>
    <w:rsid w:val="0067780E"/>
    <w:rsid w:val="006807A6"/>
    <w:rsid w:val="0068529A"/>
    <w:rsid w:val="006942D9"/>
    <w:rsid w:val="006A67BA"/>
    <w:rsid w:val="006E0566"/>
    <w:rsid w:val="006E4130"/>
    <w:rsid w:val="006E7ED9"/>
    <w:rsid w:val="0073050A"/>
    <w:rsid w:val="00733D53"/>
    <w:rsid w:val="00746187"/>
    <w:rsid w:val="00753962"/>
    <w:rsid w:val="007629F8"/>
    <w:rsid w:val="00762B5D"/>
    <w:rsid w:val="00766FA1"/>
    <w:rsid w:val="00772A72"/>
    <w:rsid w:val="007736D0"/>
    <w:rsid w:val="007827A7"/>
    <w:rsid w:val="00783E86"/>
    <w:rsid w:val="00787AB8"/>
    <w:rsid w:val="007B0C4D"/>
    <w:rsid w:val="007B4AAF"/>
    <w:rsid w:val="007D1079"/>
    <w:rsid w:val="007F7109"/>
    <w:rsid w:val="00810E64"/>
    <w:rsid w:val="0081406C"/>
    <w:rsid w:val="00817201"/>
    <w:rsid w:val="00867F44"/>
    <w:rsid w:val="0088076B"/>
    <w:rsid w:val="008A1154"/>
    <w:rsid w:val="008A60DD"/>
    <w:rsid w:val="008B1C1D"/>
    <w:rsid w:val="008B5502"/>
    <w:rsid w:val="008B5AD7"/>
    <w:rsid w:val="008D423A"/>
    <w:rsid w:val="008D6336"/>
    <w:rsid w:val="008E5B15"/>
    <w:rsid w:val="009021C2"/>
    <w:rsid w:val="00917859"/>
    <w:rsid w:val="00922D8C"/>
    <w:rsid w:val="009409FE"/>
    <w:rsid w:val="00963FFB"/>
    <w:rsid w:val="00973104"/>
    <w:rsid w:val="00984194"/>
    <w:rsid w:val="00993D03"/>
    <w:rsid w:val="00996DB6"/>
    <w:rsid w:val="009A62C4"/>
    <w:rsid w:val="009B1770"/>
    <w:rsid w:val="009D1CC5"/>
    <w:rsid w:val="009D6F86"/>
    <w:rsid w:val="009E5072"/>
    <w:rsid w:val="009E6EFD"/>
    <w:rsid w:val="009E732F"/>
    <w:rsid w:val="00A020E1"/>
    <w:rsid w:val="00A05A4D"/>
    <w:rsid w:val="00A12DB5"/>
    <w:rsid w:val="00A24D18"/>
    <w:rsid w:val="00A50ADE"/>
    <w:rsid w:val="00A51DC7"/>
    <w:rsid w:val="00A54704"/>
    <w:rsid w:val="00A6715C"/>
    <w:rsid w:val="00A67167"/>
    <w:rsid w:val="00A730BC"/>
    <w:rsid w:val="00A73AE3"/>
    <w:rsid w:val="00A811C8"/>
    <w:rsid w:val="00AA1EBD"/>
    <w:rsid w:val="00AC02A2"/>
    <w:rsid w:val="00AC3E47"/>
    <w:rsid w:val="00AF66AA"/>
    <w:rsid w:val="00AF6B4D"/>
    <w:rsid w:val="00AF7804"/>
    <w:rsid w:val="00B00D9A"/>
    <w:rsid w:val="00B16BE4"/>
    <w:rsid w:val="00B24388"/>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BE132C"/>
    <w:rsid w:val="00BE3CFC"/>
    <w:rsid w:val="00C038DE"/>
    <w:rsid w:val="00C03A0E"/>
    <w:rsid w:val="00C3301D"/>
    <w:rsid w:val="00C34195"/>
    <w:rsid w:val="00C366AF"/>
    <w:rsid w:val="00C370A0"/>
    <w:rsid w:val="00C41FFA"/>
    <w:rsid w:val="00C51C1D"/>
    <w:rsid w:val="00C6659C"/>
    <w:rsid w:val="00C723C0"/>
    <w:rsid w:val="00C90B63"/>
    <w:rsid w:val="00CA2206"/>
    <w:rsid w:val="00CB6CA1"/>
    <w:rsid w:val="00CC3E2F"/>
    <w:rsid w:val="00CC683F"/>
    <w:rsid w:val="00CE2D49"/>
    <w:rsid w:val="00D01CE9"/>
    <w:rsid w:val="00D02568"/>
    <w:rsid w:val="00D038BA"/>
    <w:rsid w:val="00D04CE8"/>
    <w:rsid w:val="00D20800"/>
    <w:rsid w:val="00D37D9E"/>
    <w:rsid w:val="00D57A3C"/>
    <w:rsid w:val="00D66429"/>
    <w:rsid w:val="00D8517D"/>
    <w:rsid w:val="00DA0DCD"/>
    <w:rsid w:val="00DA74D9"/>
    <w:rsid w:val="00DC0772"/>
    <w:rsid w:val="00DE169C"/>
    <w:rsid w:val="00DF2B24"/>
    <w:rsid w:val="00E12867"/>
    <w:rsid w:val="00E20A2E"/>
    <w:rsid w:val="00E25D97"/>
    <w:rsid w:val="00E314A0"/>
    <w:rsid w:val="00E368B6"/>
    <w:rsid w:val="00E4475C"/>
    <w:rsid w:val="00E47FEC"/>
    <w:rsid w:val="00E54BFD"/>
    <w:rsid w:val="00E64E00"/>
    <w:rsid w:val="00E667E9"/>
    <w:rsid w:val="00E67FFC"/>
    <w:rsid w:val="00E728AF"/>
    <w:rsid w:val="00E742D8"/>
    <w:rsid w:val="00E77641"/>
    <w:rsid w:val="00E84B36"/>
    <w:rsid w:val="00E92150"/>
    <w:rsid w:val="00E92381"/>
    <w:rsid w:val="00EA14C1"/>
    <w:rsid w:val="00EC33CF"/>
    <w:rsid w:val="00EF3EE3"/>
    <w:rsid w:val="00EF6F1E"/>
    <w:rsid w:val="00F17E20"/>
    <w:rsid w:val="00F24A00"/>
    <w:rsid w:val="00F471BF"/>
    <w:rsid w:val="00F532A4"/>
    <w:rsid w:val="00F53CF2"/>
    <w:rsid w:val="00F61368"/>
    <w:rsid w:val="00F61BE5"/>
    <w:rsid w:val="00F73C50"/>
    <w:rsid w:val="00F76F5F"/>
    <w:rsid w:val="00F80D9F"/>
    <w:rsid w:val="00F82663"/>
    <w:rsid w:val="00F95696"/>
    <w:rsid w:val="00FA7550"/>
    <w:rsid w:val="00FB2C23"/>
    <w:rsid w:val="00FB4B1B"/>
    <w:rsid w:val="00FB7BE0"/>
    <w:rsid w:val="00FC5AE5"/>
    <w:rsid w:val="00FC5FDB"/>
    <w:rsid w:val="00FD5F94"/>
    <w:rsid w:val="00FD755B"/>
    <w:rsid w:val="00FE29FE"/>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29FE"/>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FE29FE"/>
    <w:pPr>
      <w:keepNext/>
      <w:spacing w:before="240" w:after="60" w:line="240" w:lineRule="auto"/>
      <w:outlineLvl w:val="0"/>
    </w:pPr>
    <w:rPr>
      <w:rFonts w:ascii="Cambria" w:eastAsia="Calibri" w:hAnsi="Cambria" w:cs="Times New Roman"/>
      <w:b/>
      <w:bCs/>
      <w:kern w:val="32"/>
      <w:sz w:val="32"/>
      <w:szCs w:val="32"/>
    </w:rPr>
  </w:style>
  <w:style w:type="paragraph" w:styleId="2">
    <w:name w:val="heading 2"/>
    <w:basedOn w:val="a"/>
    <w:next w:val="a"/>
    <w:link w:val="20"/>
    <w:qFormat/>
    <w:rsid w:val="00FE29FE"/>
    <w:pPr>
      <w:keepNext/>
      <w:spacing w:before="240" w:after="60" w:line="240" w:lineRule="auto"/>
      <w:outlineLvl w:val="1"/>
    </w:pPr>
    <w:rPr>
      <w:rFonts w:ascii="Cambria" w:eastAsia="Calibri" w:hAnsi="Cambria" w:cs="Times New Roman"/>
      <w:b/>
      <w:bCs/>
      <w:i/>
      <w:iCs/>
      <w:sz w:val="28"/>
      <w:szCs w:val="28"/>
    </w:rPr>
  </w:style>
  <w:style w:type="paragraph" w:styleId="3">
    <w:name w:val="heading 3"/>
    <w:basedOn w:val="a"/>
    <w:next w:val="a"/>
    <w:link w:val="30"/>
    <w:qFormat/>
    <w:rsid w:val="00FE29FE"/>
    <w:pPr>
      <w:keepNext/>
      <w:bidi w:val="0"/>
      <w:spacing w:before="240" w:after="60" w:line="240" w:lineRule="auto"/>
      <w:outlineLvl w:val="2"/>
    </w:pPr>
    <w:rPr>
      <w:rFonts w:ascii="Cambria" w:eastAsia="Calibri" w:hAnsi="Cambria" w:cs="Times New Roman"/>
      <w:b/>
      <w:bCs/>
      <w:sz w:val="26"/>
      <w:szCs w:val="26"/>
    </w:rPr>
  </w:style>
  <w:style w:type="paragraph" w:styleId="4">
    <w:name w:val="heading 4"/>
    <w:basedOn w:val="a"/>
    <w:next w:val="a"/>
    <w:link w:val="40"/>
    <w:qFormat/>
    <w:rsid w:val="00FE29FE"/>
    <w:pPr>
      <w:keepNext/>
      <w:bidi w:val="0"/>
      <w:spacing w:before="240" w:after="60" w:line="240" w:lineRule="auto"/>
      <w:outlineLvl w:val="3"/>
    </w:pPr>
    <w:rPr>
      <w:rFonts w:eastAsia="Calibri" w:cs="Times New Roman"/>
      <w:b/>
      <w:bCs/>
      <w:sz w:val="28"/>
      <w:szCs w:val="28"/>
    </w:rPr>
  </w:style>
  <w:style w:type="paragraph" w:styleId="5">
    <w:name w:val="heading 5"/>
    <w:basedOn w:val="a"/>
    <w:next w:val="a"/>
    <w:link w:val="50"/>
    <w:qFormat/>
    <w:rsid w:val="00FE29FE"/>
    <w:pPr>
      <w:bidi w:val="0"/>
      <w:spacing w:before="240" w:after="60" w:line="240" w:lineRule="auto"/>
      <w:outlineLvl w:val="4"/>
    </w:pPr>
    <w:rPr>
      <w:rFonts w:eastAsia="Calibri" w:cs="Times New Roman"/>
      <w:b/>
      <w:bCs/>
      <w:i/>
      <w:iCs/>
      <w:sz w:val="26"/>
      <w:szCs w:val="26"/>
    </w:rPr>
  </w:style>
  <w:style w:type="paragraph" w:styleId="6">
    <w:name w:val="heading 6"/>
    <w:basedOn w:val="a"/>
    <w:next w:val="a"/>
    <w:link w:val="60"/>
    <w:qFormat/>
    <w:rsid w:val="00FE29FE"/>
    <w:pPr>
      <w:bidi w:val="0"/>
      <w:spacing w:before="240" w:after="60" w:line="240" w:lineRule="auto"/>
      <w:outlineLvl w:val="5"/>
    </w:pPr>
    <w:rPr>
      <w:rFonts w:eastAsia="Calibri" w:cs="Times New Roman"/>
      <w:b/>
      <w:bCs/>
    </w:rPr>
  </w:style>
  <w:style w:type="paragraph" w:styleId="7">
    <w:name w:val="heading 7"/>
    <w:basedOn w:val="a"/>
    <w:next w:val="a"/>
    <w:link w:val="70"/>
    <w:qFormat/>
    <w:rsid w:val="00FE29FE"/>
    <w:pPr>
      <w:bidi w:val="0"/>
      <w:spacing w:before="240" w:after="60" w:line="240" w:lineRule="auto"/>
      <w:outlineLvl w:val="6"/>
    </w:pPr>
    <w:rPr>
      <w:rFonts w:eastAsia="Calibri" w:cs="Times New Roman"/>
      <w:sz w:val="24"/>
      <w:szCs w:val="24"/>
    </w:rPr>
  </w:style>
  <w:style w:type="paragraph" w:styleId="8">
    <w:name w:val="heading 8"/>
    <w:basedOn w:val="a"/>
    <w:next w:val="a"/>
    <w:link w:val="80"/>
    <w:qFormat/>
    <w:rsid w:val="00FE29FE"/>
    <w:pPr>
      <w:bidi w:val="0"/>
      <w:spacing w:before="240" w:after="60" w:line="240" w:lineRule="auto"/>
      <w:outlineLvl w:val="7"/>
    </w:pPr>
    <w:rPr>
      <w:rFonts w:eastAsia="Calibri" w:cs="Times New Roman"/>
      <w:i/>
      <w:iCs/>
      <w:sz w:val="24"/>
      <w:szCs w:val="24"/>
    </w:rPr>
  </w:style>
  <w:style w:type="paragraph" w:styleId="9">
    <w:name w:val="heading 9"/>
    <w:basedOn w:val="a"/>
    <w:next w:val="a"/>
    <w:link w:val="90"/>
    <w:qFormat/>
    <w:rsid w:val="00FE29FE"/>
    <w:pPr>
      <w:bidi w:val="0"/>
      <w:spacing w:before="240" w:after="60" w:line="240" w:lineRule="auto"/>
      <w:outlineLvl w:val="8"/>
    </w:pPr>
    <w:rPr>
      <w:rFonts w:ascii="Cambria" w:eastAsia="Calibri"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D423A"/>
    <w:pPr>
      <w:tabs>
        <w:tab w:val="center" w:pos="4153"/>
        <w:tab w:val="right" w:pos="8306"/>
      </w:tabs>
      <w:spacing w:line="240" w:lineRule="auto"/>
    </w:pPr>
  </w:style>
  <w:style w:type="character" w:customStyle="1" w:styleId="a4">
    <w:name w:val="כותרת עליונה תו"/>
    <w:basedOn w:val="a0"/>
    <w:link w:val="a3"/>
    <w:rsid w:val="008D423A"/>
  </w:style>
  <w:style w:type="paragraph" w:styleId="a5">
    <w:name w:val="footer"/>
    <w:basedOn w:val="a"/>
    <w:link w:val="a6"/>
    <w:unhideWhenUsed/>
    <w:rsid w:val="008D423A"/>
    <w:pPr>
      <w:tabs>
        <w:tab w:val="center" w:pos="4153"/>
        <w:tab w:val="right" w:pos="8306"/>
      </w:tabs>
      <w:spacing w:line="240" w:lineRule="auto"/>
    </w:pPr>
  </w:style>
  <w:style w:type="character" w:customStyle="1" w:styleId="a6">
    <w:name w:val="כותרת תחתונה תו"/>
    <w:basedOn w:val="a0"/>
    <w:link w:val="a5"/>
    <w:rsid w:val="008D423A"/>
  </w:style>
  <w:style w:type="paragraph" w:styleId="a7">
    <w:name w:val="Balloon Text"/>
    <w:basedOn w:val="a"/>
    <w:link w:val="a8"/>
    <w:semiHidden/>
    <w:unhideWhenUsed/>
    <w:rsid w:val="008D423A"/>
    <w:pPr>
      <w:spacing w:line="240" w:lineRule="auto"/>
    </w:pPr>
    <w:rPr>
      <w:rFonts w:ascii="Tahoma" w:hAnsi="Tahoma" w:cs="Tahoma"/>
      <w:sz w:val="16"/>
      <w:szCs w:val="16"/>
    </w:rPr>
  </w:style>
  <w:style w:type="character" w:customStyle="1" w:styleId="a8">
    <w:name w:val="טקסט בלונים תו"/>
    <w:basedOn w:val="a0"/>
    <w:link w:val="a7"/>
    <w:semiHidden/>
    <w:rsid w:val="008D423A"/>
    <w:rPr>
      <w:rFonts w:ascii="Tahoma" w:hAnsi="Tahoma" w:cs="Tahoma"/>
      <w:sz w:val="16"/>
      <w:szCs w:val="16"/>
    </w:rPr>
  </w:style>
  <w:style w:type="character" w:customStyle="1" w:styleId="10">
    <w:name w:val="כותרת 1 תו"/>
    <w:basedOn w:val="a0"/>
    <w:link w:val="1"/>
    <w:rsid w:val="00FE29FE"/>
    <w:rPr>
      <w:rFonts w:ascii="Cambria" w:eastAsia="Calibri" w:hAnsi="Cambria" w:cs="Times New Roman"/>
      <w:b/>
      <w:bCs/>
      <w:kern w:val="32"/>
      <w:sz w:val="32"/>
      <w:szCs w:val="32"/>
    </w:rPr>
  </w:style>
  <w:style w:type="character" w:customStyle="1" w:styleId="20">
    <w:name w:val="כותרת 2 תו"/>
    <w:basedOn w:val="a0"/>
    <w:link w:val="2"/>
    <w:rsid w:val="00FE29FE"/>
    <w:rPr>
      <w:rFonts w:ascii="Cambria" w:eastAsia="Calibri" w:hAnsi="Cambria" w:cs="Times New Roman"/>
      <w:b/>
      <w:bCs/>
      <w:i/>
      <w:iCs/>
      <w:sz w:val="28"/>
      <w:szCs w:val="28"/>
    </w:rPr>
  </w:style>
  <w:style w:type="character" w:customStyle="1" w:styleId="30">
    <w:name w:val="כותרת 3 תו"/>
    <w:basedOn w:val="a0"/>
    <w:link w:val="3"/>
    <w:rsid w:val="00FE29FE"/>
    <w:rPr>
      <w:rFonts w:ascii="Cambria" w:eastAsia="Calibri" w:hAnsi="Cambria" w:cs="Times New Roman"/>
      <w:b/>
      <w:bCs/>
      <w:sz w:val="26"/>
      <w:szCs w:val="26"/>
    </w:rPr>
  </w:style>
  <w:style w:type="character" w:customStyle="1" w:styleId="40">
    <w:name w:val="כותרת 4 תו"/>
    <w:basedOn w:val="a0"/>
    <w:link w:val="4"/>
    <w:rsid w:val="00FE29FE"/>
    <w:rPr>
      <w:rFonts w:ascii="Calibri" w:eastAsia="Calibri" w:hAnsi="Calibri" w:cs="Times New Roman"/>
      <w:b/>
      <w:bCs/>
      <w:sz w:val="28"/>
      <w:szCs w:val="28"/>
    </w:rPr>
  </w:style>
  <w:style w:type="character" w:customStyle="1" w:styleId="50">
    <w:name w:val="כותרת 5 תו"/>
    <w:basedOn w:val="a0"/>
    <w:link w:val="5"/>
    <w:rsid w:val="00FE29FE"/>
    <w:rPr>
      <w:rFonts w:ascii="Calibri" w:eastAsia="Calibri" w:hAnsi="Calibri" w:cs="Times New Roman"/>
      <w:b/>
      <w:bCs/>
      <w:i/>
      <w:iCs/>
      <w:sz w:val="26"/>
      <w:szCs w:val="26"/>
    </w:rPr>
  </w:style>
  <w:style w:type="character" w:customStyle="1" w:styleId="60">
    <w:name w:val="כותרת 6 תו"/>
    <w:basedOn w:val="a0"/>
    <w:link w:val="6"/>
    <w:rsid w:val="00FE29FE"/>
    <w:rPr>
      <w:rFonts w:ascii="Calibri" w:eastAsia="Calibri" w:hAnsi="Calibri" w:cs="Times New Roman"/>
      <w:b/>
      <w:bCs/>
      <w:sz w:val="22"/>
      <w:szCs w:val="22"/>
    </w:rPr>
  </w:style>
  <w:style w:type="character" w:customStyle="1" w:styleId="70">
    <w:name w:val="כותרת 7 תו"/>
    <w:basedOn w:val="a0"/>
    <w:link w:val="7"/>
    <w:rsid w:val="00FE29FE"/>
    <w:rPr>
      <w:rFonts w:ascii="Calibri" w:eastAsia="Calibri" w:hAnsi="Calibri" w:cs="Times New Roman"/>
    </w:rPr>
  </w:style>
  <w:style w:type="character" w:customStyle="1" w:styleId="80">
    <w:name w:val="כותרת 8 תו"/>
    <w:basedOn w:val="a0"/>
    <w:link w:val="8"/>
    <w:rsid w:val="00FE29FE"/>
    <w:rPr>
      <w:rFonts w:ascii="Calibri" w:eastAsia="Calibri" w:hAnsi="Calibri" w:cs="Times New Roman"/>
      <w:i/>
      <w:iCs/>
    </w:rPr>
  </w:style>
  <w:style w:type="character" w:customStyle="1" w:styleId="90">
    <w:name w:val="כותרת 9 תו"/>
    <w:basedOn w:val="a0"/>
    <w:link w:val="9"/>
    <w:rsid w:val="00FE29FE"/>
    <w:rPr>
      <w:rFonts w:ascii="Cambria" w:eastAsia="Calibri" w:hAnsi="Cambria" w:cs="Times New Roman"/>
      <w:sz w:val="22"/>
      <w:szCs w:val="22"/>
    </w:rPr>
  </w:style>
  <w:style w:type="paragraph" w:styleId="a9">
    <w:name w:val="caption"/>
    <w:basedOn w:val="a"/>
    <w:next w:val="a"/>
    <w:qFormat/>
    <w:rsid w:val="00FE29FE"/>
    <w:pPr>
      <w:spacing w:after="0" w:line="360" w:lineRule="auto"/>
      <w:jc w:val="center"/>
    </w:pPr>
    <w:rPr>
      <w:rFonts w:ascii="David" w:eastAsia="Calibri" w:hAnsi="David" w:cs="David"/>
      <w:bCs/>
      <w:i/>
      <w:sz w:val="20"/>
      <w:szCs w:val="20"/>
    </w:rPr>
  </w:style>
  <w:style w:type="paragraph" w:customStyle="1" w:styleId="11">
    <w:name w:val="פיסקת רשימה1"/>
    <w:basedOn w:val="a"/>
    <w:rsid w:val="00FE29FE"/>
    <w:pPr>
      <w:ind w:left="720"/>
      <w:contextualSpacing/>
    </w:pPr>
  </w:style>
  <w:style w:type="paragraph" w:customStyle="1" w:styleId="aa">
    <w:name w:val="נבנצלים"/>
    <w:basedOn w:val="a"/>
    <w:next w:val="a"/>
    <w:autoRedefine/>
    <w:rsid w:val="00FE29FE"/>
    <w:pPr>
      <w:widowControl w:val="0"/>
      <w:spacing w:after="0" w:line="269" w:lineRule="auto"/>
      <w:ind w:left="509" w:hanging="509"/>
    </w:pPr>
    <w:rPr>
      <w:rFonts w:ascii="Monotype Sorts" w:eastAsia="Calibri" w:hAnsi="Monotype Sorts" w:cs="David"/>
      <w:b/>
      <w:bCs/>
      <w:sz w:val="24"/>
      <w:szCs w:val="24"/>
      <w:lang w:eastAsia="he-IL"/>
    </w:rPr>
  </w:style>
  <w:style w:type="paragraph" w:styleId="ab">
    <w:name w:val="footnote text"/>
    <w:basedOn w:val="a"/>
    <w:link w:val="ac"/>
    <w:autoRedefine/>
    <w:semiHidden/>
    <w:rsid w:val="00FE29FE"/>
    <w:pPr>
      <w:widowControl w:val="0"/>
      <w:spacing w:after="0" w:line="240" w:lineRule="auto"/>
      <w:ind w:left="284" w:hanging="284"/>
      <w:jc w:val="both"/>
    </w:pPr>
    <w:rPr>
      <w:rFonts w:ascii="Times New Roman" w:eastAsia="Calibri" w:hAnsi="Times New Roman" w:cs="David"/>
      <w:sz w:val="20"/>
      <w:szCs w:val="20"/>
      <w:lang w:eastAsia="he-IL"/>
    </w:rPr>
  </w:style>
  <w:style w:type="character" w:customStyle="1" w:styleId="ac">
    <w:name w:val="טקסט הערת שוליים תו"/>
    <w:basedOn w:val="a0"/>
    <w:link w:val="ab"/>
    <w:semiHidden/>
    <w:rsid w:val="00FE29FE"/>
    <w:rPr>
      <w:rFonts w:ascii="Times New Roman" w:eastAsia="Calibri" w:hAnsi="Times New Roman"/>
      <w:sz w:val="20"/>
      <w:szCs w:val="20"/>
      <w:lang w:eastAsia="he-IL"/>
    </w:rPr>
  </w:style>
  <w:style w:type="character" w:styleId="ad">
    <w:name w:val="footnote reference"/>
    <w:basedOn w:val="a0"/>
    <w:semiHidden/>
    <w:rsid w:val="00FE29FE"/>
    <w:rPr>
      <w:rFonts w:cs="David"/>
      <w:vertAlign w:val="superscript"/>
      <w:lang w:bidi="he-IL"/>
    </w:rPr>
  </w:style>
  <w:style w:type="paragraph" w:customStyle="1" w:styleId="ae">
    <w:name w:val="תו"/>
    <w:basedOn w:val="a"/>
    <w:rsid w:val="00FE29FE"/>
    <w:pPr>
      <w:keepLines/>
      <w:tabs>
        <w:tab w:val="left" w:pos="397"/>
        <w:tab w:val="left" w:pos="794"/>
        <w:tab w:val="left" w:pos="1191"/>
        <w:tab w:val="left" w:pos="1588"/>
        <w:tab w:val="left" w:pos="1985"/>
        <w:tab w:val="left" w:pos="2381"/>
        <w:tab w:val="left" w:pos="2778"/>
        <w:tab w:val="left" w:pos="3175"/>
        <w:tab w:val="left" w:pos="3572"/>
      </w:tabs>
      <w:spacing w:after="0" w:line="240" w:lineRule="auto"/>
      <w:ind w:left="567" w:hanging="567"/>
    </w:pPr>
    <w:rPr>
      <w:rFonts w:ascii="Arial" w:eastAsia="Calibri" w:hAnsi="Arial" w:cs="Times New Roman"/>
      <w:noProof/>
      <w:sz w:val="24"/>
      <w:szCs w:val="28"/>
    </w:rPr>
  </w:style>
  <w:style w:type="paragraph" w:styleId="af">
    <w:name w:val="Title"/>
    <w:basedOn w:val="a"/>
    <w:next w:val="a"/>
    <w:link w:val="af0"/>
    <w:qFormat/>
    <w:rsid w:val="00FE29FE"/>
    <w:pPr>
      <w:spacing w:before="240" w:after="60" w:line="240" w:lineRule="auto"/>
      <w:jc w:val="center"/>
      <w:outlineLvl w:val="0"/>
    </w:pPr>
    <w:rPr>
      <w:rFonts w:ascii="Cambria" w:eastAsia="Calibri" w:hAnsi="Cambria" w:cs="Times New Roman"/>
      <w:b/>
      <w:bCs/>
      <w:kern w:val="28"/>
      <w:sz w:val="32"/>
      <w:szCs w:val="32"/>
    </w:rPr>
  </w:style>
  <w:style w:type="character" w:customStyle="1" w:styleId="af0">
    <w:name w:val="תואר תו"/>
    <w:basedOn w:val="a0"/>
    <w:link w:val="af"/>
    <w:rsid w:val="00FE29FE"/>
    <w:rPr>
      <w:rFonts w:ascii="Cambria" w:eastAsia="Calibri" w:hAnsi="Cambria" w:cs="Times New Roman"/>
      <w:b/>
      <w:bCs/>
      <w:kern w:val="28"/>
      <w:sz w:val="32"/>
      <w:szCs w:val="32"/>
    </w:rPr>
  </w:style>
  <w:style w:type="paragraph" w:customStyle="1" w:styleId="12">
    <w:name w:val="ללא מרווח1"/>
    <w:basedOn w:val="a"/>
    <w:rsid w:val="00FE29FE"/>
    <w:pPr>
      <w:spacing w:after="0" w:line="240" w:lineRule="auto"/>
    </w:pPr>
    <w:rPr>
      <w:rFonts w:eastAsia="Calibri" w:cs="Times New Roman"/>
      <w:sz w:val="24"/>
      <w:szCs w:val="32"/>
    </w:rPr>
  </w:style>
  <w:style w:type="character" w:customStyle="1" w:styleId="13">
    <w:name w:val="הדגשה חזקה1"/>
    <w:basedOn w:val="a0"/>
    <w:rsid w:val="00FE29FE"/>
    <w:rPr>
      <w:rFonts w:cs="Times New Roman"/>
      <w:b/>
      <w:i/>
      <w:sz w:val="24"/>
      <w:szCs w:val="24"/>
      <w:u w:val="single"/>
    </w:rPr>
  </w:style>
  <w:style w:type="character" w:customStyle="1" w:styleId="14">
    <w:name w:val="הפניה מעודנת1"/>
    <w:basedOn w:val="a0"/>
    <w:rsid w:val="00FE29FE"/>
    <w:rPr>
      <w:rFonts w:cs="Times New Roman"/>
      <w:sz w:val="24"/>
      <w:szCs w:val="24"/>
      <w:u w:val="single"/>
    </w:rPr>
  </w:style>
  <w:style w:type="character" w:customStyle="1" w:styleId="15">
    <w:name w:val="כותר הספר1"/>
    <w:basedOn w:val="a0"/>
    <w:rsid w:val="00FE29FE"/>
    <w:rPr>
      <w:rFonts w:ascii="Cambria" w:hAnsi="Cambria" w:cs="Times New Roman"/>
      <w:b/>
      <w:i/>
      <w:sz w:val="24"/>
      <w:szCs w:val="24"/>
    </w:rPr>
  </w:style>
  <w:style w:type="character" w:customStyle="1" w:styleId="21">
    <w:name w:val="תו תו2"/>
    <w:basedOn w:val="a0"/>
    <w:uiPriority w:val="99"/>
    <w:rsid w:val="00FE29FE"/>
    <w:rPr>
      <w:rFonts w:cs="Times New Roman"/>
      <w:b/>
      <w:bCs/>
      <w:i/>
      <w:iCs/>
      <w:sz w:val="26"/>
      <w:szCs w:val="26"/>
      <w:lang w:val="en-US" w:eastAsia="en-US" w:bidi="he-IL"/>
    </w:rPr>
  </w:style>
  <w:style w:type="character" w:customStyle="1" w:styleId="16">
    <w:name w:val="טקסט מציין מיקום1"/>
    <w:basedOn w:val="a0"/>
    <w:semiHidden/>
    <w:rsid w:val="00FE29FE"/>
    <w:rPr>
      <w:rFonts w:cs="Times New Roman"/>
      <w:color w:val="808080"/>
    </w:rPr>
  </w:style>
  <w:style w:type="paragraph" w:styleId="af1">
    <w:name w:val="Subtitle"/>
    <w:basedOn w:val="a"/>
    <w:next w:val="a"/>
    <w:link w:val="af2"/>
    <w:qFormat/>
    <w:rsid w:val="00FE29FE"/>
    <w:pPr>
      <w:bidi w:val="0"/>
      <w:spacing w:after="60" w:line="240" w:lineRule="auto"/>
      <w:jc w:val="center"/>
      <w:outlineLvl w:val="1"/>
    </w:pPr>
    <w:rPr>
      <w:rFonts w:ascii="Cambria" w:eastAsia="Calibri" w:hAnsi="Cambria" w:cs="Times New Roman"/>
      <w:sz w:val="24"/>
      <w:szCs w:val="24"/>
    </w:rPr>
  </w:style>
  <w:style w:type="character" w:customStyle="1" w:styleId="af2">
    <w:name w:val="כותרת משנה תו"/>
    <w:basedOn w:val="a0"/>
    <w:link w:val="af1"/>
    <w:rsid w:val="00FE29FE"/>
    <w:rPr>
      <w:rFonts w:ascii="Cambria" w:eastAsia="Calibri" w:hAnsi="Cambria" w:cs="Times New Roman"/>
    </w:rPr>
  </w:style>
  <w:style w:type="character" w:styleId="af3">
    <w:name w:val="Strong"/>
    <w:basedOn w:val="a0"/>
    <w:qFormat/>
    <w:rsid w:val="00FE29FE"/>
    <w:rPr>
      <w:rFonts w:cs="Times New Roman"/>
      <w:b/>
      <w:bCs/>
    </w:rPr>
  </w:style>
  <w:style w:type="character" w:styleId="af4">
    <w:name w:val="Emphasis"/>
    <w:basedOn w:val="a0"/>
    <w:qFormat/>
    <w:rsid w:val="00FE29FE"/>
    <w:rPr>
      <w:rFonts w:ascii="Calibri" w:hAnsi="Calibri" w:cs="Times New Roman"/>
      <w:b/>
      <w:i/>
      <w:iCs/>
    </w:rPr>
  </w:style>
  <w:style w:type="paragraph" w:customStyle="1" w:styleId="17">
    <w:name w:val="הצעת מחיר1"/>
    <w:basedOn w:val="a"/>
    <w:next w:val="a"/>
    <w:link w:val="QuoteChar"/>
    <w:rsid w:val="00FE29FE"/>
    <w:pPr>
      <w:bidi w:val="0"/>
      <w:spacing w:after="0" w:line="240" w:lineRule="auto"/>
    </w:pPr>
    <w:rPr>
      <w:rFonts w:eastAsia="Calibri" w:cs="Times New Roman"/>
      <w:i/>
      <w:sz w:val="24"/>
      <w:szCs w:val="24"/>
    </w:rPr>
  </w:style>
  <w:style w:type="character" w:customStyle="1" w:styleId="QuoteChar">
    <w:name w:val="Quote Char"/>
    <w:basedOn w:val="a0"/>
    <w:link w:val="17"/>
    <w:locked/>
    <w:rsid w:val="00FE29FE"/>
    <w:rPr>
      <w:rFonts w:ascii="Calibri" w:eastAsia="Calibri" w:hAnsi="Calibri" w:cs="Times New Roman"/>
      <w:i/>
    </w:rPr>
  </w:style>
  <w:style w:type="paragraph" w:customStyle="1" w:styleId="18">
    <w:name w:val="הצעת מחיר חזקה1"/>
    <w:basedOn w:val="a"/>
    <w:next w:val="a"/>
    <w:link w:val="IntenseQuoteChar"/>
    <w:rsid w:val="00FE29FE"/>
    <w:pPr>
      <w:bidi w:val="0"/>
      <w:spacing w:after="0" w:line="240" w:lineRule="auto"/>
      <w:ind w:left="720" w:right="720"/>
    </w:pPr>
    <w:rPr>
      <w:rFonts w:eastAsia="Calibri" w:cs="Times New Roman"/>
      <w:b/>
      <w:i/>
      <w:sz w:val="24"/>
    </w:rPr>
  </w:style>
  <w:style w:type="character" w:customStyle="1" w:styleId="IntenseQuoteChar">
    <w:name w:val="Intense Quote Char"/>
    <w:basedOn w:val="a0"/>
    <w:link w:val="18"/>
    <w:locked/>
    <w:rsid w:val="00FE29FE"/>
    <w:rPr>
      <w:rFonts w:ascii="Calibri" w:eastAsia="Calibri" w:hAnsi="Calibri" w:cs="Times New Roman"/>
      <w:b/>
      <w:i/>
      <w:szCs w:val="22"/>
    </w:rPr>
  </w:style>
  <w:style w:type="character" w:customStyle="1" w:styleId="19">
    <w:name w:val="הדגשה מעודנת1"/>
    <w:rsid w:val="00FE29FE"/>
    <w:rPr>
      <w:i/>
      <w:color w:val="5A5A5A"/>
    </w:rPr>
  </w:style>
  <w:style w:type="character" w:customStyle="1" w:styleId="1a">
    <w:name w:val="הפניה חזקה1"/>
    <w:basedOn w:val="a0"/>
    <w:rsid w:val="00FE29FE"/>
    <w:rPr>
      <w:rFonts w:cs="Times New Roman"/>
      <w:b/>
      <w:sz w:val="24"/>
      <w:u w:val="single"/>
    </w:rPr>
  </w:style>
  <w:style w:type="paragraph" w:customStyle="1" w:styleId="1b">
    <w:name w:val="כותרת תוכן עניינים1"/>
    <w:basedOn w:val="1"/>
    <w:next w:val="a"/>
    <w:semiHidden/>
    <w:rsid w:val="00FE29FE"/>
    <w:pPr>
      <w:bidi w:val="0"/>
      <w:outlineLvl w:val="9"/>
    </w:pPr>
  </w:style>
  <w:style w:type="table" w:styleId="af5">
    <w:name w:val="Table Grid"/>
    <w:basedOn w:val="a1"/>
    <w:rsid w:val="00FE29FE"/>
    <w:pPr>
      <w:bidi/>
      <w:spacing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כותרת ליקוי"/>
    <w:basedOn w:val="a"/>
    <w:rsid w:val="00C90B63"/>
    <w:pPr>
      <w:keepNext/>
      <w:spacing w:after="0" w:line="240" w:lineRule="auto"/>
      <w:ind w:left="567" w:hanging="567"/>
      <w:jc w:val="both"/>
    </w:pPr>
    <w:rPr>
      <w:rFonts w:ascii="Times New Roman" w:eastAsia="Calibri" w:hAnsi="Times New Roman" w:cs="David"/>
      <w:b/>
      <w:sz w:val="24"/>
      <w:szCs w:val="24"/>
    </w:rPr>
  </w:style>
  <w:style w:type="paragraph" w:customStyle="1" w:styleId="af7">
    <w:name w:val="כותרת מאמר"/>
    <w:basedOn w:val="a"/>
    <w:uiPriority w:val="99"/>
    <w:rsid w:val="00FB7BE0"/>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893</Words>
  <Characters>4470</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2010-10-14T07:59:00Z</cp:lastPrinted>
  <dcterms:created xsi:type="dcterms:W3CDTF">2010-12-12T11:45:00Z</dcterms:created>
  <dcterms:modified xsi:type="dcterms:W3CDTF">2010-12-12T11:45:00Z</dcterms:modified>
</cp:coreProperties>
</file>