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92" w:rsidRPr="009C2F92" w:rsidRDefault="009C2F92" w:rsidP="009C2F9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6"/>
          <w:szCs w:val="36"/>
          <w:rtl/>
          <w:lang w:eastAsia="en-US"/>
        </w:rPr>
      </w:pPr>
      <w:r w:rsidRPr="009C2F92">
        <w:rPr>
          <w:rFonts w:ascii="David" w:eastAsiaTheme="minorHAnsi" w:hAnsiTheme="minorHAnsi" w:cs="David" w:hint="cs"/>
          <w:b/>
          <w:bCs/>
          <w:color w:val="000000"/>
          <w:kern w:val="0"/>
          <w:sz w:val="36"/>
          <w:szCs w:val="36"/>
          <w:rtl/>
          <w:lang w:eastAsia="en-US"/>
        </w:rPr>
        <w:t>משרד החינוך</w:t>
      </w:r>
    </w:p>
    <w:p w:rsidR="009C2F92" w:rsidRPr="009C2F92" w:rsidRDefault="009C2F92" w:rsidP="009C2F9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9C2F92">
        <w:rPr>
          <w:rFonts w:ascii="David" w:eastAsiaTheme="minorHAnsi" w:hAnsiTheme="minorHAnsi" w:cs="David" w:hint="cs"/>
          <w:b/>
          <w:bCs/>
          <w:color w:val="000000"/>
          <w:kern w:val="0"/>
          <w:sz w:val="32"/>
          <w:szCs w:val="32"/>
          <w:rtl/>
          <w:lang w:eastAsia="en-US"/>
        </w:rPr>
        <w:t>פרס ישראל</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 xml:space="preserve">הגופים המבוקרים: משרד החינוך; נציבות שירות המדינה </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ליקויים 8,12,13 תוקנו. ראה הערות רה"מ </w:t>
      </w:r>
      <w:proofErr w:type="spellStart"/>
      <w:r w:rsidRPr="009C2F92">
        <w:rPr>
          <w:rFonts w:ascii="David" w:eastAsiaTheme="minorHAnsi" w:cs="David" w:hint="cs"/>
          <w:color w:val="000000"/>
          <w:kern w:val="0"/>
          <w:szCs w:val="24"/>
          <w:rtl/>
          <w:lang w:eastAsia="en-US"/>
        </w:rPr>
        <w:t>60ב</w:t>
      </w:r>
      <w:proofErr w:type="spellEnd"/>
      <w:r w:rsidRPr="009C2F92">
        <w:rPr>
          <w:rFonts w:ascii="David" w:eastAsiaTheme="minorHAnsi" w:cs="David" w:hint="cs"/>
          <w:color w:val="000000"/>
          <w:kern w:val="0"/>
          <w:szCs w:val="24"/>
          <w:rtl/>
          <w:lang w:eastAsia="en-US"/>
        </w:rPr>
        <w:t xml:space="preserve">' </w:t>
      </w:r>
      <w:proofErr w:type="spellStart"/>
      <w:r w:rsidRPr="009C2F92">
        <w:rPr>
          <w:rFonts w:ascii="David" w:eastAsiaTheme="minorHAnsi" w:cs="David" w:hint="cs"/>
          <w:color w:val="000000"/>
          <w:kern w:val="0"/>
          <w:szCs w:val="24"/>
          <w:rtl/>
          <w:lang w:eastAsia="en-US"/>
        </w:rPr>
        <w:t>עמ</w:t>
      </w:r>
      <w:proofErr w:type="spellEnd"/>
      <w:r w:rsidRPr="009C2F92">
        <w:rPr>
          <w:rFonts w:ascii="David" w:eastAsiaTheme="minorHAnsi" w:cs="David" w:hint="cs"/>
          <w:color w:val="000000"/>
          <w:kern w:val="0"/>
          <w:szCs w:val="24"/>
          <w:rtl/>
          <w:lang w:eastAsia="en-US"/>
        </w:rPr>
        <w:t>' 189.</w:t>
      </w: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תקנון לבחירת זוכים בפרס ישראל:הזוכים בפרס נבחרים על פי תקנון לפרסי ישראל המפרט את התחומים שבעבורם מוענקים הפרסים ומתווה את הליכי בחירתם. מאז השינוי האחרון של התקנון בשנת 2002 המשרד לא עדכן אותו למרות שינויים חברתיים, כלכליים, תרבותיים וטכנולוגיים שחלו במדינה.</w:t>
      </w:r>
    </w:p>
    <w:p w:rsidR="009C2F92" w:rsidRPr="009C2F92" w:rsidRDefault="009C2F92" w:rsidP="009C2F92">
      <w:pPr>
        <w:autoSpaceDE w:val="0"/>
        <w:autoSpaceDN w:val="0"/>
        <w:adjustRightInd w:val="0"/>
        <w:spacing w:line="288" w:lineRule="auto"/>
        <w:ind w:left="567" w:hanging="567"/>
        <w:jc w:val="both"/>
        <w:textAlignment w:val="center"/>
        <w:rPr>
          <w:rFonts w:ascii="David" w:eastAsiaTheme="minorHAnsi" w:hAnsi="Arial" w:cs="David"/>
          <w:color w:val="000000"/>
          <w:kern w:val="0"/>
          <w:sz w:val="18"/>
          <w:szCs w:val="18"/>
          <w:rtl/>
          <w:lang w:eastAsia="en-US"/>
        </w:rPr>
      </w:pPr>
    </w:p>
    <w:p w:rsidR="009C2F92" w:rsidRPr="009C2F92" w:rsidRDefault="009C2F92" w:rsidP="009C2F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מעקב</w:t>
      </w:r>
    </w:p>
    <w:p w:rsidR="009C2F92" w:rsidRPr="009C2F92" w:rsidRDefault="009C2F92" w:rsidP="009C2F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משרד החינוך</w:t>
      </w:r>
    </w:p>
    <w:p w:rsidR="009C2F92" w:rsidRPr="009C2F92" w:rsidRDefault="009C2F92" w:rsidP="009C2F92">
      <w:pPr>
        <w:autoSpaceDE w:val="0"/>
        <w:autoSpaceDN w:val="0"/>
        <w:adjustRightInd w:val="0"/>
        <w:spacing w:line="288" w:lineRule="auto"/>
        <w:textAlignment w:val="center"/>
        <w:rPr>
          <w:rFonts w:ascii="David" w:eastAsiaTheme="minorHAnsi" w:cs="David"/>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בחודש מאי 2010 מינה שר החינוך ועדה ציבורית בראשות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משה בר אשר, נשיא האקדמיה ללשון העברית, שתפקידה לבחון את תקנון פרס ישראל ולהמליץ על שינויים נדרשים במגוון נושאים הנוגעים למתן הפרס. הוועדה הגישה את מסקנותיה לשר החינוך בחודש אוקטובר 2010 והשר אימץ את מרביתן.</w:t>
      </w:r>
    </w:p>
    <w:p w:rsidR="009C2F92" w:rsidRPr="009C2F92" w:rsidRDefault="009C2F92" w:rsidP="009C2F92">
      <w:pPr>
        <w:suppressAutoHyphens/>
        <w:autoSpaceDE w:val="0"/>
        <w:autoSpaceDN w:val="0"/>
        <w:adjustRightInd w:val="0"/>
        <w:spacing w:line="288" w:lineRule="auto"/>
        <w:ind w:left="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ראה הערות רה"מ </w:t>
      </w:r>
      <w:proofErr w:type="spellStart"/>
      <w:r w:rsidRPr="009C2F92">
        <w:rPr>
          <w:rFonts w:ascii="David" w:eastAsiaTheme="minorHAnsi" w:cs="David" w:hint="cs"/>
          <w:color w:val="000000"/>
          <w:kern w:val="0"/>
          <w:szCs w:val="24"/>
          <w:rtl/>
          <w:lang w:eastAsia="en-US"/>
        </w:rPr>
        <w:t>60ב</w:t>
      </w:r>
      <w:proofErr w:type="spellEnd"/>
      <w:r w:rsidRPr="009C2F92">
        <w:rPr>
          <w:rFonts w:ascii="David" w:eastAsiaTheme="minorHAnsi" w:cs="David" w:hint="cs"/>
          <w:color w:val="000000"/>
          <w:kern w:val="0"/>
          <w:szCs w:val="24"/>
          <w:rtl/>
          <w:lang w:eastAsia="en-US"/>
        </w:rPr>
        <w:t xml:space="preserve">' </w:t>
      </w:r>
      <w:proofErr w:type="spellStart"/>
      <w:r w:rsidRPr="009C2F92">
        <w:rPr>
          <w:rFonts w:ascii="David" w:eastAsiaTheme="minorHAnsi" w:cs="David" w:hint="cs"/>
          <w:color w:val="000000"/>
          <w:kern w:val="0"/>
          <w:szCs w:val="24"/>
          <w:rtl/>
          <w:lang w:eastAsia="en-US"/>
        </w:rPr>
        <w:t>עמ</w:t>
      </w:r>
      <w:proofErr w:type="spellEnd"/>
      <w:r w:rsidRPr="009C2F92">
        <w:rPr>
          <w:rFonts w:ascii="David" w:eastAsiaTheme="minorHAnsi" w:cs="David" w:hint="cs"/>
          <w:color w:val="000000"/>
          <w:kern w:val="0"/>
          <w:szCs w:val="24"/>
          <w:rtl/>
          <w:lang w:eastAsia="en-US"/>
        </w:rPr>
        <w:t>' 189.</w:t>
      </w:r>
    </w:p>
    <w:p w:rsidR="009C2F92" w:rsidRPr="009C2F92" w:rsidRDefault="009C2F92" w:rsidP="009C2F92">
      <w:pPr>
        <w:autoSpaceDE w:val="0"/>
        <w:autoSpaceDN w:val="0"/>
        <w:adjustRightInd w:val="0"/>
        <w:spacing w:line="288" w:lineRule="auto"/>
        <w:jc w:val="both"/>
        <w:textAlignment w:val="center"/>
        <w:rPr>
          <w:rFonts w:eastAsiaTheme="minorHAnsi" w:cs="Times New Roman"/>
          <w:color w:val="000000"/>
          <w:kern w:val="0"/>
          <w:szCs w:val="24"/>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2.</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החשב הכללי באוצר פרסם ב-1988 חוזר בנושא העסקת יועצים שאינם עובדי מדינה ובו צוין שיש לחתום על הסכם עם כל יועץ גם אם הוא יועץ ללא שכר. נציב שירות המדינה פרסם בשנים 1996 ו-1997 הודעות בדבר הימנעות מהעסקת יועצים בהתנדבות, מלבד במקרים חריגים שיאושרו על ידי הנציבות מראש. אף על פי כן העסיק משרד החינוך את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גולדברגר בין השנים 1990 ל-2004 בהתנדבות בלא שביקש את אישור הנציבות לכך ובלא שחתם עמו על חוזה העסקה, כנדרש לפי חוזר החשב הכללי.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2.</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העסקתו של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גולדברג הופסקה והוא אינו מועסק יותר על-ידי המשרד.</w:t>
      </w: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3.</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מספטמבר 2002 עד יולי 2003 </w:t>
      </w:r>
      <w:proofErr w:type="spellStart"/>
      <w:r w:rsidRPr="009C2F92">
        <w:rPr>
          <w:rFonts w:ascii="David" w:eastAsiaTheme="minorHAnsi" w:cs="David" w:hint="cs"/>
          <w:color w:val="000000"/>
          <w:kern w:val="0"/>
          <w:szCs w:val="24"/>
          <w:rtl/>
          <w:lang w:eastAsia="en-US"/>
        </w:rPr>
        <w:t>ומ</w:t>
      </w:r>
      <w:proofErr w:type="spellEnd"/>
      <w:r w:rsidRPr="009C2F92">
        <w:rPr>
          <w:rFonts w:ascii="David" w:eastAsiaTheme="minorHAnsi" w:cs="David" w:hint="cs"/>
          <w:color w:val="000000"/>
          <w:kern w:val="0"/>
          <w:szCs w:val="24"/>
          <w:rtl/>
          <w:lang w:eastAsia="en-US"/>
        </w:rPr>
        <w:t xml:space="preserve">-2005 עד 2008 העסיק משרד החינוך את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xml:space="preserve">' גולדברגר כיועץ בשכר בעניין הפרס. ועדת הרכישות במשרד החינוך אישרה את ההתקשרות עמו בשנת 2002 בלי שהמשרד פנה לקבלת הצעות מאחרים ובלי שנקבעו אמות המידה שלפיהן נבחר. בשנים 2005 ו-2006 פנה המשרד </w:t>
      </w:r>
      <w:proofErr w:type="spellStart"/>
      <w:r w:rsidRPr="009C2F92">
        <w:rPr>
          <w:rFonts w:ascii="David" w:eastAsiaTheme="minorHAnsi" w:cs="David" w:hint="cs"/>
          <w:color w:val="000000"/>
          <w:kern w:val="0"/>
          <w:szCs w:val="24"/>
          <w:rtl/>
          <w:lang w:eastAsia="en-US"/>
        </w:rPr>
        <w:t>לפרופ</w:t>
      </w:r>
      <w:proofErr w:type="spellEnd"/>
      <w:r w:rsidRPr="009C2F92">
        <w:rPr>
          <w:rFonts w:ascii="David" w:eastAsiaTheme="minorHAnsi" w:cs="David" w:hint="cs"/>
          <w:color w:val="000000"/>
          <w:kern w:val="0"/>
          <w:szCs w:val="24"/>
          <w:rtl/>
          <w:lang w:eastAsia="en-US"/>
        </w:rPr>
        <w:t xml:space="preserve">' גולדברגר ולמועמדים נוספים בבקשה להגיש הצעה לייעוץ וועדת היועצים ששימשה כוועדת רכישות לעניין יועצים, שבה ובחרה בו. הוועדה נימקה את החלטתה בשקלול התוצאות על פי אמות המידה שהיו בפניה. בדיקת מסמכי הוועדה העלתה שלא צוינו המשקלות של אמות המידה שלפיהן נבחנו המועמדים. </w:t>
      </w: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lastRenderedPageBreak/>
        <w:t>מעקב</w:t>
      </w:r>
    </w:p>
    <w:p w:rsidR="009C2F92" w:rsidRPr="009C2F92" w:rsidRDefault="009C2F92" w:rsidP="009C2F92">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3.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המשרד מינה יועץ מקרב עובדי המשרד שהינו עובד מדינה.</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4.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עד לבחירתו של עו"ד לנגנטל עסק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xml:space="preserve">' גולדברגר בין החודשים נובמבר 2008-ינואר 2009 בענייני הפרס, מבלי שהעסקתו אושרה והוסדרה בוועדת היועצים ובלא חוזה העסקה.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4.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העסקתו של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גולדברג הופסקה והוא אינו מועסק יותר על-ידי המשרד.</w:t>
      </w: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ראה הערות רה"מ </w:t>
      </w:r>
      <w:proofErr w:type="spellStart"/>
      <w:r w:rsidRPr="009C2F92">
        <w:rPr>
          <w:rFonts w:ascii="David" w:eastAsiaTheme="minorHAnsi" w:cs="David" w:hint="cs"/>
          <w:color w:val="000000"/>
          <w:kern w:val="0"/>
          <w:szCs w:val="24"/>
          <w:rtl/>
          <w:lang w:eastAsia="en-US"/>
        </w:rPr>
        <w:t>60ב</w:t>
      </w:r>
      <w:proofErr w:type="spellEnd"/>
      <w:r w:rsidRPr="009C2F92">
        <w:rPr>
          <w:rFonts w:ascii="David" w:eastAsiaTheme="minorHAnsi" w:cs="David" w:hint="cs"/>
          <w:color w:val="000000"/>
          <w:kern w:val="0"/>
          <w:szCs w:val="24"/>
          <w:rtl/>
          <w:lang w:eastAsia="en-US"/>
        </w:rPr>
        <w:t xml:space="preserve">' </w:t>
      </w:r>
      <w:proofErr w:type="spellStart"/>
      <w:r w:rsidRPr="009C2F92">
        <w:rPr>
          <w:rFonts w:ascii="David" w:eastAsiaTheme="minorHAnsi" w:cs="David" w:hint="cs"/>
          <w:color w:val="000000"/>
          <w:kern w:val="0"/>
          <w:szCs w:val="24"/>
          <w:rtl/>
          <w:lang w:eastAsia="en-US"/>
        </w:rPr>
        <w:t>עמ</w:t>
      </w:r>
      <w:proofErr w:type="spellEnd"/>
      <w:r w:rsidRPr="009C2F92">
        <w:rPr>
          <w:rFonts w:ascii="David" w:eastAsiaTheme="minorHAnsi" w:cs="David" w:hint="cs"/>
          <w:color w:val="000000"/>
          <w:kern w:val="0"/>
          <w:szCs w:val="24"/>
          <w:rtl/>
          <w:lang w:eastAsia="en-US"/>
        </w:rPr>
        <w:t>' 190.</w:t>
      </w: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5.</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העסקת עו"ד לנגנטל: מפברואר עד מאי 2009 הוא הועסק בלי שהמשרד חתם עמו הסכם הכולל התחייבות לשמירת סודיות - בניגוד לאמור בחוזר החשב הכללי, ובלי ששילם לו את שכר עבודתו.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5.</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העסקתו של עו"ד נחום </w:t>
      </w:r>
      <w:proofErr w:type="spellStart"/>
      <w:r w:rsidRPr="009C2F92">
        <w:rPr>
          <w:rFonts w:ascii="David" w:eastAsiaTheme="minorHAnsi" w:cs="David" w:hint="cs"/>
          <w:color w:val="000000"/>
          <w:kern w:val="0"/>
          <w:szCs w:val="24"/>
          <w:rtl/>
          <w:lang w:eastAsia="en-US"/>
        </w:rPr>
        <w:t>לנגטל</w:t>
      </w:r>
      <w:proofErr w:type="spellEnd"/>
      <w:r w:rsidRPr="009C2F92">
        <w:rPr>
          <w:rFonts w:ascii="David" w:eastAsiaTheme="minorHAnsi" w:cs="David" w:hint="cs"/>
          <w:color w:val="000000"/>
          <w:kern w:val="0"/>
          <w:szCs w:val="24"/>
          <w:rtl/>
          <w:lang w:eastAsia="en-US"/>
        </w:rPr>
        <w:t xml:space="preserve"> הופסקה. המשרד לא שילם לו שכר עד לסיום הבירור בעניינו.</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6.</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ועדות השופטים: קביעת החברים לוועדות השופטים נעשית בהליך חשאי נטול פרוטוקולים ובלתי-שקוף. על פי התקנון, האחריות לבחירת חברי ועדות השופטים היא בידי השר, אולם המשרד העסיק את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גולדברגר לשם כך במשך שנים רבות ואפשר לו שליטה כמעט בלעדית בבחירת חברי ועדות השופטים, בלי שהמשרד קבע אמות מידה כלשהן לבחירה.</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6.</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ראה מעקב לליקוי מספר 4.</w:t>
      </w: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7.</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התקנון אינו קובע אמות מידה לבחירת הזוכים. התקנון קובע כי: דיוני ועדות השופטים חשאיים; אין נרשמים פרוטוקולים בדיונים אלה; כל פרטי הדיונים ושמות המועמדים, למעט שמות הזוכים בפרס, נשארים כמוסים.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7.</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לא דווח על התקדמות בתיקון הליקוי. </w:t>
      </w: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9C2F92" w:rsidRDefault="009C2F92" w:rsidP="009C2F92">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9C2F92" w:rsidRDefault="009C2F92" w:rsidP="009C2F92">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9C2F92" w:rsidRDefault="009C2F92" w:rsidP="009C2F92">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lastRenderedPageBreak/>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9.</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בשנת 1988 פרסם החשב הכללי באוצר חוזר על העסקת יועצים שאינם עובדי מדינה. צוין בו שלעובד ציבור אסור להימצא במצב שיש בו אפשרות ממשית של ניגוד עניינים, וכלל זה חל גם על יועץ; לכן לפני ההתקשרות עמו יש לבדוק אם קיים חשש לניגוד עניינים. לפי הנחיית היועץ המשפטי לממשלה מ-2006, גיבשה נציבות שירות המדינה נוהל בעניין. בשלושה מקרים שנמצאו לא הקפיד משרד החינוך על שמירת הכללים למניעת ניגוד העניינים של העוסקים בפרס, בעניין </w:t>
      </w:r>
      <w:proofErr w:type="spellStart"/>
      <w:r w:rsidRPr="009C2F92">
        <w:rPr>
          <w:rFonts w:ascii="David" w:eastAsiaTheme="minorHAnsi" w:cs="David" w:hint="cs"/>
          <w:color w:val="000000"/>
          <w:kern w:val="0"/>
          <w:szCs w:val="24"/>
          <w:rtl/>
          <w:lang w:eastAsia="en-US"/>
        </w:rPr>
        <w:t>פרופ</w:t>
      </w:r>
      <w:proofErr w:type="spellEnd"/>
      <w:r w:rsidRPr="009C2F92">
        <w:rPr>
          <w:rFonts w:ascii="David" w:eastAsiaTheme="minorHAnsi" w:cs="David" w:hint="cs"/>
          <w:color w:val="000000"/>
          <w:kern w:val="0"/>
          <w:szCs w:val="24"/>
          <w:rtl/>
          <w:lang w:eastAsia="en-US"/>
        </w:rPr>
        <w:t>' גולדברגר שכיהן כמנכ"ל החברה למתנ"סים ועניין עו"ד לנגנטל על שנתן שירותי ייעוץ בשכר למכון הישראלי לדמוקרטיה.</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C2F92">
        <w:rPr>
          <w:rFonts w:ascii="David" w:eastAsiaTheme="minorHAnsi" w:hAnsi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textAlignment w:val="center"/>
        <w:rPr>
          <w:rFonts w:ascii="David" w:eastAsiaTheme="minorHAnsi" w:cs="David"/>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9.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העסקת יועצים חיצוניים הופסקה. המשרד מינה עובד מקרב עובדי המשרד שהינו עובד מדינה.</w:t>
      </w: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10.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יום לפני שהתכנסה ועדת השופטים להחלטה בדבר זוכי פרס ישראל על מפעל חיים לשנת 2009, פנה עו"ד לנגנטל ליועצת המשפטית של משרד החינוך באמצעות מנהל האגף האחראי על הפרס בבקשה לקבל הנחיה כיצד עליו לפעול, מאחר שלדבריו היו בין המועמדים לפרס גופים שהוא קשור עמם. עד מועד הישיבה לא קיבל עו"ד לנגנטל את תשובת היועצת המשפטית לבקשה ואף לא הנחייה כלשהי ממנהל האגף למרות שהובא לידיעתם כי קיים חשש למראית עין של ניגוד עניינים.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10.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ראה מעקב לליקוי מספר 5.</w:t>
      </w: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11.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ראוי שהמשרד ימנה ועדה מקצועית אשר תהיה אחראית לקביעת התקנון ולשינויים בו וכן תבחן מעת לעת את התאמתו לשינויים המתחוללים בחברה הישראלית כך שירחיבו את מעגל מקבלי הפרס ויאפשרו את הענקתו גם לבאים מקבוצות אוכלוסייה נוספות מבלי לפגוע במצוינות הנדרשת לקבלתו.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מעקב</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9C2F92" w:rsidRPr="009C2F92" w:rsidRDefault="009C2F92" w:rsidP="009C2F92">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11.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ראה מעקב לליקוי מספר 1. ראה הערות רה"מ </w:t>
      </w:r>
      <w:proofErr w:type="spellStart"/>
      <w:r w:rsidRPr="009C2F92">
        <w:rPr>
          <w:rFonts w:ascii="David" w:eastAsiaTheme="minorHAnsi" w:cs="David" w:hint="cs"/>
          <w:color w:val="000000"/>
          <w:kern w:val="0"/>
          <w:szCs w:val="24"/>
          <w:rtl/>
          <w:lang w:eastAsia="en-US"/>
        </w:rPr>
        <w:t>60ב</w:t>
      </w:r>
      <w:proofErr w:type="spellEnd"/>
      <w:r w:rsidRPr="009C2F92">
        <w:rPr>
          <w:rFonts w:ascii="David" w:eastAsiaTheme="minorHAnsi" w:cs="David" w:hint="cs"/>
          <w:color w:val="000000"/>
          <w:kern w:val="0"/>
          <w:szCs w:val="24"/>
          <w:rtl/>
          <w:lang w:eastAsia="en-US"/>
        </w:rPr>
        <w:t xml:space="preserve">' </w:t>
      </w:r>
      <w:proofErr w:type="spellStart"/>
      <w:r w:rsidRPr="009C2F92">
        <w:rPr>
          <w:rFonts w:ascii="David" w:eastAsiaTheme="minorHAnsi" w:cs="David" w:hint="cs"/>
          <w:color w:val="000000"/>
          <w:kern w:val="0"/>
          <w:szCs w:val="24"/>
          <w:rtl/>
          <w:lang w:eastAsia="en-US"/>
        </w:rPr>
        <w:t>עמ</w:t>
      </w:r>
      <w:proofErr w:type="spellEnd"/>
      <w:r w:rsidRPr="009C2F92">
        <w:rPr>
          <w:rFonts w:ascii="David" w:eastAsiaTheme="minorHAnsi" w:cs="David" w:hint="cs"/>
          <w:color w:val="000000"/>
          <w:kern w:val="0"/>
          <w:szCs w:val="24"/>
          <w:rtl/>
          <w:lang w:eastAsia="en-US"/>
        </w:rPr>
        <w:t>' 192.</w:t>
      </w:r>
    </w:p>
    <w:p w:rsidR="009C2F92" w:rsidRPr="009C2F92" w:rsidRDefault="009C2F92" w:rsidP="009C2F92">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t>ליקוי</w:t>
      </w:r>
    </w:p>
    <w:p w:rsidR="009C2F92" w:rsidRPr="009C2F92" w:rsidRDefault="009C2F92" w:rsidP="009C2F92">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14.</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 xml:space="preserve">יש מקום שהממשלה תבחן אפשרות להעברת האחריות להענקתו לגורם ממלכתי דוגמת נשיא המדינה שישמור על הצביון הממלכתי-יוקרתי שלו ואף יעצימו. אנו כותבים זאת בשולי דוח זה ומשאירים את העניין, כאמור, ב"צריך עיון". </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9C2F92" w:rsidRDefault="009C2F92" w:rsidP="009C2F92">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9C2F92" w:rsidRDefault="009C2F92" w:rsidP="009C2F92">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9C2F92">
        <w:rPr>
          <w:rFonts w:ascii="David" w:eastAsiaTheme="minorHAnsi" w:cs="David" w:hint="cs"/>
          <w:b/>
          <w:bCs/>
          <w:color w:val="000000"/>
          <w:kern w:val="0"/>
          <w:szCs w:val="24"/>
          <w:rtl/>
          <w:lang w:eastAsia="en-US"/>
        </w:rPr>
        <w:lastRenderedPageBreak/>
        <w:t>מעקב</w:t>
      </w:r>
    </w:p>
    <w:p w:rsidR="009C2F92" w:rsidRPr="009C2F92" w:rsidRDefault="009C2F92" w:rsidP="009C2F92">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9C2F92" w:rsidRPr="009C2F92" w:rsidRDefault="009C2F92" w:rsidP="009C2F92">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9C2F92">
        <w:rPr>
          <w:rFonts w:ascii="David" w:eastAsiaTheme="minorHAnsi" w:cs="David" w:hint="cs"/>
          <w:color w:val="000000"/>
          <w:kern w:val="0"/>
          <w:szCs w:val="24"/>
          <w:rtl/>
          <w:lang w:eastAsia="en-US"/>
        </w:rPr>
        <w:t xml:space="preserve">14. </w:t>
      </w:r>
      <w:r w:rsidRPr="009C2F92">
        <w:rPr>
          <w:rFonts w:ascii="David" w:eastAsiaTheme="minorHAnsi" w:cs="David"/>
          <w:color w:val="000000"/>
          <w:kern w:val="0"/>
          <w:szCs w:val="24"/>
          <w:rtl/>
          <w:lang w:eastAsia="en-US"/>
        </w:rPr>
        <w:tab/>
      </w:r>
      <w:r w:rsidRPr="009C2F92">
        <w:rPr>
          <w:rFonts w:ascii="David" w:eastAsiaTheme="minorHAnsi" w:cs="David" w:hint="cs"/>
          <w:color w:val="000000"/>
          <w:kern w:val="0"/>
          <w:szCs w:val="24"/>
          <w:rtl/>
          <w:lang w:eastAsia="en-US"/>
        </w:rPr>
        <w:t>המשרד סבור שפרס ישראל צריך להישאר באחריות השר הממונה על ההשכלה הגבוהה.</w:t>
      </w:r>
    </w:p>
    <w:p w:rsidR="00D76020" w:rsidRPr="009C2F92" w:rsidRDefault="00D76020" w:rsidP="009C2F92">
      <w:pPr>
        <w:rPr>
          <w:szCs w:val="24"/>
          <w:rtl/>
        </w:rPr>
      </w:pPr>
    </w:p>
    <w:sectPr w:rsidR="00D76020" w:rsidRPr="009C2F92" w:rsidSect="00C92B7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B70" w:rsidRDefault="00C92B70" w:rsidP="00CC5015">
      <w:r>
        <w:separator/>
      </w:r>
    </w:p>
  </w:endnote>
  <w:endnote w:type="continuationSeparator" w:id="1">
    <w:p w:rsidR="00C92B70" w:rsidRDefault="00C92B70" w:rsidP="00CC50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B70" w:rsidRDefault="00C92B70" w:rsidP="00CC5015">
      <w:r>
        <w:separator/>
      </w:r>
    </w:p>
  </w:footnote>
  <w:footnote w:type="continuationSeparator" w:id="1">
    <w:p w:rsidR="00C92B70" w:rsidRDefault="00C92B70" w:rsidP="00CC50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B70" w:rsidRPr="00000274" w:rsidRDefault="00B674F6" w:rsidP="00C92B70">
    <w:pPr>
      <w:pStyle w:val="a3"/>
      <w:tabs>
        <w:tab w:val="clear" w:pos="4153"/>
      </w:tabs>
      <w:jc w:val="right"/>
      <w:rPr>
        <w:rFonts w:cs="David"/>
        <w:sz w:val="16"/>
        <w:szCs w:val="16"/>
        <w:rtl/>
      </w:rPr>
    </w:pPr>
    <w:r w:rsidRPr="00000274">
      <w:rPr>
        <w:rFonts w:cs="David"/>
        <w:sz w:val="16"/>
        <w:szCs w:val="16"/>
        <w:rtl/>
      </w:rPr>
      <w:fldChar w:fldCharType="begin"/>
    </w:r>
    <w:r w:rsidR="00C92B70" w:rsidRPr="00000274">
      <w:rPr>
        <w:rFonts w:cs="David"/>
        <w:sz w:val="16"/>
        <w:szCs w:val="16"/>
        <w:rtl/>
      </w:rPr>
      <w:instrText xml:space="preserve"> </w:instrText>
    </w:r>
    <w:r w:rsidR="00C92B70" w:rsidRPr="00000274">
      <w:rPr>
        <w:rFonts w:cs="David" w:hint="cs"/>
        <w:sz w:val="16"/>
        <w:szCs w:val="16"/>
      </w:rPr>
      <w:instrText>TIME  \@ "HH:mm"  \* MERGEFORMAT</w:instrText>
    </w:r>
    <w:r w:rsidR="00C92B70" w:rsidRPr="00000274">
      <w:rPr>
        <w:rFonts w:cs="David"/>
        <w:sz w:val="16"/>
        <w:szCs w:val="16"/>
        <w:rtl/>
      </w:rPr>
      <w:instrText xml:space="preserve"> </w:instrText>
    </w:r>
    <w:r w:rsidRPr="00000274">
      <w:rPr>
        <w:rFonts w:cs="David"/>
        <w:sz w:val="16"/>
        <w:szCs w:val="16"/>
        <w:rtl/>
      </w:rPr>
      <w:fldChar w:fldCharType="separate"/>
    </w:r>
    <w:r w:rsidR="009C2F92">
      <w:rPr>
        <w:rFonts w:cs="David"/>
        <w:noProof/>
        <w:sz w:val="16"/>
        <w:szCs w:val="16"/>
        <w:rtl/>
      </w:rPr>
      <w:t>‏11:54</w:t>
    </w:r>
    <w:r w:rsidRPr="00000274">
      <w:rPr>
        <w:rFonts w:cs="David"/>
        <w:sz w:val="16"/>
        <w:szCs w:val="16"/>
        <w:rtl/>
      </w:rPr>
      <w:fldChar w:fldCharType="end"/>
    </w:r>
    <w:r w:rsidR="00C92B70" w:rsidRPr="00000274">
      <w:rPr>
        <w:rFonts w:cs="David" w:hint="cs"/>
        <w:sz w:val="16"/>
        <w:szCs w:val="16"/>
        <w:rtl/>
      </w:rPr>
      <w:t xml:space="preserve">  </w:t>
    </w:r>
    <w:r w:rsidRPr="00000274">
      <w:rPr>
        <w:rFonts w:cs="David"/>
        <w:sz w:val="16"/>
        <w:szCs w:val="16"/>
        <w:rtl/>
      </w:rPr>
      <w:fldChar w:fldCharType="begin"/>
    </w:r>
    <w:r w:rsidR="00C92B70" w:rsidRPr="00000274">
      <w:rPr>
        <w:rFonts w:cs="David"/>
        <w:sz w:val="16"/>
        <w:szCs w:val="16"/>
        <w:rtl/>
      </w:rPr>
      <w:instrText xml:space="preserve"> </w:instrText>
    </w:r>
    <w:r w:rsidR="00C92B70" w:rsidRPr="00000274">
      <w:rPr>
        <w:rFonts w:cs="David" w:hint="cs"/>
        <w:sz w:val="16"/>
        <w:szCs w:val="16"/>
      </w:rPr>
      <w:instrText>DATE  \@ "yyyy-MM-dd"  \* MERGEFORMAT</w:instrText>
    </w:r>
    <w:r w:rsidR="00C92B70" w:rsidRPr="00000274">
      <w:rPr>
        <w:rFonts w:cs="David"/>
        <w:sz w:val="16"/>
        <w:szCs w:val="16"/>
        <w:rtl/>
      </w:rPr>
      <w:instrText xml:space="preserve"> </w:instrText>
    </w:r>
    <w:r w:rsidRPr="00000274">
      <w:rPr>
        <w:rFonts w:cs="David"/>
        <w:sz w:val="16"/>
        <w:szCs w:val="16"/>
        <w:rtl/>
      </w:rPr>
      <w:fldChar w:fldCharType="separate"/>
    </w:r>
    <w:r w:rsidR="009C2F92">
      <w:rPr>
        <w:rFonts w:cs="David"/>
        <w:noProof/>
        <w:sz w:val="16"/>
        <w:szCs w:val="16"/>
        <w:rtl/>
      </w:rPr>
      <w:t>‏2010–12–12</w:t>
    </w:r>
    <w:r w:rsidRPr="00000274">
      <w:rPr>
        <w:rFonts w:cs="David"/>
        <w:sz w:val="16"/>
        <w:szCs w:val="16"/>
        <w:rtl/>
      </w:rPr>
      <w:fldChar w:fldCharType="end"/>
    </w:r>
    <w:r w:rsidR="00C92B70" w:rsidRPr="00000274">
      <w:rPr>
        <w:rFonts w:hint="cs"/>
        <w:sz w:val="16"/>
        <w:szCs w:val="16"/>
        <w:rtl/>
      </w:rPr>
      <w:t xml:space="preserve">   </w:t>
    </w:r>
    <w:fldSimple w:instr=" FILENAME  \* FirstCap \p  \* MERGEFORMAT ">
      <w:r w:rsidR="004D7F90" w:rsidRPr="004D7F90">
        <w:rPr>
          <w:noProof/>
          <w:sz w:val="16"/>
          <w:szCs w:val="16"/>
        </w:rPr>
        <w:t>L:\</w:t>
      </w:r>
      <w:r w:rsidR="004D7F90" w:rsidRPr="004D7F90">
        <w:rPr>
          <w:noProof/>
          <w:sz w:val="16"/>
          <w:szCs w:val="16"/>
          <w:rtl/>
        </w:rPr>
        <w:t>הספר - מעקבים 60ב\עקיבא\60ב\חינוך\פרס ישראל</w:t>
      </w:r>
      <w:r w:rsidR="004D7F90" w:rsidRPr="004D7F90">
        <w:rPr>
          <w:noProof/>
          <w:sz w:val="16"/>
          <w:szCs w:val="16"/>
        </w:rPr>
        <w:t>.docx</w:t>
      </w:r>
    </w:fldSimple>
    <w:r w:rsidR="00C92B70" w:rsidRPr="001F4267">
      <w:rPr>
        <w:rFonts w:hint="cs"/>
        <w:sz w:val="16"/>
        <w:szCs w:val="16"/>
        <w:rtl/>
      </w:rPr>
      <w:t xml:space="preserve">    </w:t>
    </w:r>
    <w:r w:rsidR="00C92B70" w:rsidRPr="00000274">
      <w:rPr>
        <w:rFonts w:cs="David" w:hint="cs"/>
        <w:sz w:val="16"/>
        <w:szCs w:val="16"/>
        <w:rtl/>
      </w:rPr>
      <w:t>-</w:t>
    </w:r>
    <w:r w:rsidRPr="00000274">
      <w:rPr>
        <w:rFonts w:cs="David"/>
        <w:sz w:val="16"/>
        <w:szCs w:val="16"/>
        <w:rtl/>
      </w:rPr>
      <w:fldChar w:fldCharType="begin"/>
    </w:r>
    <w:r w:rsidR="00C92B70" w:rsidRPr="00000274">
      <w:rPr>
        <w:rFonts w:cs="David"/>
        <w:sz w:val="16"/>
        <w:szCs w:val="16"/>
        <w:rtl/>
      </w:rPr>
      <w:instrText xml:space="preserve"> </w:instrText>
    </w:r>
    <w:r w:rsidR="00C92B70" w:rsidRPr="00000274">
      <w:rPr>
        <w:rFonts w:cs="David"/>
        <w:sz w:val="16"/>
        <w:szCs w:val="16"/>
      </w:rPr>
      <w:instrText>PAGE   \* MERGEFORMAT</w:instrText>
    </w:r>
    <w:r w:rsidR="00C92B70" w:rsidRPr="00000274">
      <w:rPr>
        <w:rFonts w:cs="David"/>
        <w:sz w:val="16"/>
        <w:szCs w:val="16"/>
        <w:rtl/>
      </w:rPr>
      <w:instrText xml:space="preserve"> </w:instrText>
    </w:r>
    <w:r w:rsidRPr="00000274">
      <w:rPr>
        <w:rFonts w:cs="David"/>
        <w:sz w:val="16"/>
        <w:szCs w:val="16"/>
        <w:rtl/>
      </w:rPr>
      <w:fldChar w:fldCharType="separate"/>
    </w:r>
    <w:r w:rsidR="009C2F92">
      <w:rPr>
        <w:rFonts w:cs="David"/>
        <w:noProof/>
        <w:sz w:val="16"/>
        <w:szCs w:val="16"/>
        <w:rtl/>
      </w:rPr>
      <w:t>4</w:t>
    </w:r>
    <w:r w:rsidRPr="00000274">
      <w:rPr>
        <w:rFonts w:cs="David"/>
        <w:sz w:val="16"/>
        <w:szCs w:val="16"/>
        <w:rtl/>
      </w:rPr>
      <w:fldChar w:fldCharType="end"/>
    </w:r>
    <w:r w:rsidR="00C92B70" w:rsidRPr="00000274">
      <w:rPr>
        <w:rFonts w:cs="David" w:hint="cs"/>
        <w:sz w:val="16"/>
        <w:szCs w:val="16"/>
        <w:rtl/>
      </w:rPr>
      <w:t>-</w:t>
    </w:r>
  </w:p>
  <w:p w:rsidR="00C92B70" w:rsidRDefault="00C92B70" w:rsidP="00C92B70">
    <w:pPr>
      <w:tabs>
        <w:tab w:val="left" w:pos="1316"/>
        <w:tab w:val="center" w:pos="4153"/>
      </w:tabs>
      <w:rPr>
        <w:sz w:val="14"/>
        <w:szCs w:val="14"/>
        <w:rtl/>
      </w:rPr>
    </w:pPr>
  </w:p>
  <w:p w:rsidR="00C92B70" w:rsidRDefault="00C92B70" w:rsidP="00C92B70">
    <w:pPr>
      <w:tabs>
        <w:tab w:val="left" w:pos="1316"/>
        <w:tab w:val="center" w:pos="4153"/>
      </w:tabs>
      <w:rPr>
        <w:sz w:val="14"/>
        <w:szCs w:val="14"/>
        <w:rtl/>
      </w:rPr>
    </w:pPr>
  </w:p>
  <w:p w:rsidR="00C92B70" w:rsidRPr="00827F90" w:rsidRDefault="00C92B70" w:rsidP="00B833CA">
    <w:pPr>
      <w:tabs>
        <w:tab w:val="left" w:pos="1316"/>
        <w:tab w:val="center" w:pos="4153"/>
      </w:tabs>
      <w:rPr>
        <w:rFonts w:cs="David"/>
        <w:sz w:val="18"/>
        <w:szCs w:val="18"/>
        <w:u w:val="single"/>
        <w:rtl/>
      </w:rPr>
    </w:pPr>
    <w:r w:rsidRPr="00B833CA">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473F46">
      <w:rPr>
        <w:rFonts w:cs="David" w:hint="cs"/>
        <w:sz w:val="18"/>
        <w:szCs w:val="18"/>
        <w:u w:val="single"/>
        <w:rtl/>
      </w:rPr>
      <w:t xml:space="preserve">              </w:t>
    </w:r>
    <w:r>
      <w:rPr>
        <w:rFonts w:cs="David" w:hint="cs"/>
        <w:sz w:val="18"/>
        <w:szCs w:val="18"/>
        <w:u w:val="single"/>
        <w:rtl/>
      </w:rPr>
      <w:t xml:space="preserve">                                        </w:t>
    </w:r>
    <w:r w:rsidRPr="00473F46">
      <w:rPr>
        <w:rFonts w:cs="David" w:hint="cs"/>
        <w:sz w:val="18"/>
        <w:szCs w:val="18"/>
        <w:u w:val="single"/>
        <w:rtl/>
      </w:rPr>
      <w:t>משרד ה</w:t>
    </w:r>
    <w:r>
      <w:rPr>
        <w:rFonts w:cs="David" w:hint="cs"/>
        <w:sz w:val="18"/>
        <w:szCs w:val="18"/>
        <w:u w:val="single"/>
        <w:rtl/>
      </w:rPr>
      <w:t>חינוך</w:t>
    </w:r>
  </w:p>
  <w:p w:rsidR="00C92B70" w:rsidRPr="009B7306" w:rsidRDefault="00C92B7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82621"/>
    <w:rsid w:val="00000243"/>
    <w:rsid w:val="00000739"/>
    <w:rsid w:val="00027667"/>
    <w:rsid w:val="00043D5A"/>
    <w:rsid w:val="000510D6"/>
    <w:rsid w:val="00073FA9"/>
    <w:rsid w:val="00082BAA"/>
    <w:rsid w:val="00087487"/>
    <w:rsid w:val="000A6723"/>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039B"/>
    <w:rsid w:val="00192663"/>
    <w:rsid w:val="001C723E"/>
    <w:rsid w:val="001D0A55"/>
    <w:rsid w:val="001D2CC6"/>
    <w:rsid w:val="001E6A43"/>
    <w:rsid w:val="002167AE"/>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1753F"/>
    <w:rsid w:val="00425898"/>
    <w:rsid w:val="00435271"/>
    <w:rsid w:val="004377BE"/>
    <w:rsid w:val="004538D4"/>
    <w:rsid w:val="00456C02"/>
    <w:rsid w:val="00467CE6"/>
    <w:rsid w:val="004763C5"/>
    <w:rsid w:val="004917AA"/>
    <w:rsid w:val="004A255F"/>
    <w:rsid w:val="004A5D93"/>
    <w:rsid w:val="004B0F0E"/>
    <w:rsid w:val="004B1C7B"/>
    <w:rsid w:val="004C7217"/>
    <w:rsid w:val="004D7EF1"/>
    <w:rsid w:val="004D7F90"/>
    <w:rsid w:val="004E075B"/>
    <w:rsid w:val="004E327D"/>
    <w:rsid w:val="004E46A0"/>
    <w:rsid w:val="004F2791"/>
    <w:rsid w:val="00510929"/>
    <w:rsid w:val="005139D8"/>
    <w:rsid w:val="00514843"/>
    <w:rsid w:val="005219B4"/>
    <w:rsid w:val="00533C78"/>
    <w:rsid w:val="00537BD2"/>
    <w:rsid w:val="00547425"/>
    <w:rsid w:val="00563607"/>
    <w:rsid w:val="005A548B"/>
    <w:rsid w:val="005A6E05"/>
    <w:rsid w:val="005D57C1"/>
    <w:rsid w:val="005F0E7B"/>
    <w:rsid w:val="0060499E"/>
    <w:rsid w:val="00606B34"/>
    <w:rsid w:val="00606CCF"/>
    <w:rsid w:val="00624861"/>
    <w:rsid w:val="00632551"/>
    <w:rsid w:val="00646F69"/>
    <w:rsid w:val="006643DF"/>
    <w:rsid w:val="006653A5"/>
    <w:rsid w:val="0067780E"/>
    <w:rsid w:val="006807A6"/>
    <w:rsid w:val="006942D9"/>
    <w:rsid w:val="006A67BA"/>
    <w:rsid w:val="006E0566"/>
    <w:rsid w:val="006E7ED9"/>
    <w:rsid w:val="00727A07"/>
    <w:rsid w:val="0073050A"/>
    <w:rsid w:val="00733D53"/>
    <w:rsid w:val="00753962"/>
    <w:rsid w:val="007629F8"/>
    <w:rsid w:val="00762B5D"/>
    <w:rsid w:val="00772A72"/>
    <w:rsid w:val="007736D0"/>
    <w:rsid w:val="007827A7"/>
    <w:rsid w:val="00783E86"/>
    <w:rsid w:val="00786FD2"/>
    <w:rsid w:val="00787AB8"/>
    <w:rsid w:val="007B0C4D"/>
    <w:rsid w:val="007B4AAF"/>
    <w:rsid w:val="007D1079"/>
    <w:rsid w:val="00810E64"/>
    <w:rsid w:val="0081406C"/>
    <w:rsid w:val="00830476"/>
    <w:rsid w:val="00852562"/>
    <w:rsid w:val="00867F44"/>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C2F92"/>
    <w:rsid w:val="009D6F86"/>
    <w:rsid w:val="009E5072"/>
    <w:rsid w:val="009E6EFD"/>
    <w:rsid w:val="009E732F"/>
    <w:rsid w:val="00A020E1"/>
    <w:rsid w:val="00A24D18"/>
    <w:rsid w:val="00A50ADE"/>
    <w:rsid w:val="00A51DC7"/>
    <w:rsid w:val="00A6715C"/>
    <w:rsid w:val="00A67167"/>
    <w:rsid w:val="00A730BC"/>
    <w:rsid w:val="00A73AE3"/>
    <w:rsid w:val="00A811C8"/>
    <w:rsid w:val="00A928A6"/>
    <w:rsid w:val="00A96733"/>
    <w:rsid w:val="00AA1EBD"/>
    <w:rsid w:val="00AC02A2"/>
    <w:rsid w:val="00AC3E47"/>
    <w:rsid w:val="00AF66AA"/>
    <w:rsid w:val="00AF6CAB"/>
    <w:rsid w:val="00AF7804"/>
    <w:rsid w:val="00B00D9A"/>
    <w:rsid w:val="00B16BE4"/>
    <w:rsid w:val="00B3265D"/>
    <w:rsid w:val="00B571BA"/>
    <w:rsid w:val="00B613C7"/>
    <w:rsid w:val="00B669B1"/>
    <w:rsid w:val="00B674F6"/>
    <w:rsid w:val="00B71422"/>
    <w:rsid w:val="00B82574"/>
    <w:rsid w:val="00B833CA"/>
    <w:rsid w:val="00B83D24"/>
    <w:rsid w:val="00B96C6C"/>
    <w:rsid w:val="00BA4815"/>
    <w:rsid w:val="00BA5E48"/>
    <w:rsid w:val="00BA7B4B"/>
    <w:rsid w:val="00BB182C"/>
    <w:rsid w:val="00BB4131"/>
    <w:rsid w:val="00BB7B25"/>
    <w:rsid w:val="00BC6FA3"/>
    <w:rsid w:val="00BD08C2"/>
    <w:rsid w:val="00BE0D3F"/>
    <w:rsid w:val="00C038DE"/>
    <w:rsid w:val="00C03A0E"/>
    <w:rsid w:val="00C3301D"/>
    <w:rsid w:val="00C34195"/>
    <w:rsid w:val="00C366AF"/>
    <w:rsid w:val="00C41FFA"/>
    <w:rsid w:val="00C47981"/>
    <w:rsid w:val="00C51C1D"/>
    <w:rsid w:val="00C6659C"/>
    <w:rsid w:val="00C723C0"/>
    <w:rsid w:val="00C92B70"/>
    <w:rsid w:val="00CA2206"/>
    <w:rsid w:val="00CB6CA1"/>
    <w:rsid w:val="00CC3E2F"/>
    <w:rsid w:val="00CC5015"/>
    <w:rsid w:val="00CC683F"/>
    <w:rsid w:val="00CE2D49"/>
    <w:rsid w:val="00D02568"/>
    <w:rsid w:val="00D038BA"/>
    <w:rsid w:val="00D04CE8"/>
    <w:rsid w:val="00D20800"/>
    <w:rsid w:val="00D31C0C"/>
    <w:rsid w:val="00D37D9E"/>
    <w:rsid w:val="00D57A3C"/>
    <w:rsid w:val="00D66429"/>
    <w:rsid w:val="00D76020"/>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2621"/>
    <w:rsid w:val="00E84B36"/>
    <w:rsid w:val="00E92150"/>
    <w:rsid w:val="00E92381"/>
    <w:rsid w:val="00EA14C1"/>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621"/>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E82621"/>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paragraph" w:styleId="2">
    <w:name w:val="heading 2"/>
    <w:basedOn w:val="a"/>
    <w:next w:val="a"/>
    <w:link w:val="20"/>
    <w:qFormat/>
    <w:rsid w:val="00BB7B25"/>
    <w:pPr>
      <w:keepNext/>
      <w:keepLines/>
      <w:spacing w:before="200" w:line="276" w:lineRule="auto"/>
      <w:outlineLvl w:val="1"/>
    </w:pPr>
    <w:rPr>
      <w:rFonts w:ascii="Cambria" w:eastAsia="Calibri" w:hAnsi="Cambria" w:cs="Times New Roman"/>
      <w:b/>
      <w:bCs/>
      <w:color w:val="4F81BD"/>
      <w:kern w:val="0"/>
      <w:sz w:val="26"/>
      <w:lang w:eastAsia="en-US"/>
    </w:rPr>
  </w:style>
  <w:style w:type="paragraph" w:styleId="3">
    <w:name w:val="heading 3"/>
    <w:basedOn w:val="a"/>
    <w:next w:val="a"/>
    <w:link w:val="30"/>
    <w:qFormat/>
    <w:rsid w:val="00BB7B25"/>
    <w:pPr>
      <w:keepNext/>
      <w:keepLines/>
      <w:spacing w:before="200" w:line="276" w:lineRule="auto"/>
      <w:outlineLvl w:val="2"/>
    </w:pPr>
    <w:rPr>
      <w:rFonts w:ascii="Cambria" w:eastAsia="Calibri" w:hAnsi="Cambria" w:cs="Times New Roman"/>
      <w:b/>
      <w:bCs/>
      <w:color w:val="4F81BD"/>
      <w:kern w:val="0"/>
      <w:sz w:val="22"/>
      <w:szCs w:val="22"/>
      <w:lang w:eastAsia="en-US"/>
    </w:rPr>
  </w:style>
  <w:style w:type="paragraph" w:styleId="4">
    <w:name w:val="heading 4"/>
    <w:basedOn w:val="a"/>
    <w:next w:val="a"/>
    <w:link w:val="40"/>
    <w:qFormat/>
    <w:rsid w:val="00BB7B25"/>
    <w:pPr>
      <w:keepNext/>
      <w:keepLines/>
      <w:spacing w:before="200" w:line="276" w:lineRule="auto"/>
      <w:outlineLvl w:val="3"/>
    </w:pPr>
    <w:rPr>
      <w:rFonts w:ascii="Cambria" w:eastAsia="Calibri" w:hAnsi="Cambria" w:cs="Times New Roman"/>
      <w:b/>
      <w:bCs/>
      <w:i/>
      <w:iCs/>
      <w:color w:val="4F81BD"/>
      <w:kern w:val="0"/>
      <w:sz w:val="22"/>
      <w:szCs w:val="22"/>
      <w:lang w:eastAsia="en-US"/>
    </w:rPr>
  </w:style>
  <w:style w:type="paragraph" w:styleId="5">
    <w:name w:val="heading 5"/>
    <w:basedOn w:val="a"/>
    <w:next w:val="a"/>
    <w:link w:val="50"/>
    <w:qFormat/>
    <w:rsid w:val="00BB7B25"/>
    <w:pPr>
      <w:keepNext/>
      <w:keepLines/>
      <w:widowControl w:val="0"/>
      <w:spacing w:before="200" w:line="312" w:lineRule="auto"/>
      <w:jc w:val="both"/>
      <w:outlineLvl w:val="4"/>
    </w:pPr>
    <w:rPr>
      <w:rFonts w:ascii="Cambria" w:eastAsia="Calibri" w:hAnsi="Cambria" w:cs="Times New Roman"/>
      <w:color w:val="243F60"/>
      <w:kern w:val="0"/>
      <w:sz w:val="20"/>
      <w:szCs w:val="24"/>
    </w:rPr>
  </w:style>
  <w:style w:type="paragraph" w:styleId="7">
    <w:name w:val="heading 7"/>
    <w:basedOn w:val="a"/>
    <w:next w:val="a"/>
    <w:link w:val="70"/>
    <w:qFormat/>
    <w:rsid w:val="00BB7B25"/>
    <w:pPr>
      <w:widowControl w:val="0"/>
      <w:spacing w:line="312" w:lineRule="auto"/>
      <w:jc w:val="both"/>
      <w:outlineLvl w:val="6"/>
    </w:pPr>
    <w:rPr>
      <w:rFonts w:eastAsia="Calibri" w:cs="David"/>
      <w:b/>
      <w:bCs/>
      <w:spacing w:val="40"/>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82621"/>
    <w:rPr>
      <w:rFonts w:ascii="Times New Roman" w:eastAsia="Times New Roman" w:hAnsi="Times New Roman"/>
      <w:b/>
      <w:bCs/>
      <w:i/>
      <w:iCs/>
      <w:sz w:val="36"/>
      <w:szCs w:val="36"/>
    </w:rPr>
  </w:style>
  <w:style w:type="paragraph" w:customStyle="1" w:styleId="11">
    <w:name w:val="הזחה 1 סמ"/>
    <w:basedOn w:val="a"/>
    <w:link w:val="12"/>
    <w:uiPriority w:val="99"/>
    <w:rsid w:val="00E82621"/>
    <w:pPr>
      <w:ind w:left="567" w:hanging="567"/>
      <w:jc w:val="both"/>
    </w:pPr>
    <w:rPr>
      <w:rFonts w:ascii="Arial" w:hAnsi="Arial" w:cs="David"/>
      <w:sz w:val="18"/>
      <w:szCs w:val="24"/>
      <w:lang w:val="en-GB"/>
    </w:rPr>
  </w:style>
  <w:style w:type="character" w:customStyle="1" w:styleId="12">
    <w:name w:val="הזחה 1 סמ תו"/>
    <w:basedOn w:val="a0"/>
    <w:link w:val="11"/>
    <w:rsid w:val="00E82621"/>
    <w:rPr>
      <w:rFonts w:ascii="Arial" w:eastAsia="Times New Roman" w:hAnsi="Arial"/>
      <w:kern w:val="20"/>
      <w:sz w:val="18"/>
      <w:lang w:val="en-GB" w:eastAsia="he-IL"/>
    </w:rPr>
  </w:style>
  <w:style w:type="paragraph" w:styleId="a3">
    <w:name w:val="header"/>
    <w:basedOn w:val="a"/>
    <w:link w:val="a4"/>
    <w:unhideWhenUsed/>
    <w:rsid w:val="00E82621"/>
    <w:pPr>
      <w:tabs>
        <w:tab w:val="center" w:pos="4153"/>
        <w:tab w:val="right" w:pos="8306"/>
      </w:tabs>
    </w:pPr>
  </w:style>
  <w:style w:type="character" w:customStyle="1" w:styleId="a4">
    <w:name w:val="כותרת עליונה תו"/>
    <w:basedOn w:val="a0"/>
    <w:link w:val="a3"/>
    <w:rsid w:val="00E82621"/>
    <w:rPr>
      <w:rFonts w:ascii="Times New Roman" w:eastAsia="Times New Roman" w:hAnsi="Times New Roman" w:cs="MF Narkisim"/>
      <w:kern w:val="20"/>
      <w:szCs w:val="26"/>
      <w:lang w:eastAsia="he-IL"/>
    </w:rPr>
  </w:style>
  <w:style w:type="table" w:styleId="a5">
    <w:name w:val="Table Grid"/>
    <w:basedOn w:val="a1"/>
    <w:rsid w:val="00E82621"/>
    <w:pPr>
      <w:spacing w:line="240" w:lineRule="auto"/>
    </w:pPr>
    <w:rPr>
      <w:rFonts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footer"/>
    <w:basedOn w:val="a"/>
    <w:link w:val="a7"/>
    <w:semiHidden/>
    <w:unhideWhenUsed/>
    <w:rsid w:val="00E82621"/>
    <w:pPr>
      <w:tabs>
        <w:tab w:val="center" w:pos="4153"/>
        <w:tab w:val="right" w:pos="8306"/>
      </w:tabs>
    </w:pPr>
  </w:style>
  <w:style w:type="character" w:customStyle="1" w:styleId="a7">
    <w:name w:val="כותרת תחתונה תו"/>
    <w:basedOn w:val="a0"/>
    <w:link w:val="a6"/>
    <w:semiHidden/>
    <w:rsid w:val="00E82621"/>
    <w:rPr>
      <w:rFonts w:ascii="Times New Roman" w:eastAsia="Times New Roman" w:hAnsi="Times New Roman" w:cs="MF Narkisim"/>
      <w:kern w:val="20"/>
      <w:szCs w:val="26"/>
      <w:lang w:eastAsia="he-IL"/>
    </w:rPr>
  </w:style>
  <w:style w:type="paragraph" w:styleId="a8">
    <w:name w:val="Balloon Text"/>
    <w:basedOn w:val="a"/>
    <w:link w:val="a9"/>
    <w:semiHidden/>
    <w:unhideWhenUsed/>
    <w:rsid w:val="00E82621"/>
    <w:rPr>
      <w:rFonts w:ascii="Tahoma" w:hAnsi="Tahoma" w:cs="Tahoma"/>
      <w:sz w:val="16"/>
      <w:szCs w:val="16"/>
    </w:rPr>
  </w:style>
  <w:style w:type="character" w:customStyle="1" w:styleId="a9">
    <w:name w:val="טקסט בלונים תו"/>
    <w:basedOn w:val="a0"/>
    <w:link w:val="a8"/>
    <w:semiHidden/>
    <w:rsid w:val="00E82621"/>
    <w:rPr>
      <w:rFonts w:ascii="Tahoma" w:eastAsia="Times New Roman" w:hAnsi="Tahoma" w:cs="Tahoma"/>
      <w:kern w:val="20"/>
      <w:sz w:val="16"/>
      <w:szCs w:val="16"/>
      <w:lang w:eastAsia="he-IL"/>
    </w:rPr>
  </w:style>
  <w:style w:type="character" w:customStyle="1" w:styleId="20">
    <w:name w:val="כותרת 2 תו"/>
    <w:basedOn w:val="a0"/>
    <w:link w:val="2"/>
    <w:rsid w:val="00BB7B25"/>
    <w:rPr>
      <w:rFonts w:ascii="Cambria" w:eastAsia="Calibri" w:hAnsi="Cambria" w:cs="Times New Roman"/>
      <w:b/>
      <w:bCs/>
      <w:color w:val="4F81BD"/>
      <w:sz w:val="26"/>
      <w:szCs w:val="26"/>
    </w:rPr>
  </w:style>
  <w:style w:type="character" w:customStyle="1" w:styleId="30">
    <w:name w:val="כותרת 3 תו"/>
    <w:basedOn w:val="a0"/>
    <w:link w:val="3"/>
    <w:rsid w:val="00BB7B25"/>
    <w:rPr>
      <w:rFonts w:ascii="Cambria" w:eastAsia="Calibri" w:hAnsi="Cambria" w:cs="Times New Roman"/>
      <w:b/>
      <w:bCs/>
      <w:color w:val="4F81BD"/>
      <w:sz w:val="22"/>
      <w:szCs w:val="22"/>
    </w:rPr>
  </w:style>
  <w:style w:type="character" w:customStyle="1" w:styleId="40">
    <w:name w:val="כותרת 4 תו"/>
    <w:basedOn w:val="a0"/>
    <w:link w:val="4"/>
    <w:rsid w:val="00BB7B25"/>
    <w:rPr>
      <w:rFonts w:ascii="Cambria" w:eastAsia="Calibri" w:hAnsi="Cambria" w:cs="Times New Roman"/>
      <w:b/>
      <w:bCs/>
      <w:i/>
      <w:iCs/>
      <w:color w:val="4F81BD"/>
      <w:sz w:val="22"/>
      <w:szCs w:val="22"/>
    </w:rPr>
  </w:style>
  <w:style w:type="character" w:customStyle="1" w:styleId="50">
    <w:name w:val="כותרת 5 תו"/>
    <w:basedOn w:val="a0"/>
    <w:link w:val="5"/>
    <w:rsid w:val="00BB7B25"/>
    <w:rPr>
      <w:rFonts w:ascii="Cambria" w:eastAsia="Calibri" w:hAnsi="Cambria" w:cs="Times New Roman"/>
      <w:color w:val="243F60"/>
      <w:sz w:val="20"/>
      <w:lang w:eastAsia="he-IL"/>
    </w:rPr>
  </w:style>
  <w:style w:type="character" w:customStyle="1" w:styleId="70">
    <w:name w:val="כותרת 7 תו"/>
    <w:basedOn w:val="a0"/>
    <w:link w:val="7"/>
    <w:rsid w:val="00BB7B25"/>
    <w:rPr>
      <w:rFonts w:ascii="Times New Roman" w:eastAsia="Calibri" w:hAnsi="Times New Roman"/>
      <w:b/>
      <w:bCs/>
      <w:spacing w:val="40"/>
      <w:lang w:eastAsia="he-IL"/>
    </w:rPr>
  </w:style>
  <w:style w:type="paragraph" w:styleId="aa">
    <w:name w:val="caption"/>
    <w:basedOn w:val="a"/>
    <w:next w:val="a"/>
    <w:qFormat/>
    <w:rsid w:val="00BB7B25"/>
    <w:pPr>
      <w:spacing w:line="360" w:lineRule="auto"/>
      <w:jc w:val="center"/>
    </w:pPr>
    <w:rPr>
      <w:rFonts w:ascii="David" w:eastAsia="Calibri" w:hAnsi="David" w:cs="David"/>
      <w:bCs/>
      <w:i/>
      <w:kern w:val="0"/>
      <w:sz w:val="20"/>
      <w:szCs w:val="20"/>
      <w:lang w:eastAsia="en-US"/>
    </w:rPr>
  </w:style>
  <w:style w:type="paragraph" w:customStyle="1" w:styleId="13">
    <w:name w:val="פיסקת רשימה1"/>
    <w:basedOn w:val="a"/>
    <w:rsid w:val="00BB7B25"/>
    <w:pPr>
      <w:spacing w:after="200" w:line="276" w:lineRule="auto"/>
      <w:ind w:left="720"/>
      <w:contextualSpacing/>
    </w:pPr>
    <w:rPr>
      <w:rFonts w:ascii="Calibri" w:hAnsi="Calibri" w:cs="Arial"/>
      <w:kern w:val="0"/>
      <w:sz w:val="22"/>
      <w:szCs w:val="22"/>
      <w:lang w:eastAsia="en-US"/>
    </w:rPr>
  </w:style>
  <w:style w:type="character" w:customStyle="1" w:styleId="21">
    <w:name w:val="תו תו2"/>
    <w:basedOn w:val="a0"/>
    <w:rsid w:val="00BB7B25"/>
    <w:rPr>
      <w:rFonts w:cs="David"/>
      <w:b/>
      <w:bCs/>
      <w:spacing w:val="40"/>
      <w:sz w:val="24"/>
      <w:szCs w:val="24"/>
      <w:lang w:val="en-US" w:eastAsia="he-IL" w:bidi="he-IL"/>
    </w:rPr>
  </w:style>
  <w:style w:type="paragraph" w:customStyle="1" w:styleId="ab">
    <w:name w:val="נבנצלים"/>
    <w:basedOn w:val="a"/>
    <w:next w:val="a"/>
    <w:link w:val="ac"/>
    <w:rsid w:val="00BB7B25"/>
    <w:pPr>
      <w:widowControl w:val="0"/>
      <w:spacing w:line="312" w:lineRule="auto"/>
      <w:ind w:left="-567"/>
      <w:jc w:val="both"/>
    </w:pPr>
    <w:rPr>
      <w:rFonts w:eastAsia="Calibri" w:cs="David"/>
      <w:kern w:val="0"/>
      <w:sz w:val="20"/>
      <w:szCs w:val="20"/>
    </w:rPr>
  </w:style>
  <w:style w:type="paragraph" w:customStyle="1" w:styleId="14">
    <w:name w:val="פיסקת רשימה1"/>
    <w:basedOn w:val="a"/>
    <w:rsid w:val="00BB7B25"/>
    <w:pPr>
      <w:ind w:left="720"/>
      <w:contextualSpacing/>
    </w:pPr>
    <w:rPr>
      <w:rFonts w:ascii="Century Gothic" w:eastAsia="Calibri" w:hAnsi="Century Gothic" w:cs="David"/>
      <w:noProof/>
      <w:kern w:val="0"/>
      <w:szCs w:val="24"/>
    </w:rPr>
  </w:style>
  <w:style w:type="character" w:customStyle="1" w:styleId="ac">
    <w:name w:val="נבנצלים תו"/>
    <w:basedOn w:val="a0"/>
    <w:link w:val="ab"/>
    <w:locked/>
    <w:rsid w:val="00BB7B25"/>
    <w:rPr>
      <w:rFonts w:ascii="Times New Roman" w:eastAsia="Calibri" w:hAnsi="Times New Roman"/>
      <w:sz w:val="20"/>
      <w:szCs w:val="20"/>
      <w:lang w:eastAsia="he-IL"/>
    </w:rPr>
  </w:style>
  <w:style w:type="character" w:styleId="ad">
    <w:name w:val="footnote reference"/>
    <w:basedOn w:val="a0"/>
    <w:semiHidden/>
    <w:rsid w:val="00BB7B25"/>
    <w:rPr>
      <w:rFonts w:cs="Times New Roman"/>
      <w:vertAlign w:val="superscript"/>
    </w:rPr>
  </w:style>
  <w:style w:type="paragraph" w:styleId="NormalWeb">
    <w:name w:val="Normal (Web)"/>
    <w:basedOn w:val="a"/>
    <w:semiHidden/>
    <w:rsid w:val="00BB7B25"/>
    <w:pPr>
      <w:bidi w:val="0"/>
      <w:spacing w:before="100" w:beforeAutospacing="1" w:after="100" w:afterAutospacing="1"/>
    </w:pPr>
    <w:rPr>
      <w:rFonts w:ascii="Arial Unicode MS" w:eastAsia="Arial Unicode MS" w:hAnsi="Arial Unicode MS" w:cs="Arial Unicode MS"/>
      <w:kern w:val="0"/>
      <w:szCs w:val="24"/>
    </w:rPr>
  </w:style>
  <w:style w:type="character" w:customStyle="1" w:styleId="51">
    <w:name w:val="כותרת 5 תו1"/>
    <w:basedOn w:val="a0"/>
    <w:locked/>
    <w:rsid w:val="00BB7B25"/>
    <w:rPr>
      <w:rFonts w:ascii="Times New Roman" w:hAnsi="Times New Roman" w:cs="David"/>
      <w:b/>
      <w:bCs/>
      <w:spacing w:val="40"/>
      <w:sz w:val="24"/>
      <w:szCs w:val="24"/>
      <w:lang w:eastAsia="he-IL" w:bidi="he-IL"/>
    </w:rPr>
  </w:style>
  <w:style w:type="paragraph" w:styleId="ae">
    <w:name w:val="footnote text"/>
    <w:basedOn w:val="a"/>
    <w:link w:val="af"/>
    <w:semiHidden/>
    <w:rsid w:val="00BB7B25"/>
    <w:pPr>
      <w:widowControl w:val="0"/>
      <w:spacing w:line="312" w:lineRule="auto"/>
      <w:ind w:left="567" w:hanging="567"/>
      <w:jc w:val="both"/>
    </w:pPr>
    <w:rPr>
      <w:rFonts w:eastAsia="Calibri" w:cs="David"/>
      <w:kern w:val="0"/>
      <w:szCs w:val="20"/>
    </w:rPr>
  </w:style>
  <w:style w:type="character" w:customStyle="1" w:styleId="af">
    <w:name w:val="טקסט הערת שוליים תו"/>
    <w:basedOn w:val="a0"/>
    <w:link w:val="ae"/>
    <w:semiHidden/>
    <w:rsid w:val="00BB7B25"/>
    <w:rPr>
      <w:rFonts w:ascii="Times New Roman" w:eastAsia="Calibri" w:hAnsi="Times New Roman"/>
      <w:szCs w:val="20"/>
      <w:lang w:eastAsia="he-IL"/>
    </w:rPr>
  </w:style>
  <w:style w:type="character" w:styleId="af0">
    <w:name w:val="annotation reference"/>
    <w:basedOn w:val="a0"/>
    <w:semiHidden/>
    <w:rsid w:val="00BB7B25"/>
    <w:rPr>
      <w:rFonts w:ascii="Times New Roman" w:hAnsi="Times New Roman" w:cs="Times New Roman"/>
      <w:sz w:val="16"/>
      <w:szCs w:val="16"/>
    </w:rPr>
  </w:style>
  <w:style w:type="paragraph" w:customStyle="1" w:styleId="-">
    <w:name w:val="כותרת מאמר-נטוי"/>
    <w:basedOn w:val="a"/>
    <w:uiPriority w:val="99"/>
    <w:rsid w:val="009C2F9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6"/>
      <w:szCs w:val="36"/>
      <w:lang w:eastAsia="en-US"/>
    </w:rPr>
  </w:style>
  <w:style w:type="paragraph" w:customStyle="1" w:styleId="af1">
    <w:name w:val="כותרת מאמר"/>
    <w:basedOn w:val="a"/>
    <w:uiPriority w:val="99"/>
    <w:rsid w:val="009C2F9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f2">
    <w:name w:val="כותרת ליקוי"/>
    <w:basedOn w:val="a"/>
    <w:uiPriority w:val="99"/>
    <w:rsid w:val="009C2F92"/>
    <w:pPr>
      <w:keepNext/>
      <w:suppressAutoHyphens/>
      <w:autoSpaceDE w:val="0"/>
      <w:autoSpaceDN w:val="0"/>
      <w:adjustRightInd w:val="0"/>
      <w:spacing w:after="170" w:line="260" w:lineRule="atLeast"/>
      <w:ind w:left="567" w:hanging="567"/>
      <w:jc w:val="both"/>
      <w:textAlignment w:val="center"/>
    </w:pPr>
    <w:rPr>
      <w:rFonts w:ascii="David" w:eastAsiaTheme="minorHAnsi" w:hAnsiTheme="minorHAnsi" w:cs="David"/>
      <w:b/>
      <w:bCs/>
      <w:color w:val="000000"/>
      <w:kern w:val="0"/>
      <w:szCs w:val="24"/>
      <w:lang w:eastAsia="en-US"/>
    </w:rPr>
  </w:style>
</w:styles>
</file>

<file path=word/webSettings.xml><?xml version="1.0" encoding="utf-8"?>
<w:webSettings xmlns:r="http://schemas.openxmlformats.org/officeDocument/2006/relationships" xmlns:w="http://schemas.openxmlformats.org/wordprocessingml/2006/main">
  <w:divs>
    <w:div w:id="10576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779</Words>
  <Characters>3897</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AMD1</cp:lastModifiedBy>
  <cp:revision>2</cp:revision>
  <dcterms:created xsi:type="dcterms:W3CDTF">2010-12-12T09:55:00Z</dcterms:created>
  <dcterms:modified xsi:type="dcterms:W3CDTF">2010-12-12T09:55:00Z</dcterms:modified>
</cp:coreProperties>
</file>