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92A" w:rsidRPr="003C592A" w:rsidRDefault="003C592A" w:rsidP="003C592A">
      <w:pPr>
        <w:suppressAutoHyphens/>
        <w:autoSpaceDE w:val="0"/>
        <w:autoSpaceDN w:val="0"/>
        <w:adjustRightInd w:val="0"/>
        <w:spacing w:after="170" w:line="288" w:lineRule="auto"/>
        <w:jc w:val="center"/>
        <w:textAlignment w:val="center"/>
        <w:rPr>
          <w:rFonts w:ascii="David" w:eastAsiaTheme="minorHAnsi" w:hAnsiTheme="minorHAnsi" w:cs="David"/>
          <w:b/>
          <w:bCs/>
          <w:color w:val="000000"/>
          <w:sz w:val="32"/>
          <w:szCs w:val="32"/>
          <w:rtl/>
        </w:rPr>
      </w:pPr>
      <w:r w:rsidRPr="003C592A">
        <w:rPr>
          <w:rFonts w:ascii="David" w:eastAsiaTheme="minorHAnsi" w:hAnsiTheme="minorHAnsi" w:cs="David" w:hint="cs"/>
          <w:b/>
          <w:bCs/>
          <w:color w:val="000000"/>
          <w:sz w:val="32"/>
          <w:szCs w:val="32"/>
          <w:rtl/>
        </w:rPr>
        <w:t>ייזום ומימוש של תכניות פיתוח בתחום התשתית</w:t>
      </w:r>
    </w:p>
    <w:p w:rsidR="003C592A" w:rsidRPr="003C592A" w:rsidRDefault="003C592A" w:rsidP="003C592A">
      <w:pPr>
        <w:suppressAutoHyphens/>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 xml:space="preserve">הגופים המבוקרים: משרד האוצר; המשרד להגנת הסביבה; משרד הפנים; משרד ראש הממשלה; משרד התחבורה והבטיחות בדרכים; משרד התשתיות הלאומיות </w:t>
      </w:r>
    </w:p>
    <w:p w:rsidR="003C592A" w:rsidRPr="003C592A" w:rsidRDefault="003C592A" w:rsidP="003C592A">
      <w:pPr>
        <w:autoSpaceDE w:val="0"/>
        <w:autoSpaceDN w:val="0"/>
        <w:adjustRightInd w:val="0"/>
        <w:spacing w:line="288" w:lineRule="auto"/>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 xml:space="preserve">ליקוי 7 תוקן. ראה הערות רה"מ </w:t>
      </w:r>
      <w:proofErr w:type="spellStart"/>
      <w:r w:rsidRPr="003C592A">
        <w:rPr>
          <w:rFonts w:ascii="David" w:eastAsiaTheme="minorHAnsi" w:cs="David" w:hint="cs"/>
          <w:color w:val="000000"/>
          <w:sz w:val="24"/>
          <w:szCs w:val="24"/>
          <w:rtl/>
        </w:rPr>
        <w:t>60ב</w:t>
      </w:r>
      <w:proofErr w:type="spellEnd"/>
      <w:r w:rsidRPr="003C592A">
        <w:rPr>
          <w:rFonts w:ascii="David" w:eastAsiaTheme="minorHAnsi" w:cs="David" w:hint="cs"/>
          <w:color w:val="000000"/>
          <w:sz w:val="24"/>
          <w:szCs w:val="24"/>
          <w:rtl/>
        </w:rPr>
        <w:t xml:space="preserve">' </w:t>
      </w:r>
      <w:proofErr w:type="spellStart"/>
      <w:r w:rsidRPr="003C592A">
        <w:rPr>
          <w:rFonts w:ascii="David" w:eastAsiaTheme="minorHAnsi" w:cs="David" w:hint="cs"/>
          <w:color w:val="000000"/>
          <w:sz w:val="24"/>
          <w:szCs w:val="24"/>
          <w:rtl/>
        </w:rPr>
        <w:t>עמ</w:t>
      </w:r>
      <w:proofErr w:type="spellEnd"/>
      <w:r w:rsidRPr="003C592A">
        <w:rPr>
          <w:rFonts w:ascii="David" w:eastAsiaTheme="minorHAnsi" w:cs="David" w:hint="cs"/>
          <w:color w:val="000000"/>
          <w:sz w:val="24"/>
          <w:szCs w:val="24"/>
          <w:rtl/>
        </w:rPr>
        <w:t>' 18.</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ליקוי</w:t>
      </w:r>
    </w:p>
    <w:p w:rsidR="003C592A" w:rsidRPr="003C592A" w:rsidRDefault="003C592A" w:rsidP="003C592A">
      <w:pPr>
        <w:suppressAutoHyphens/>
        <w:autoSpaceDE w:val="0"/>
        <w:autoSpaceDN w:val="0"/>
        <w:adjustRightInd w:val="0"/>
        <w:spacing w:after="170" w:line="260" w:lineRule="atLeast"/>
        <w:ind w:left="283" w:hanging="283"/>
        <w:jc w:val="both"/>
        <w:textAlignment w:val="center"/>
        <w:rPr>
          <w:rFonts w:ascii="David" w:eastAsiaTheme="minorHAnsi" w:hAnsiTheme="minorHAnsi" w:cs="David"/>
          <w:color w:val="000000"/>
          <w:sz w:val="24"/>
          <w:szCs w:val="24"/>
          <w:rtl/>
        </w:rPr>
      </w:pPr>
      <w:r w:rsidRPr="003C592A">
        <w:rPr>
          <w:rFonts w:ascii="David" w:eastAsiaTheme="minorHAnsi" w:hAnsiTheme="minorHAnsi" w:cs="David" w:hint="cs"/>
          <w:color w:val="000000"/>
          <w:sz w:val="24"/>
          <w:szCs w:val="24"/>
          <w:rtl/>
        </w:rPr>
        <w:t xml:space="preserve">אי-יישומן של תכניות פיתוח של תשתיות חיוניות למשק, חריגה מלוחות הזמנים ומהתקציבים שיועדו להן והיעדר מידע מרוכז, מפורט ומעודכן שיאפשר השוואה בין העלויות ולוחות הזמנים המתוכננים ובין המצב בפועל - מלמדים על כשל ניהולי של משרדי הממשלה, רשויות המדינה האחרות ואלה שמבצעים את העבודות מטעמם ושל העומדים בראשם. </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מעקב</w:t>
      </w:r>
    </w:p>
    <w:p w:rsidR="003C592A" w:rsidRPr="003C592A" w:rsidRDefault="003C592A" w:rsidP="003C592A">
      <w:pPr>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1.</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 xml:space="preserve">לא דווח על התקדמות בתיקון הליקוי. ראה הערות רה"מ </w:t>
      </w:r>
      <w:proofErr w:type="spellStart"/>
      <w:r w:rsidRPr="003C592A">
        <w:rPr>
          <w:rFonts w:ascii="David" w:eastAsiaTheme="minorHAnsi" w:cs="David" w:hint="cs"/>
          <w:color w:val="000000"/>
          <w:sz w:val="24"/>
          <w:szCs w:val="24"/>
          <w:rtl/>
        </w:rPr>
        <w:t>60ב</w:t>
      </w:r>
      <w:proofErr w:type="spellEnd"/>
      <w:r w:rsidRPr="003C592A">
        <w:rPr>
          <w:rFonts w:ascii="David" w:eastAsiaTheme="minorHAnsi" w:cs="David" w:hint="cs"/>
          <w:color w:val="000000"/>
          <w:sz w:val="24"/>
          <w:szCs w:val="24"/>
          <w:rtl/>
        </w:rPr>
        <w:t xml:space="preserve">' </w:t>
      </w:r>
      <w:proofErr w:type="spellStart"/>
      <w:r w:rsidRPr="003C592A">
        <w:rPr>
          <w:rFonts w:ascii="David" w:eastAsiaTheme="minorHAnsi" w:cs="David" w:hint="cs"/>
          <w:color w:val="000000"/>
          <w:sz w:val="24"/>
          <w:szCs w:val="24"/>
          <w:rtl/>
        </w:rPr>
        <w:t>עמ</w:t>
      </w:r>
      <w:proofErr w:type="spellEnd"/>
      <w:r w:rsidRPr="003C592A">
        <w:rPr>
          <w:rFonts w:ascii="David" w:eastAsiaTheme="minorHAnsi" w:cs="David" w:hint="cs"/>
          <w:color w:val="000000"/>
          <w:sz w:val="24"/>
          <w:szCs w:val="24"/>
          <w:rtl/>
        </w:rPr>
        <w:t>' 13.</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ליקוי</w:t>
      </w:r>
    </w:p>
    <w:p w:rsidR="003C592A" w:rsidRPr="003C592A" w:rsidRDefault="003C592A" w:rsidP="003C592A">
      <w:pPr>
        <w:suppressAutoHyphens/>
        <w:autoSpaceDE w:val="0"/>
        <w:autoSpaceDN w:val="0"/>
        <w:adjustRightInd w:val="0"/>
        <w:spacing w:after="170" w:line="260" w:lineRule="atLeast"/>
        <w:ind w:left="283" w:hanging="283"/>
        <w:jc w:val="both"/>
        <w:textAlignment w:val="center"/>
        <w:rPr>
          <w:rFonts w:ascii="David" w:eastAsiaTheme="minorHAnsi" w:hAnsiTheme="minorHAnsi" w:cs="David"/>
          <w:color w:val="000000"/>
          <w:sz w:val="24"/>
          <w:szCs w:val="24"/>
          <w:rtl/>
        </w:rPr>
      </w:pPr>
      <w:r w:rsidRPr="003C592A">
        <w:rPr>
          <w:rFonts w:ascii="David" w:eastAsiaTheme="minorHAnsi" w:hAnsiTheme="minorHAnsi" w:cs="David" w:hint="cs"/>
          <w:color w:val="000000"/>
          <w:sz w:val="24"/>
          <w:szCs w:val="24"/>
          <w:rtl/>
        </w:rPr>
        <w:t xml:space="preserve">הממשלה לא הסמיכה באופן רשמי גוף מטה שירכז את נתוני צורכי הפיתוח בכל תחומי התשתית השונים ויוכל להציג לה תמונה מקיפה ומפורטת של כלל צורכי התשתית בכל תחום, ותכניות מפורטות שיאפשרו לספק צרכים חיוניים בכלל וצרכים דחופים בפרט. כפועל יוצא מהיעדר גוף כזה, אגף התקציבים שאינו הגוף האחראי למתן פתרונות בתחומי התשתיות ולקביעת חיוניותם וסדר העדיפויות שלהם, מרכז את הנתונים על צורכי הפיתוח ומתעדף את תכניות הפיתוח. הדבר גורם חילוקי דעות בין המשרדים המקצועיים לבין גופי המטה השונים כדוגמת משרד האוצר, בעניין תוקפן של החלטות התעדוף השונות. </w:t>
      </w:r>
    </w:p>
    <w:p w:rsidR="003C592A" w:rsidRPr="003C592A" w:rsidRDefault="003C592A" w:rsidP="003C592A">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מעקב</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משרד ראש הממשלה</w:t>
      </w:r>
    </w:p>
    <w:p w:rsidR="003C592A" w:rsidRPr="003C592A" w:rsidRDefault="003C592A" w:rsidP="003C592A">
      <w:pPr>
        <w:suppressAutoHyphens/>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2.</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המשרד בחן את האפשרות להקמת גוף מטה מרכזי. אולם במבנה המשטר הקיים במדינת ישראל וחלוקת הסמכות בין משרדי הממשלה, הגיע משרד ראש הממשלה למסקנה לפיה מתכונת ניהולית בה "דוחפים למעלה" את תהליכי קבלת ההחלטות, גורמת לעיקור המשרדים המקצועיים ואינה מתאימה לשיטות הניהול של ממשלה במשטר דמוקרטי/קואליציוני.</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ליקוי</w:t>
      </w:r>
    </w:p>
    <w:p w:rsidR="003C592A" w:rsidRDefault="003C592A" w:rsidP="003C592A">
      <w:pPr>
        <w:suppressAutoHyphens/>
        <w:autoSpaceDE w:val="0"/>
        <w:autoSpaceDN w:val="0"/>
        <w:adjustRightInd w:val="0"/>
        <w:spacing w:line="288" w:lineRule="auto"/>
        <w:ind w:left="567" w:hanging="567"/>
        <w:jc w:val="both"/>
        <w:textAlignment w:val="center"/>
        <w:rPr>
          <w:rFonts w:ascii="David" w:eastAsiaTheme="minorHAnsi" w:cs="David" w:hint="cs"/>
          <w:color w:val="000000"/>
          <w:sz w:val="24"/>
          <w:szCs w:val="24"/>
          <w:rtl/>
        </w:rPr>
      </w:pPr>
      <w:r w:rsidRPr="003C592A">
        <w:rPr>
          <w:rFonts w:ascii="David" w:eastAsiaTheme="minorHAnsi" w:cs="David" w:hint="cs"/>
          <w:color w:val="000000"/>
          <w:sz w:val="24"/>
          <w:szCs w:val="24"/>
          <w:rtl/>
        </w:rPr>
        <w:t xml:space="preserve">3. </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 xml:space="preserve">במקרים מסוימים מאשרים בממשלה או במשרדים פרויקטים הכלולים בתכניות הפיתוח, אף שלא נבחנו כנדרש החלופות השונות וכדאיותן הכלכלית והמקורות התקציביים למימושם. יתרה מזו - התמונה הכלכלית המוצגת בפני מקבלי ההחלטות לשם קידום הפרויקט ואישור המשאבים המוקצים לו, אינה שלמה, והיא מוטה בדרך כלל כלפי מטה. פער זה מביא לאי-הקצאת מקורות מתאימים, לבזבוז משאבים, לפיגורים בלוחות הזמנים המתוכננים ולכשלים מרובים. </w:t>
      </w:r>
    </w:p>
    <w:p w:rsidR="003C592A" w:rsidRDefault="003C592A" w:rsidP="003C592A">
      <w:pPr>
        <w:suppressAutoHyphens/>
        <w:autoSpaceDE w:val="0"/>
        <w:autoSpaceDN w:val="0"/>
        <w:adjustRightInd w:val="0"/>
        <w:spacing w:line="288" w:lineRule="auto"/>
        <w:ind w:left="567" w:hanging="567"/>
        <w:jc w:val="both"/>
        <w:textAlignment w:val="center"/>
        <w:rPr>
          <w:rFonts w:ascii="David" w:eastAsiaTheme="minorHAnsi" w:cs="David" w:hint="cs"/>
          <w:color w:val="000000"/>
          <w:sz w:val="24"/>
          <w:szCs w:val="24"/>
          <w:rtl/>
        </w:rPr>
      </w:pPr>
    </w:p>
    <w:p w:rsidR="003C592A" w:rsidRDefault="003C592A" w:rsidP="003C592A">
      <w:pPr>
        <w:suppressAutoHyphens/>
        <w:autoSpaceDE w:val="0"/>
        <w:autoSpaceDN w:val="0"/>
        <w:adjustRightInd w:val="0"/>
        <w:spacing w:line="288" w:lineRule="auto"/>
        <w:ind w:left="567" w:hanging="567"/>
        <w:jc w:val="both"/>
        <w:textAlignment w:val="center"/>
        <w:rPr>
          <w:rFonts w:ascii="David" w:eastAsiaTheme="minorHAnsi" w:cs="David" w:hint="cs"/>
          <w:color w:val="000000"/>
          <w:sz w:val="24"/>
          <w:szCs w:val="24"/>
          <w:rtl/>
        </w:rPr>
      </w:pPr>
    </w:p>
    <w:p w:rsidR="003C592A" w:rsidRDefault="003C592A" w:rsidP="003C592A">
      <w:pPr>
        <w:suppressAutoHyphens/>
        <w:autoSpaceDE w:val="0"/>
        <w:autoSpaceDN w:val="0"/>
        <w:adjustRightInd w:val="0"/>
        <w:spacing w:line="288" w:lineRule="auto"/>
        <w:ind w:left="567" w:hanging="567"/>
        <w:jc w:val="both"/>
        <w:textAlignment w:val="center"/>
        <w:rPr>
          <w:rFonts w:ascii="David" w:eastAsiaTheme="minorHAnsi" w:cs="David" w:hint="cs"/>
          <w:color w:val="000000"/>
          <w:sz w:val="24"/>
          <w:szCs w:val="24"/>
          <w:rtl/>
        </w:rPr>
      </w:pPr>
    </w:p>
    <w:p w:rsidR="003C592A" w:rsidRPr="003C592A" w:rsidRDefault="003C592A" w:rsidP="003C592A">
      <w:pPr>
        <w:suppressAutoHyphens/>
        <w:autoSpaceDE w:val="0"/>
        <w:autoSpaceDN w:val="0"/>
        <w:adjustRightInd w:val="0"/>
        <w:spacing w:line="288" w:lineRule="auto"/>
        <w:ind w:left="567" w:hanging="567"/>
        <w:jc w:val="both"/>
        <w:textAlignment w:val="center"/>
        <w:rPr>
          <w:rFonts w:ascii="David" w:eastAsiaTheme="minorHAnsi" w:cs="David"/>
          <w:color w:val="000000"/>
          <w:sz w:val="24"/>
          <w:szCs w:val="24"/>
          <w:rtl/>
        </w:rPr>
      </w:pPr>
    </w:p>
    <w:p w:rsidR="003C592A" w:rsidRPr="003C592A" w:rsidRDefault="003C592A" w:rsidP="003C592A">
      <w:pPr>
        <w:autoSpaceDE w:val="0"/>
        <w:autoSpaceDN w:val="0"/>
        <w:adjustRightInd w:val="0"/>
        <w:textAlignment w:val="center"/>
        <w:rPr>
          <w:rFonts w:ascii="David" w:eastAsiaTheme="minorHAnsi" w:cs="David"/>
          <w:b/>
          <w:bCs/>
          <w:color w:val="000000"/>
          <w:rtl/>
        </w:rPr>
      </w:pPr>
      <w:r w:rsidRPr="003C592A">
        <w:rPr>
          <w:rFonts w:ascii="David" w:eastAsiaTheme="minorHAnsi" w:cs="David" w:hint="cs"/>
          <w:b/>
          <w:bCs/>
          <w:color w:val="000000"/>
          <w:rtl/>
        </w:rPr>
        <w:lastRenderedPageBreak/>
        <w:t>מעקב</w:t>
      </w:r>
    </w:p>
    <w:p w:rsidR="003C592A" w:rsidRPr="003C592A" w:rsidRDefault="003C592A" w:rsidP="003C592A">
      <w:pPr>
        <w:autoSpaceDE w:val="0"/>
        <w:autoSpaceDN w:val="0"/>
        <w:adjustRightInd w:val="0"/>
        <w:ind w:left="1134" w:hanging="1134"/>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3.</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 xml:space="preserve">לא דווח על התקדמות בתיקון הליקוי. ראה הערות רה"מ </w:t>
      </w:r>
      <w:proofErr w:type="spellStart"/>
      <w:r w:rsidRPr="003C592A">
        <w:rPr>
          <w:rFonts w:ascii="David" w:eastAsiaTheme="minorHAnsi" w:cs="David" w:hint="cs"/>
          <w:color w:val="000000"/>
          <w:sz w:val="24"/>
          <w:szCs w:val="24"/>
          <w:rtl/>
        </w:rPr>
        <w:t>60ב</w:t>
      </w:r>
      <w:proofErr w:type="spellEnd"/>
      <w:r w:rsidRPr="003C592A">
        <w:rPr>
          <w:rFonts w:ascii="David" w:eastAsiaTheme="minorHAnsi" w:cs="David" w:hint="cs"/>
          <w:color w:val="000000"/>
          <w:sz w:val="24"/>
          <w:szCs w:val="24"/>
          <w:rtl/>
        </w:rPr>
        <w:t xml:space="preserve">' </w:t>
      </w:r>
      <w:proofErr w:type="spellStart"/>
      <w:r w:rsidRPr="003C592A">
        <w:rPr>
          <w:rFonts w:ascii="David" w:eastAsiaTheme="minorHAnsi" w:cs="David" w:hint="cs"/>
          <w:color w:val="000000"/>
          <w:sz w:val="24"/>
          <w:szCs w:val="24"/>
          <w:rtl/>
        </w:rPr>
        <w:t>עמ</w:t>
      </w:r>
      <w:proofErr w:type="spellEnd"/>
      <w:r w:rsidRPr="003C592A">
        <w:rPr>
          <w:rFonts w:ascii="David" w:eastAsiaTheme="minorHAnsi" w:cs="David" w:hint="cs"/>
          <w:color w:val="000000"/>
          <w:sz w:val="24"/>
          <w:szCs w:val="24"/>
          <w:rtl/>
        </w:rPr>
        <w:t>' 16.</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ליקוי</w:t>
      </w:r>
    </w:p>
    <w:p w:rsidR="003C592A" w:rsidRPr="003C592A" w:rsidRDefault="003C592A" w:rsidP="003C592A">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4.</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 xml:space="preserve">הממשלה אינה עושה די להסדרת הסמכויות והאחריות בין הגופים המעורבים בקידום תכניות הפיתוח. מורכבות תכניות הפיתוח השונות בכל תחום מחייבת שלכל תכנית פיתוח ימונה מנהל תכנית, לריכוז הטיפול בכל המרכיבים הכלולים בה, משלב אישור התכנית ועד מימושה. נמצא כי לא נקבעו גופים מנהלים כאמור. כמו כן אין תהליך של תיאום מובנה ושיטתי בין הגוף היוזם את הפרויקטים התשתיתיים ובין משרדי הממשלה וגופים רלוונטיים אחרים הנוגעים בדבר. </w:t>
      </w:r>
    </w:p>
    <w:p w:rsidR="003C592A" w:rsidRPr="003C592A" w:rsidRDefault="003C592A" w:rsidP="003C592A">
      <w:pPr>
        <w:autoSpaceDE w:val="0"/>
        <w:autoSpaceDN w:val="0"/>
        <w:adjustRightInd w:val="0"/>
        <w:spacing w:line="288" w:lineRule="auto"/>
        <w:textAlignment w:val="center"/>
        <w:rPr>
          <w:rFonts w:ascii="David" w:eastAsiaTheme="minorHAnsi" w:cs="David"/>
          <w:b/>
          <w:bCs/>
          <w:color w:val="000000"/>
          <w:rtl/>
        </w:rPr>
      </w:pPr>
      <w:r w:rsidRPr="003C592A">
        <w:rPr>
          <w:rFonts w:ascii="David" w:eastAsiaTheme="minorHAnsi" w:cs="David" w:hint="cs"/>
          <w:b/>
          <w:bCs/>
          <w:color w:val="000000"/>
          <w:rtl/>
        </w:rPr>
        <w:t xml:space="preserve">מעקב </w:t>
      </w:r>
    </w:p>
    <w:p w:rsidR="003C592A" w:rsidRPr="003C592A" w:rsidRDefault="003C592A" w:rsidP="003C592A">
      <w:pPr>
        <w:autoSpaceDE w:val="0"/>
        <w:autoSpaceDN w:val="0"/>
        <w:adjustRightInd w:val="0"/>
        <w:spacing w:line="288" w:lineRule="auto"/>
        <w:ind w:left="1134" w:hanging="1134"/>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 xml:space="preserve">4. </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לא דווח על התקדמות בתיקון הליקוי.</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ליקוי</w:t>
      </w:r>
    </w:p>
    <w:p w:rsidR="003C592A" w:rsidRPr="003C592A" w:rsidRDefault="003C592A" w:rsidP="003C592A">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5.</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אגף התקציבים נוהג לתקצב פרויקטים הכלולים בתכניות פיתוח בדרך של הרשאה להתחייב הניתנת לכל פרויקט בנפרד. תקצוב פרויקט בודד מתוך תכנית פיתוח בהרשאה להתחייב אינו משקף את העובדה שהפרויקט הוא מרכיב אחד בלבד במכלול הפרויקטים הכלולים בתכנית, בוודאי כאשר ההרשאה חלקית בלבד. הדבר עלול לפגוע ביישומם של מרכיבים אחרים הכלולים בתכנית הפיתוח, מאחר שהם משלימים, המשכיים או תלויים זה בזה ולמנוע את השגת יעדי התכנית.</w:t>
      </w:r>
    </w:p>
    <w:p w:rsidR="003C592A" w:rsidRPr="003C592A" w:rsidRDefault="003C592A" w:rsidP="003C592A">
      <w:pPr>
        <w:suppressAutoHyphens/>
        <w:autoSpaceDE w:val="0"/>
        <w:autoSpaceDN w:val="0"/>
        <w:adjustRightInd w:val="0"/>
        <w:spacing w:line="288" w:lineRule="auto"/>
        <w:ind w:left="509" w:hanging="509"/>
        <w:jc w:val="both"/>
        <w:textAlignment w:val="center"/>
        <w:rPr>
          <w:rFonts w:ascii="David" w:eastAsiaTheme="minorHAnsi" w:cs="David"/>
          <w:b/>
          <w:bCs/>
          <w:color w:val="000000"/>
          <w:rtl/>
        </w:rPr>
      </w:pPr>
      <w:r w:rsidRPr="003C592A">
        <w:rPr>
          <w:rFonts w:ascii="David" w:eastAsiaTheme="minorHAnsi" w:cs="David" w:hint="cs"/>
          <w:b/>
          <w:bCs/>
          <w:color w:val="000000"/>
          <w:rtl/>
        </w:rPr>
        <w:t xml:space="preserve">מעקב </w:t>
      </w:r>
    </w:p>
    <w:p w:rsidR="003C592A" w:rsidRPr="003C592A" w:rsidRDefault="003C592A" w:rsidP="003C592A">
      <w:pPr>
        <w:autoSpaceDE w:val="0"/>
        <w:autoSpaceDN w:val="0"/>
        <w:adjustRightInd w:val="0"/>
        <w:ind w:left="1134" w:hanging="1134"/>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 xml:space="preserve">5. </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לא דווח על התקדמות בתיקון הליקוי.</w:t>
      </w:r>
    </w:p>
    <w:p w:rsidR="003C592A" w:rsidRPr="003C592A" w:rsidRDefault="003C592A" w:rsidP="003C592A">
      <w:pPr>
        <w:autoSpaceDE w:val="0"/>
        <w:autoSpaceDN w:val="0"/>
        <w:adjustRightInd w:val="0"/>
        <w:spacing w:line="288" w:lineRule="auto"/>
        <w:jc w:val="both"/>
        <w:textAlignment w:val="center"/>
        <w:rPr>
          <w:rFonts w:ascii="David" w:eastAsiaTheme="minorHAnsi" w:cs="David"/>
          <w:b/>
          <w:bCs/>
          <w:color w:val="000000"/>
          <w:sz w:val="24"/>
          <w:szCs w:val="24"/>
          <w:rtl/>
        </w:rPr>
      </w:pPr>
      <w:r w:rsidRPr="003C592A">
        <w:rPr>
          <w:rFonts w:ascii="David" w:eastAsiaTheme="minorHAnsi" w:cs="David" w:hint="cs"/>
          <w:b/>
          <w:bCs/>
          <w:color w:val="000000"/>
          <w:sz w:val="24"/>
          <w:szCs w:val="24"/>
          <w:rtl/>
        </w:rPr>
        <w:t>ליקוי</w:t>
      </w:r>
    </w:p>
    <w:p w:rsidR="003C592A" w:rsidRPr="003C592A" w:rsidRDefault="003C592A" w:rsidP="003C592A">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6.</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התממשותם החוזרת ונשנית של סיכונים רבים שהטיפול בהם באחריות הממשלה כגון טיפול לקוי בהשגת אישורים סטטוטוריים, עיכובים בהפקעות קרקע, שינויים ועיכובים בביצוע קטעים של פרויקט שאמורים להיות מבוצעים באופן ישיר על ידי הממשלה מעלים חשש כי גורמי הממשל השונים לא טיפלו כנדרש במניעת הסיכונים שבאחריותם ובצמצום נזקיהם. לפיכך נאלצה לעיתים המדינה לשאת בנטל הכספי הכרוך בהם.</w:t>
      </w:r>
    </w:p>
    <w:p w:rsidR="003C592A" w:rsidRPr="003C592A" w:rsidRDefault="003C592A" w:rsidP="003C592A">
      <w:pPr>
        <w:autoSpaceDE w:val="0"/>
        <w:autoSpaceDN w:val="0"/>
        <w:adjustRightInd w:val="0"/>
        <w:textAlignment w:val="center"/>
        <w:rPr>
          <w:rFonts w:ascii="David" w:eastAsiaTheme="minorHAnsi" w:cs="David"/>
          <w:b/>
          <w:bCs/>
          <w:color w:val="000000"/>
          <w:rtl/>
        </w:rPr>
      </w:pPr>
      <w:r w:rsidRPr="003C592A">
        <w:rPr>
          <w:rFonts w:ascii="David" w:eastAsiaTheme="minorHAnsi" w:cs="David" w:hint="cs"/>
          <w:b/>
          <w:bCs/>
          <w:color w:val="000000"/>
          <w:rtl/>
        </w:rPr>
        <w:t xml:space="preserve">מעקב </w:t>
      </w:r>
    </w:p>
    <w:p w:rsidR="003C592A" w:rsidRPr="003C592A" w:rsidRDefault="003C592A" w:rsidP="003C592A">
      <w:pPr>
        <w:autoSpaceDE w:val="0"/>
        <w:autoSpaceDN w:val="0"/>
        <w:adjustRightInd w:val="0"/>
        <w:ind w:left="1134" w:hanging="1134"/>
        <w:jc w:val="both"/>
        <w:textAlignment w:val="center"/>
        <w:rPr>
          <w:rFonts w:ascii="David" w:eastAsiaTheme="minorHAnsi" w:cs="David"/>
          <w:color w:val="000000"/>
          <w:sz w:val="24"/>
          <w:szCs w:val="24"/>
          <w:rtl/>
        </w:rPr>
      </w:pPr>
      <w:r w:rsidRPr="003C592A">
        <w:rPr>
          <w:rFonts w:ascii="David" w:eastAsiaTheme="minorHAnsi" w:cs="David" w:hint="cs"/>
          <w:color w:val="000000"/>
          <w:sz w:val="24"/>
          <w:szCs w:val="24"/>
          <w:rtl/>
        </w:rPr>
        <w:t xml:space="preserve">6. </w:t>
      </w:r>
      <w:r w:rsidRPr="003C592A">
        <w:rPr>
          <w:rFonts w:ascii="David" w:eastAsiaTheme="minorHAnsi" w:cs="David"/>
          <w:color w:val="000000"/>
          <w:sz w:val="24"/>
          <w:szCs w:val="24"/>
          <w:rtl/>
        </w:rPr>
        <w:tab/>
      </w:r>
      <w:r w:rsidRPr="003C592A">
        <w:rPr>
          <w:rFonts w:ascii="David" w:eastAsiaTheme="minorHAnsi" w:cs="David" w:hint="cs"/>
          <w:color w:val="000000"/>
          <w:sz w:val="24"/>
          <w:szCs w:val="24"/>
          <w:rtl/>
        </w:rPr>
        <w:t xml:space="preserve">לא דווח על התקדמות בתיקון הליקוי. ראה הערות רה"מ </w:t>
      </w:r>
      <w:proofErr w:type="spellStart"/>
      <w:r w:rsidRPr="003C592A">
        <w:rPr>
          <w:rFonts w:ascii="David" w:eastAsiaTheme="minorHAnsi" w:cs="David" w:hint="cs"/>
          <w:color w:val="000000"/>
          <w:sz w:val="24"/>
          <w:szCs w:val="24"/>
          <w:rtl/>
        </w:rPr>
        <w:t>60ב</w:t>
      </w:r>
      <w:proofErr w:type="spellEnd"/>
      <w:r w:rsidRPr="003C592A">
        <w:rPr>
          <w:rFonts w:ascii="David" w:eastAsiaTheme="minorHAnsi" w:cs="David" w:hint="cs"/>
          <w:color w:val="000000"/>
          <w:sz w:val="24"/>
          <w:szCs w:val="24"/>
          <w:rtl/>
        </w:rPr>
        <w:t xml:space="preserve">' </w:t>
      </w:r>
      <w:proofErr w:type="spellStart"/>
      <w:r w:rsidRPr="003C592A">
        <w:rPr>
          <w:rFonts w:ascii="David" w:eastAsiaTheme="minorHAnsi" w:cs="David" w:hint="cs"/>
          <w:color w:val="000000"/>
          <w:sz w:val="24"/>
          <w:szCs w:val="24"/>
          <w:rtl/>
        </w:rPr>
        <w:t>עמ</w:t>
      </w:r>
      <w:proofErr w:type="spellEnd"/>
      <w:r w:rsidRPr="003C592A">
        <w:rPr>
          <w:rFonts w:ascii="David" w:eastAsiaTheme="minorHAnsi" w:cs="David" w:hint="cs"/>
          <w:color w:val="000000"/>
          <w:sz w:val="24"/>
          <w:szCs w:val="24"/>
          <w:rtl/>
        </w:rPr>
        <w:t>' 17.</w:t>
      </w:r>
    </w:p>
    <w:p w:rsidR="009021C2" w:rsidRPr="003C592A" w:rsidRDefault="009021C2" w:rsidP="003C592A"/>
    <w:sectPr w:rsidR="009021C2" w:rsidRPr="003C592A" w:rsidSect="00533C78">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3654" w:rsidRDefault="00F63654" w:rsidP="00677573">
      <w:pPr>
        <w:spacing w:after="0" w:line="240" w:lineRule="auto"/>
      </w:pPr>
      <w:r>
        <w:separator/>
      </w:r>
    </w:p>
  </w:endnote>
  <w:endnote w:type="continuationSeparator" w:id="1">
    <w:p w:rsidR="00F63654" w:rsidRDefault="00F63654" w:rsidP="006775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3654" w:rsidRDefault="00F63654" w:rsidP="00677573">
      <w:pPr>
        <w:spacing w:after="0" w:line="240" w:lineRule="auto"/>
      </w:pPr>
      <w:r>
        <w:separator/>
      </w:r>
    </w:p>
  </w:footnote>
  <w:footnote w:type="continuationSeparator" w:id="1">
    <w:p w:rsidR="00F63654" w:rsidRDefault="00F63654" w:rsidP="006775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654" w:rsidRPr="009360BA" w:rsidRDefault="0032782D" w:rsidP="00677573">
    <w:pPr>
      <w:pStyle w:val="a6"/>
      <w:tabs>
        <w:tab w:val="clear" w:pos="4153"/>
      </w:tabs>
      <w:ind w:left="-58" w:hanging="483"/>
      <w:jc w:val="right"/>
      <w:rPr>
        <w:i/>
        <w:iCs w:val="0"/>
        <w:sz w:val="16"/>
        <w:szCs w:val="16"/>
        <w:rtl/>
      </w:rPr>
    </w:pPr>
    <w:r w:rsidRPr="009360BA">
      <w:rPr>
        <w:i/>
        <w:iCs w:val="0"/>
        <w:sz w:val="16"/>
        <w:szCs w:val="16"/>
        <w:rtl/>
      </w:rPr>
      <w:fldChar w:fldCharType="begin"/>
    </w:r>
    <w:r w:rsidR="00F63654" w:rsidRPr="009360BA">
      <w:rPr>
        <w:i/>
        <w:iCs w:val="0"/>
        <w:sz w:val="16"/>
        <w:szCs w:val="16"/>
        <w:rtl/>
      </w:rPr>
      <w:instrText xml:space="preserve"> </w:instrText>
    </w:r>
    <w:r w:rsidR="00F63654" w:rsidRPr="009360BA">
      <w:rPr>
        <w:rFonts w:hint="cs"/>
        <w:i/>
        <w:iCs w:val="0"/>
        <w:sz w:val="16"/>
        <w:szCs w:val="16"/>
      </w:rPr>
      <w:instrText>TIME  \@ "HH:mm"  \* MERGEFORMAT</w:instrText>
    </w:r>
    <w:r w:rsidR="00F63654" w:rsidRPr="009360BA">
      <w:rPr>
        <w:i/>
        <w:iCs w:val="0"/>
        <w:sz w:val="16"/>
        <w:szCs w:val="16"/>
        <w:rtl/>
      </w:rPr>
      <w:instrText xml:space="preserve"> </w:instrText>
    </w:r>
    <w:r w:rsidRPr="009360BA">
      <w:rPr>
        <w:i/>
        <w:iCs w:val="0"/>
        <w:sz w:val="16"/>
        <w:szCs w:val="16"/>
        <w:rtl/>
      </w:rPr>
      <w:fldChar w:fldCharType="separate"/>
    </w:r>
    <w:r w:rsidR="003C592A">
      <w:rPr>
        <w:i/>
        <w:iCs w:val="0"/>
        <w:noProof/>
        <w:sz w:val="16"/>
        <w:szCs w:val="16"/>
        <w:rtl/>
      </w:rPr>
      <w:t>‏10:03</w:t>
    </w:r>
    <w:r w:rsidRPr="009360BA">
      <w:rPr>
        <w:i/>
        <w:iCs w:val="0"/>
        <w:sz w:val="16"/>
        <w:szCs w:val="16"/>
        <w:rtl/>
      </w:rPr>
      <w:fldChar w:fldCharType="end"/>
    </w:r>
    <w:r w:rsidR="00F63654" w:rsidRPr="009360BA">
      <w:rPr>
        <w:rFonts w:hint="cs"/>
        <w:i/>
        <w:iCs w:val="0"/>
        <w:sz w:val="16"/>
        <w:szCs w:val="16"/>
        <w:rtl/>
      </w:rPr>
      <w:t xml:space="preserve">  </w:t>
    </w:r>
    <w:r w:rsidRPr="009360BA">
      <w:rPr>
        <w:i/>
        <w:iCs w:val="0"/>
        <w:sz w:val="16"/>
        <w:szCs w:val="16"/>
        <w:rtl/>
      </w:rPr>
      <w:fldChar w:fldCharType="begin"/>
    </w:r>
    <w:r w:rsidR="00F63654" w:rsidRPr="009360BA">
      <w:rPr>
        <w:i/>
        <w:iCs w:val="0"/>
        <w:sz w:val="16"/>
        <w:szCs w:val="16"/>
        <w:rtl/>
      </w:rPr>
      <w:instrText xml:space="preserve"> </w:instrText>
    </w:r>
    <w:r w:rsidR="00F63654" w:rsidRPr="009360BA">
      <w:rPr>
        <w:rFonts w:hint="cs"/>
        <w:i/>
        <w:iCs w:val="0"/>
        <w:sz w:val="16"/>
        <w:szCs w:val="16"/>
      </w:rPr>
      <w:instrText>DATE  \@ "yyyy-MM-dd"  \* MERGEFORMAT</w:instrText>
    </w:r>
    <w:r w:rsidR="00F63654" w:rsidRPr="009360BA">
      <w:rPr>
        <w:i/>
        <w:iCs w:val="0"/>
        <w:sz w:val="16"/>
        <w:szCs w:val="16"/>
        <w:rtl/>
      </w:rPr>
      <w:instrText xml:space="preserve"> </w:instrText>
    </w:r>
    <w:r w:rsidRPr="009360BA">
      <w:rPr>
        <w:i/>
        <w:iCs w:val="0"/>
        <w:sz w:val="16"/>
        <w:szCs w:val="16"/>
        <w:rtl/>
      </w:rPr>
      <w:fldChar w:fldCharType="separate"/>
    </w:r>
    <w:r w:rsidR="003C592A">
      <w:rPr>
        <w:i/>
        <w:iCs w:val="0"/>
        <w:noProof/>
        <w:sz w:val="16"/>
        <w:szCs w:val="16"/>
        <w:rtl/>
      </w:rPr>
      <w:t>‏2010–12–12</w:t>
    </w:r>
    <w:r w:rsidRPr="009360BA">
      <w:rPr>
        <w:i/>
        <w:iCs w:val="0"/>
        <w:sz w:val="16"/>
        <w:szCs w:val="16"/>
        <w:rtl/>
      </w:rPr>
      <w:fldChar w:fldCharType="end"/>
    </w:r>
    <w:r w:rsidR="00F63654" w:rsidRPr="009360BA">
      <w:rPr>
        <w:rFonts w:hint="cs"/>
        <w:i/>
        <w:iCs w:val="0"/>
        <w:sz w:val="16"/>
        <w:szCs w:val="16"/>
        <w:rtl/>
      </w:rPr>
      <w:t xml:space="preserve">   </w:t>
    </w:r>
    <w:fldSimple w:instr=" FILENAME  \* FirstCap \p  \* MERGEFORMAT ">
      <w:r w:rsidR="00DD1FF1" w:rsidRPr="00DD1FF1">
        <w:rPr>
          <w:i/>
          <w:iCs w:val="0"/>
          <w:noProof/>
          <w:sz w:val="16"/>
          <w:szCs w:val="16"/>
        </w:rPr>
        <w:t>L:\</w:t>
      </w:r>
      <w:r w:rsidR="00DD1FF1" w:rsidRPr="00DD1FF1">
        <w:rPr>
          <w:i/>
          <w:iCs w:val="0"/>
          <w:noProof/>
          <w:sz w:val="16"/>
          <w:szCs w:val="16"/>
          <w:rtl/>
        </w:rPr>
        <w:t>הספר - מעקבים 60ב\עקיבא\60ב\ייזום ומימוש של תכניות פיתוח בתחום התשתית - מטלת רוחב</w:t>
      </w:r>
      <w:r w:rsidR="00DD1FF1" w:rsidRPr="00DD1FF1">
        <w:rPr>
          <w:i/>
          <w:iCs w:val="0"/>
          <w:noProof/>
          <w:sz w:val="16"/>
          <w:szCs w:val="16"/>
        </w:rPr>
        <w:t>.docx</w:t>
      </w:r>
    </w:fldSimple>
    <w:r w:rsidR="00F63654" w:rsidRPr="009360BA">
      <w:rPr>
        <w:rFonts w:hint="cs"/>
        <w:i/>
        <w:iCs w:val="0"/>
        <w:sz w:val="16"/>
        <w:szCs w:val="16"/>
        <w:rtl/>
      </w:rPr>
      <w:t xml:space="preserve">    -</w:t>
    </w:r>
    <w:r w:rsidRPr="009360BA">
      <w:rPr>
        <w:i/>
        <w:iCs w:val="0"/>
        <w:sz w:val="16"/>
        <w:szCs w:val="16"/>
        <w:rtl/>
      </w:rPr>
      <w:fldChar w:fldCharType="begin"/>
    </w:r>
    <w:r w:rsidR="00F63654" w:rsidRPr="009360BA">
      <w:rPr>
        <w:i/>
        <w:iCs w:val="0"/>
        <w:sz w:val="16"/>
        <w:szCs w:val="16"/>
        <w:rtl/>
      </w:rPr>
      <w:instrText xml:space="preserve"> </w:instrText>
    </w:r>
    <w:r w:rsidR="00F63654" w:rsidRPr="009360BA">
      <w:rPr>
        <w:i/>
        <w:iCs w:val="0"/>
        <w:sz w:val="16"/>
        <w:szCs w:val="16"/>
      </w:rPr>
      <w:instrText>PAGE   \* MERGEFORMAT</w:instrText>
    </w:r>
    <w:r w:rsidR="00F63654" w:rsidRPr="009360BA">
      <w:rPr>
        <w:i/>
        <w:iCs w:val="0"/>
        <w:sz w:val="16"/>
        <w:szCs w:val="16"/>
        <w:rtl/>
      </w:rPr>
      <w:instrText xml:space="preserve"> </w:instrText>
    </w:r>
    <w:r w:rsidRPr="009360BA">
      <w:rPr>
        <w:i/>
        <w:iCs w:val="0"/>
        <w:sz w:val="16"/>
        <w:szCs w:val="16"/>
        <w:rtl/>
      </w:rPr>
      <w:fldChar w:fldCharType="separate"/>
    </w:r>
    <w:r w:rsidR="003C592A">
      <w:rPr>
        <w:i/>
        <w:iCs w:val="0"/>
        <w:noProof/>
        <w:sz w:val="16"/>
        <w:szCs w:val="16"/>
        <w:rtl/>
      </w:rPr>
      <w:t>1</w:t>
    </w:r>
    <w:r w:rsidRPr="009360BA">
      <w:rPr>
        <w:i/>
        <w:iCs w:val="0"/>
        <w:sz w:val="16"/>
        <w:szCs w:val="16"/>
        <w:rtl/>
      </w:rPr>
      <w:fldChar w:fldCharType="end"/>
    </w:r>
    <w:r w:rsidR="00F63654" w:rsidRPr="009360BA">
      <w:rPr>
        <w:rFonts w:hint="cs"/>
        <w:i/>
        <w:iCs w:val="0"/>
        <w:sz w:val="16"/>
        <w:szCs w:val="16"/>
        <w:rtl/>
      </w:rPr>
      <w:t>-</w:t>
    </w:r>
  </w:p>
  <w:p w:rsidR="00F63654" w:rsidRPr="009360BA" w:rsidRDefault="00F63654" w:rsidP="00677573">
    <w:pPr>
      <w:pStyle w:val="a6"/>
      <w:tabs>
        <w:tab w:val="clear" w:pos="4153"/>
      </w:tabs>
      <w:ind w:left="84" w:hanging="483"/>
      <w:jc w:val="right"/>
      <w:rPr>
        <w:i/>
        <w:iCs w:val="0"/>
        <w:sz w:val="16"/>
        <w:szCs w:val="16"/>
        <w:rtl/>
      </w:rPr>
    </w:pPr>
  </w:p>
  <w:p w:rsidR="00F63654" w:rsidRPr="009360BA" w:rsidRDefault="00F63654" w:rsidP="00677573">
    <w:pPr>
      <w:pStyle w:val="a6"/>
      <w:jc w:val="both"/>
      <w:rPr>
        <w:i/>
        <w:iCs w:val="0"/>
        <w:sz w:val="20"/>
        <w:szCs w:val="20"/>
        <w:u w:val="single"/>
        <w:rtl/>
      </w:rPr>
    </w:pPr>
    <w:r w:rsidRPr="009360BA">
      <w:rPr>
        <w:rFonts w:hint="cs"/>
        <w:i/>
        <w:iCs w:val="0"/>
        <w:sz w:val="18"/>
        <w:szCs w:val="18"/>
        <w:u w:val="single"/>
        <w:rtl/>
      </w:rPr>
      <w:t xml:space="preserve">מעקב אחר תיקון ליקויים, אגף המפקח הכללי  לענייני ביקורת המדינה        </w:t>
    </w:r>
    <w:r w:rsidRPr="009360BA">
      <w:rPr>
        <w:i/>
        <w:iCs w:val="0"/>
        <w:sz w:val="20"/>
        <w:szCs w:val="20"/>
        <w:u w:val="single"/>
        <w:rtl/>
      </w:rPr>
      <w:t>יזום ומימוש של תכניות פיתוח בתחום התשתית</w:t>
    </w:r>
  </w:p>
  <w:p w:rsidR="00F63654" w:rsidRPr="00677573" w:rsidRDefault="00F63654" w:rsidP="00677573">
    <w:pPr>
      <w:tabs>
        <w:tab w:val="left" w:pos="1316"/>
        <w:tab w:val="center" w:pos="4153"/>
      </w:tabs>
      <w:ind w:hanging="483"/>
      <w:rPr>
        <w:rFonts w:cs="David"/>
        <w:sz w:val="18"/>
        <w:szCs w:val="18"/>
        <w:u w:val="single"/>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31BEA032"/>
    <w:lvl w:ilvl="0" w:tplc="13063F2C">
      <w:start w:val="1"/>
      <w:numFmt w:val="decimal"/>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677573"/>
    <w:rsid w:val="00000243"/>
    <w:rsid w:val="00000739"/>
    <w:rsid w:val="00027667"/>
    <w:rsid w:val="00043D5A"/>
    <w:rsid w:val="000510D6"/>
    <w:rsid w:val="00073FA9"/>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5006"/>
    <w:rsid w:val="001E6A43"/>
    <w:rsid w:val="00232852"/>
    <w:rsid w:val="00237AB5"/>
    <w:rsid w:val="00250C36"/>
    <w:rsid w:val="00274039"/>
    <w:rsid w:val="00280509"/>
    <w:rsid w:val="00282D49"/>
    <w:rsid w:val="002831EA"/>
    <w:rsid w:val="0029553E"/>
    <w:rsid w:val="00297441"/>
    <w:rsid w:val="002A6F8F"/>
    <w:rsid w:val="002B3D39"/>
    <w:rsid w:val="002B6CF7"/>
    <w:rsid w:val="002D02ED"/>
    <w:rsid w:val="002D0694"/>
    <w:rsid w:val="002E2B52"/>
    <w:rsid w:val="002E6760"/>
    <w:rsid w:val="002E6B4E"/>
    <w:rsid w:val="0030735E"/>
    <w:rsid w:val="00310136"/>
    <w:rsid w:val="0032782D"/>
    <w:rsid w:val="0033198C"/>
    <w:rsid w:val="003344B0"/>
    <w:rsid w:val="00337EC9"/>
    <w:rsid w:val="00346AB7"/>
    <w:rsid w:val="00354067"/>
    <w:rsid w:val="00360A13"/>
    <w:rsid w:val="0037478F"/>
    <w:rsid w:val="00377C35"/>
    <w:rsid w:val="003A6D84"/>
    <w:rsid w:val="003A7C4A"/>
    <w:rsid w:val="003C592A"/>
    <w:rsid w:val="003C75F5"/>
    <w:rsid w:val="003D223E"/>
    <w:rsid w:val="003D5077"/>
    <w:rsid w:val="003E14BC"/>
    <w:rsid w:val="003E1745"/>
    <w:rsid w:val="003E7AD3"/>
    <w:rsid w:val="003F0D44"/>
    <w:rsid w:val="003F131D"/>
    <w:rsid w:val="0040392F"/>
    <w:rsid w:val="00425898"/>
    <w:rsid w:val="00435271"/>
    <w:rsid w:val="004377BE"/>
    <w:rsid w:val="004538D4"/>
    <w:rsid w:val="00456C02"/>
    <w:rsid w:val="00467CE6"/>
    <w:rsid w:val="00471260"/>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6B34"/>
    <w:rsid w:val="00606CCF"/>
    <w:rsid w:val="00624861"/>
    <w:rsid w:val="00632551"/>
    <w:rsid w:val="00642830"/>
    <w:rsid w:val="00646CF2"/>
    <w:rsid w:val="00646F69"/>
    <w:rsid w:val="006643DF"/>
    <w:rsid w:val="006653A5"/>
    <w:rsid w:val="00677573"/>
    <w:rsid w:val="0067780E"/>
    <w:rsid w:val="006807A6"/>
    <w:rsid w:val="006942D9"/>
    <w:rsid w:val="006A67BA"/>
    <w:rsid w:val="006E0566"/>
    <w:rsid w:val="006E7ED9"/>
    <w:rsid w:val="00700DB0"/>
    <w:rsid w:val="0073050A"/>
    <w:rsid w:val="00733D53"/>
    <w:rsid w:val="00753962"/>
    <w:rsid w:val="007629F8"/>
    <w:rsid w:val="00762B5D"/>
    <w:rsid w:val="00772A72"/>
    <w:rsid w:val="007736D0"/>
    <w:rsid w:val="007756F2"/>
    <w:rsid w:val="007827A7"/>
    <w:rsid w:val="00783E86"/>
    <w:rsid w:val="00787AB8"/>
    <w:rsid w:val="007A22BA"/>
    <w:rsid w:val="007B0C4D"/>
    <w:rsid w:val="007B4AAF"/>
    <w:rsid w:val="007D1079"/>
    <w:rsid w:val="00810E64"/>
    <w:rsid w:val="0081406C"/>
    <w:rsid w:val="00817201"/>
    <w:rsid w:val="00847BCB"/>
    <w:rsid w:val="00847C30"/>
    <w:rsid w:val="00867F44"/>
    <w:rsid w:val="0087700A"/>
    <w:rsid w:val="0088076B"/>
    <w:rsid w:val="008A1154"/>
    <w:rsid w:val="008A3C6F"/>
    <w:rsid w:val="008B1C1D"/>
    <w:rsid w:val="008B5AD7"/>
    <w:rsid w:val="008D6336"/>
    <w:rsid w:val="008F2398"/>
    <w:rsid w:val="008F498E"/>
    <w:rsid w:val="009021C2"/>
    <w:rsid w:val="00911D45"/>
    <w:rsid w:val="00917859"/>
    <w:rsid w:val="00922D8C"/>
    <w:rsid w:val="009360BA"/>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741E9"/>
    <w:rsid w:val="00A811C8"/>
    <w:rsid w:val="00AA1EBD"/>
    <w:rsid w:val="00AC02A2"/>
    <w:rsid w:val="00AC3E47"/>
    <w:rsid w:val="00AF66AA"/>
    <w:rsid w:val="00AF7804"/>
    <w:rsid w:val="00B00D9A"/>
    <w:rsid w:val="00B16BE4"/>
    <w:rsid w:val="00B24388"/>
    <w:rsid w:val="00B3265D"/>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F7A7D"/>
    <w:rsid w:val="00C038DE"/>
    <w:rsid w:val="00C03A0E"/>
    <w:rsid w:val="00C3301D"/>
    <w:rsid w:val="00C34195"/>
    <w:rsid w:val="00C366AF"/>
    <w:rsid w:val="00C41FFA"/>
    <w:rsid w:val="00C51C1D"/>
    <w:rsid w:val="00C6659C"/>
    <w:rsid w:val="00C703F3"/>
    <w:rsid w:val="00C723C0"/>
    <w:rsid w:val="00CA2206"/>
    <w:rsid w:val="00CB6CA1"/>
    <w:rsid w:val="00CC3E2F"/>
    <w:rsid w:val="00CC683F"/>
    <w:rsid w:val="00CD43C0"/>
    <w:rsid w:val="00CE2D49"/>
    <w:rsid w:val="00D02568"/>
    <w:rsid w:val="00D038BA"/>
    <w:rsid w:val="00D04CE8"/>
    <w:rsid w:val="00D20800"/>
    <w:rsid w:val="00D37D9E"/>
    <w:rsid w:val="00D57A3C"/>
    <w:rsid w:val="00D66429"/>
    <w:rsid w:val="00D8517D"/>
    <w:rsid w:val="00DA0DCD"/>
    <w:rsid w:val="00DA48D3"/>
    <w:rsid w:val="00DA74D9"/>
    <w:rsid w:val="00DC0772"/>
    <w:rsid w:val="00DD1FF1"/>
    <w:rsid w:val="00DD5A06"/>
    <w:rsid w:val="00DE169C"/>
    <w:rsid w:val="00DF2B24"/>
    <w:rsid w:val="00E12867"/>
    <w:rsid w:val="00E20A2E"/>
    <w:rsid w:val="00E25D97"/>
    <w:rsid w:val="00E314A0"/>
    <w:rsid w:val="00E4475C"/>
    <w:rsid w:val="00E47FEC"/>
    <w:rsid w:val="00E54BFD"/>
    <w:rsid w:val="00E64E00"/>
    <w:rsid w:val="00E667E9"/>
    <w:rsid w:val="00E67FFC"/>
    <w:rsid w:val="00E70927"/>
    <w:rsid w:val="00E728AF"/>
    <w:rsid w:val="00E7424E"/>
    <w:rsid w:val="00E77641"/>
    <w:rsid w:val="00E84B36"/>
    <w:rsid w:val="00E8515A"/>
    <w:rsid w:val="00E92150"/>
    <w:rsid w:val="00E92381"/>
    <w:rsid w:val="00EA14C1"/>
    <w:rsid w:val="00EC33CF"/>
    <w:rsid w:val="00EF3EE3"/>
    <w:rsid w:val="00EF6F1E"/>
    <w:rsid w:val="00F07DB7"/>
    <w:rsid w:val="00F17E20"/>
    <w:rsid w:val="00F24A00"/>
    <w:rsid w:val="00F471BF"/>
    <w:rsid w:val="00F532A4"/>
    <w:rsid w:val="00F53CF2"/>
    <w:rsid w:val="00F61368"/>
    <w:rsid w:val="00F61BE5"/>
    <w:rsid w:val="00F63654"/>
    <w:rsid w:val="00F73C50"/>
    <w:rsid w:val="00F76F5F"/>
    <w:rsid w:val="00F7757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573"/>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677573"/>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677573"/>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677573"/>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677573"/>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677573"/>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677573"/>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77573"/>
    <w:rPr>
      <w:rFonts w:ascii="Times New Roman" w:eastAsia="Calibri" w:hAnsi="Times New Roman"/>
      <w:b/>
      <w:bCs/>
      <w:kern w:val="32"/>
      <w:sz w:val="32"/>
      <w:szCs w:val="36"/>
      <w:u w:val="single"/>
      <w:lang w:eastAsia="he-IL"/>
    </w:rPr>
  </w:style>
  <w:style w:type="character" w:customStyle="1" w:styleId="20">
    <w:name w:val="כותרת 2 תו"/>
    <w:basedOn w:val="a0"/>
    <w:link w:val="2"/>
    <w:rsid w:val="00677573"/>
    <w:rPr>
      <w:rFonts w:ascii="Cambria" w:eastAsia="Calibri" w:hAnsi="Cambria" w:cs="Times New Roman"/>
      <w:b/>
      <w:bCs/>
      <w:color w:val="4F81BD"/>
      <w:sz w:val="26"/>
      <w:szCs w:val="26"/>
    </w:rPr>
  </w:style>
  <w:style w:type="character" w:customStyle="1" w:styleId="30">
    <w:name w:val="כותרת 3 תו"/>
    <w:basedOn w:val="a0"/>
    <w:link w:val="3"/>
    <w:rsid w:val="00677573"/>
    <w:rPr>
      <w:rFonts w:ascii="Cambria" w:eastAsia="Calibri" w:hAnsi="Cambria" w:cs="Times New Roman"/>
      <w:b/>
      <w:bCs/>
      <w:color w:val="4F81BD"/>
      <w:sz w:val="22"/>
      <w:szCs w:val="22"/>
    </w:rPr>
  </w:style>
  <w:style w:type="character" w:customStyle="1" w:styleId="40">
    <w:name w:val="כותרת 4 תו"/>
    <w:basedOn w:val="a0"/>
    <w:link w:val="4"/>
    <w:rsid w:val="00677573"/>
    <w:rPr>
      <w:rFonts w:ascii="Cambria" w:eastAsia="Calibri" w:hAnsi="Cambria" w:cs="Times New Roman"/>
      <w:b/>
      <w:bCs/>
      <w:i/>
      <w:iCs/>
      <w:color w:val="4F81BD"/>
      <w:sz w:val="22"/>
      <w:szCs w:val="22"/>
    </w:rPr>
  </w:style>
  <w:style w:type="character" w:customStyle="1" w:styleId="50">
    <w:name w:val="כותרת 5 תו"/>
    <w:basedOn w:val="a0"/>
    <w:link w:val="5"/>
    <w:rsid w:val="00677573"/>
    <w:rPr>
      <w:rFonts w:ascii="Cambria" w:eastAsia="Calibri" w:hAnsi="Cambria" w:cs="Times New Roman"/>
      <w:color w:val="243F60"/>
      <w:sz w:val="20"/>
      <w:lang w:eastAsia="he-IL"/>
    </w:rPr>
  </w:style>
  <w:style w:type="character" w:customStyle="1" w:styleId="70">
    <w:name w:val="כותרת 7 תו"/>
    <w:basedOn w:val="a0"/>
    <w:link w:val="7"/>
    <w:rsid w:val="00677573"/>
    <w:rPr>
      <w:rFonts w:ascii="Times New Roman" w:eastAsia="Calibri" w:hAnsi="Times New Roman"/>
      <w:b/>
      <w:bCs/>
      <w:spacing w:val="40"/>
      <w:lang w:eastAsia="he-IL"/>
    </w:rPr>
  </w:style>
  <w:style w:type="paragraph" w:styleId="a3">
    <w:name w:val="caption"/>
    <w:basedOn w:val="a"/>
    <w:next w:val="a"/>
    <w:qFormat/>
    <w:rsid w:val="00677573"/>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677573"/>
    <w:pPr>
      <w:spacing w:after="0" w:line="240" w:lineRule="auto"/>
    </w:pPr>
    <w:rPr>
      <w:rFonts w:ascii="Tahoma" w:hAnsi="Tahoma" w:cs="Tahoma"/>
      <w:sz w:val="16"/>
      <w:szCs w:val="16"/>
    </w:rPr>
  </w:style>
  <w:style w:type="character" w:customStyle="1" w:styleId="a5">
    <w:name w:val="טקסט בלונים תו"/>
    <w:basedOn w:val="a0"/>
    <w:link w:val="a4"/>
    <w:semiHidden/>
    <w:rsid w:val="00677573"/>
    <w:rPr>
      <w:rFonts w:ascii="Tahoma" w:eastAsia="Times New Roman" w:hAnsi="Tahoma" w:cs="Tahoma"/>
      <w:sz w:val="16"/>
      <w:szCs w:val="16"/>
    </w:rPr>
  </w:style>
  <w:style w:type="paragraph" w:customStyle="1" w:styleId="11">
    <w:name w:val="פיסקת רשימה1"/>
    <w:basedOn w:val="a"/>
    <w:rsid w:val="00677573"/>
    <w:pPr>
      <w:ind w:left="720"/>
      <w:contextualSpacing/>
    </w:pPr>
  </w:style>
  <w:style w:type="paragraph" w:styleId="a6">
    <w:name w:val="header"/>
    <w:basedOn w:val="a"/>
    <w:link w:val="a7"/>
    <w:rsid w:val="00677573"/>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677573"/>
    <w:rPr>
      <w:rFonts w:ascii="Times New Roman" w:eastAsia="Calibri" w:hAnsi="Times New Roman"/>
      <w:iCs/>
      <w:lang w:eastAsia="he-IL"/>
    </w:rPr>
  </w:style>
  <w:style w:type="paragraph" w:styleId="a8">
    <w:name w:val="footer"/>
    <w:basedOn w:val="a"/>
    <w:link w:val="a9"/>
    <w:semiHidden/>
    <w:rsid w:val="00677573"/>
    <w:pPr>
      <w:tabs>
        <w:tab w:val="center" w:pos="4153"/>
        <w:tab w:val="right" w:pos="8306"/>
      </w:tabs>
      <w:spacing w:after="0" w:line="240" w:lineRule="auto"/>
    </w:pPr>
  </w:style>
  <w:style w:type="character" w:customStyle="1" w:styleId="a9">
    <w:name w:val="כותרת תחתונה תו"/>
    <w:basedOn w:val="a0"/>
    <w:link w:val="a8"/>
    <w:semiHidden/>
    <w:rsid w:val="00677573"/>
    <w:rPr>
      <w:rFonts w:ascii="Calibri" w:eastAsia="Times New Roman" w:hAnsi="Calibri" w:cs="Arial"/>
      <w:sz w:val="22"/>
      <w:szCs w:val="22"/>
    </w:rPr>
  </w:style>
  <w:style w:type="character" w:customStyle="1" w:styleId="21">
    <w:name w:val="תו תו2"/>
    <w:basedOn w:val="a0"/>
    <w:rsid w:val="00677573"/>
    <w:rPr>
      <w:rFonts w:cs="David"/>
      <w:b/>
      <w:bCs/>
      <w:spacing w:val="40"/>
      <w:sz w:val="24"/>
      <w:szCs w:val="24"/>
      <w:lang w:val="en-US" w:eastAsia="he-IL" w:bidi="he-IL"/>
    </w:rPr>
  </w:style>
  <w:style w:type="paragraph" w:customStyle="1" w:styleId="aa">
    <w:name w:val="נבנצלים"/>
    <w:basedOn w:val="a"/>
    <w:next w:val="a"/>
    <w:link w:val="ab"/>
    <w:rsid w:val="00677573"/>
    <w:pPr>
      <w:widowControl w:val="0"/>
      <w:spacing w:after="0" w:line="312" w:lineRule="auto"/>
      <w:ind w:left="-567"/>
      <w:jc w:val="both"/>
    </w:pPr>
    <w:rPr>
      <w:rFonts w:ascii="Times New Roman" w:eastAsia="Calibri" w:hAnsi="Times New Roman" w:cs="David"/>
      <w:sz w:val="20"/>
      <w:szCs w:val="20"/>
      <w:lang w:eastAsia="he-IL"/>
    </w:rPr>
  </w:style>
  <w:style w:type="character" w:customStyle="1" w:styleId="ab">
    <w:name w:val="נבנצלים תו"/>
    <w:basedOn w:val="a0"/>
    <w:link w:val="aa"/>
    <w:locked/>
    <w:rsid w:val="00677573"/>
    <w:rPr>
      <w:rFonts w:ascii="Times New Roman" w:eastAsia="Calibri" w:hAnsi="Times New Roman"/>
      <w:sz w:val="20"/>
      <w:szCs w:val="20"/>
      <w:lang w:eastAsia="he-IL"/>
    </w:rPr>
  </w:style>
  <w:style w:type="paragraph" w:customStyle="1" w:styleId="12">
    <w:name w:val="פיסקת רשימה1"/>
    <w:basedOn w:val="a"/>
    <w:rsid w:val="00677573"/>
    <w:pPr>
      <w:spacing w:after="0" w:line="240" w:lineRule="auto"/>
      <w:ind w:left="720"/>
      <w:contextualSpacing/>
    </w:pPr>
    <w:rPr>
      <w:rFonts w:ascii="Century Gothic" w:eastAsia="Calibri" w:hAnsi="Century Gothic" w:cs="David"/>
      <w:noProof/>
      <w:sz w:val="24"/>
      <w:szCs w:val="24"/>
      <w:lang w:eastAsia="he-IL"/>
    </w:rPr>
  </w:style>
  <w:style w:type="paragraph" w:styleId="NormalWeb">
    <w:name w:val="Normal (Web)"/>
    <w:basedOn w:val="a"/>
    <w:semiHidden/>
    <w:rsid w:val="00677573"/>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677573"/>
    <w:rPr>
      <w:rFonts w:ascii="Times New Roman" w:hAnsi="Times New Roman" w:cs="David"/>
      <w:b/>
      <w:bCs/>
      <w:spacing w:val="40"/>
      <w:sz w:val="24"/>
      <w:szCs w:val="24"/>
      <w:lang w:eastAsia="he-IL" w:bidi="he-IL"/>
    </w:rPr>
  </w:style>
  <w:style w:type="paragraph" w:styleId="ac">
    <w:name w:val="footnote text"/>
    <w:basedOn w:val="a"/>
    <w:link w:val="ad"/>
    <w:semiHidden/>
    <w:rsid w:val="00677573"/>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d">
    <w:name w:val="טקסט הערת שוליים תו"/>
    <w:basedOn w:val="a0"/>
    <w:link w:val="ac"/>
    <w:semiHidden/>
    <w:rsid w:val="00677573"/>
    <w:rPr>
      <w:rFonts w:ascii="Times New Roman" w:eastAsia="Calibri" w:hAnsi="Times New Roman"/>
      <w:szCs w:val="20"/>
      <w:lang w:eastAsia="he-IL"/>
    </w:rPr>
  </w:style>
  <w:style w:type="table" w:styleId="ae">
    <w:name w:val="Table Grid"/>
    <w:basedOn w:val="a1"/>
    <w:rsid w:val="00677573"/>
    <w:pPr>
      <w:widowControl w:val="0"/>
      <w:bidi/>
      <w:spacing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כותרת מאמר"/>
    <w:basedOn w:val="a"/>
    <w:uiPriority w:val="99"/>
    <w:rsid w:val="003C592A"/>
    <w:pPr>
      <w:suppressAutoHyphens/>
      <w:autoSpaceDE w:val="0"/>
      <w:autoSpaceDN w:val="0"/>
      <w:adjustRightInd w:val="0"/>
      <w:spacing w:after="170" w:line="288" w:lineRule="auto"/>
      <w:jc w:val="center"/>
      <w:textAlignment w:val="center"/>
    </w:pPr>
    <w:rPr>
      <w:rFonts w:ascii="David" w:eastAsiaTheme="minorHAnsi" w:hAnsiTheme="minorHAnsi" w:cs="David"/>
      <w:b/>
      <w:bCs/>
      <w:color w:val="000000"/>
      <w:sz w:val="32"/>
      <w:szCs w:val="32"/>
    </w:rPr>
  </w:style>
  <w:style w:type="paragraph" w:customStyle="1" w:styleId="af0">
    <w:name w:val="טקסט רץ מספרים"/>
    <w:basedOn w:val="a"/>
    <w:uiPriority w:val="99"/>
    <w:rsid w:val="003C592A"/>
    <w:pPr>
      <w:suppressAutoHyphens/>
      <w:autoSpaceDE w:val="0"/>
      <w:autoSpaceDN w:val="0"/>
      <w:adjustRightInd w:val="0"/>
      <w:spacing w:after="170" w:line="260" w:lineRule="atLeast"/>
      <w:ind w:left="283" w:hanging="283"/>
      <w:jc w:val="both"/>
      <w:textAlignment w:val="center"/>
    </w:pPr>
    <w:rPr>
      <w:rFonts w:ascii="David" w:eastAsiaTheme="minorHAnsi" w:hAnsiTheme="minorHAnsi" w:cs="David"/>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545</Words>
  <Characters>2725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2010-10-13T12:12:00Z</cp:lastPrinted>
  <dcterms:created xsi:type="dcterms:W3CDTF">2010-12-12T08:05:00Z</dcterms:created>
  <dcterms:modified xsi:type="dcterms:W3CDTF">2010-12-12T08:05:00Z</dcterms:modified>
</cp:coreProperties>
</file>