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BFC" w:rsidRDefault="00FA4BFC" w:rsidP="00FA4BFC">
      <w:pPr>
        <w:pStyle w:val="af"/>
        <w:spacing w:after="0"/>
        <w:rPr>
          <w:rtl/>
        </w:rPr>
      </w:pPr>
      <w:r>
        <w:rPr>
          <w:rFonts w:hint="cs"/>
          <w:sz w:val="32"/>
          <w:szCs w:val="32"/>
          <w:rtl/>
        </w:rPr>
        <w:t>הסיוע לניצולי השואה</w:t>
      </w:r>
    </w:p>
    <w:p w:rsidR="00FA4BFC" w:rsidRDefault="00FA4BFC" w:rsidP="00FA4BFC">
      <w:pPr>
        <w:jc w:val="center"/>
        <w:rPr>
          <w:rFonts w:ascii="David" w:cs="David"/>
          <w:b/>
          <w:bCs/>
          <w:sz w:val="28"/>
          <w:szCs w:val="28"/>
          <w:rtl/>
        </w:rPr>
      </w:pPr>
      <w:r>
        <w:rPr>
          <w:rFonts w:ascii="David" w:cs="David" w:hint="cs"/>
          <w:b/>
          <w:bCs/>
          <w:sz w:val="28"/>
          <w:szCs w:val="28"/>
          <w:rtl/>
        </w:rPr>
        <w:t>ממצאי מעקב</w:t>
      </w:r>
    </w:p>
    <w:p w:rsidR="00FA4BFC" w:rsidRDefault="00FA4BFC" w:rsidP="00FA4BFC">
      <w:pPr>
        <w:rPr>
          <w:rFonts w:ascii="David" w:cs="David"/>
          <w:b/>
          <w:bCs/>
          <w:sz w:val="28"/>
          <w:szCs w:val="28"/>
          <w:rtl/>
        </w:rPr>
      </w:pPr>
    </w:p>
    <w:p w:rsidR="00FA4BFC" w:rsidRDefault="00FA4BFC" w:rsidP="00FA4BFC">
      <w:pPr>
        <w:jc w:val="both"/>
        <w:rPr>
          <w:rFonts w:ascii="David" w:cs="David"/>
          <w:b/>
          <w:bCs/>
          <w:sz w:val="24"/>
          <w:szCs w:val="24"/>
          <w:rtl/>
        </w:rPr>
      </w:pPr>
      <w:r>
        <w:rPr>
          <w:rStyle w:val="af0"/>
          <w:rFonts w:eastAsia="Calibri" w:hint="cs"/>
          <w:rtl/>
        </w:rPr>
        <w:t>הגופים המבוקרים: משרד האוצר; משרד הבינוי והשיכון; משרד הבריאות; המשרד לענייני גמלאים; משרד המשפטים; משרד הרווחה והשירותים החברתיים; משרד ראש הממשלה</w:t>
      </w:r>
    </w:p>
    <w:p w:rsidR="00FA4BFC" w:rsidRDefault="00FA4BFC" w:rsidP="00FA4BFC">
      <w:pPr>
        <w:jc w:val="both"/>
        <w:rPr>
          <w:rFonts w:ascii="David" w:cs="David"/>
          <w:b/>
          <w:bCs/>
          <w:sz w:val="24"/>
          <w:szCs w:val="24"/>
          <w:rtl/>
        </w:rPr>
      </w:pPr>
    </w:p>
    <w:p w:rsidR="00FA4BFC" w:rsidRDefault="00FA4BFC" w:rsidP="00FA4BFC">
      <w:pPr>
        <w:jc w:val="both"/>
        <w:rPr>
          <w:rFonts w:ascii="David" w:cs="David"/>
          <w:b/>
          <w:bCs/>
          <w:sz w:val="24"/>
          <w:szCs w:val="24"/>
          <w:rtl/>
        </w:rPr>
      </w:pPr>
      <w:r>
        <w:rPr>
          <w:rFonts w:ascii="David" w:cs="David" w:hint="cs"/>
          <w:b/>
          <w:bCs/>
          <w:sz w:val="24"/>
          <w:szCs w:val="24"/>
          <w:rtl/>
        </w:rPr>
        <w:t>ליקוי</w:t>
      </w:r>
    </w:p>
    <w:p w:rsidR="00FA4BFC" w:rsidRDefault="00FA4BFC" w:rsidP="00FA4BFC">
      <w:pPr>
        <w:jc w:val="both"/>
        <w:rPr>
          <w:rFonts w:ascii="David" w:cs="David"/>
          <w:b/>
          <w:bCs/>
          <w:sz w:val="24"/>
          <w:szCs w:val="24"/>
          <w:rtl/>
        </w:rPr>
      </w:pPr>
    </w:p>
    <w:p w:rsidR="00FA4BFC" w:rsidRDefault="00FA4BFC" w:rsidP="00FA4BFC">
      <w:pPr>
        <w:suppressAutoHyphens/>
        <w:ind w:left="509" w:hanging="509"/>
        <w:jc w:val="both"/>
        <w:rPr>
          <w:rFonts w:ascii="David" w:cs="David"/>
          <w:sz w:val="24"/>
          <w:szCs w:val="24"/>
          <w:rtl/>
        </w:rPr>
      </w:pPr>
      <w:r>
        <w:rPr>
          <w:rFonts w:ascii="David" w:cs="David" w:hint="cs"/>
          <w:sz w:val="24"/>
          <w:szCs w:val="24"/>
          <w:rtl/>
        </w:rPr>
        <w:t>1.</w:t>
      </w:r>
      <w:r>
        <w:rPr>
          <w:rFonts w:ascii="David" w:cs="David"/>
          <w:sz w:val="24"/>
          <w:szCs w:val="24"/>
          <w:rtl/>
        </w:rPr>
        <w:tab/>
      </w:r>
      <w:r>
        <w:rPr>
          <w:rFonts w:ascii="David" w:cs="David" w:hint="cs"/>
          <w:sz w:val="24"/>
          <w:szCs w:val="24"/>
          <w:rtl/>
        </w:rPr>
        <w:t xml:space="preserve">הממשלה החליטה לאמץ את המלצת ועדת </w:t>
      </w:r>
      <w:proofErr w:type="spellStart"/>
      <w:r>
        <w:rPr>
          <w:rFonts w:ascii="David" w:cs="David" w:hint="cs"/>
          <w:sz w:val="24"/>
          <w:szCs w:val="24"/>
          <w:rtl/>
        </w:rPr>
        <w:t>דורנר</w:t>
      </w:r>
      <w:proofErr w:type="spellEnd"/>
      <w:r>
        <w:rPr>
          <w:rFonts w:ascii="David" w:cs="David" w:hint="cs"/>
          <w:sz w:val="24"/>
          <w:szCs w:val="24"/>
          <w:rtl/>
        </w:rPr>
        <w:t xml:space="preserve"> להעמיד את סכום הגמלה הניתנת מכוח חוק נכי רדיפות הנאצים, </w:t>
      </w:r>
      <w:proofErr w:type="spellStart"/>
      <w:r>
        <w:rPr>
          <w:rFonts w:ascii="David" w:cs="David" w:hint="cs"/>
          <w:sz w:val="24"/>
          <w:szCs w:val="24"/>
          <w:rtl/>
        </w:rPr>
        <w:t>התשי"ז</w:t>
      </w:r>
      <w:proofErr w:type="spellEnd"/>
      <w:r>
        <w:rPr>
          <w:rFonts w:ascii="David" w:cs="David" w:hint="cs"/>
          <w:sz w:val="24"/>
          <w:szCs w:val="24"/>
          <w:rtl/>
        </w:rPr>
        <w:t xml:space="preserve">-1975, על 75% מסכום הרנטה הגרמנית. עם זאת, עדכון סכומה של הגמלה מתבצע בכל שנה בתחילת מאי, בהתאם לצו נכי רדיפות הנאצים (תוספת לתגמול), </w:t>
      </w:r>
      <w:proofErr w:type="spellStart"/>
      <w:r>
        <w:rPr>
          <w:rFonts w:ascii="David" w:cs="David" w:hint="cs"/>
          <w:sz w:val="24"/>
          <w:szCs w:val="24"/>
          <w:rtl/>
        </w:rPr>
        <w:t>התשס"ח</w:t>
      </w:r>
      <w:proofErr w:type="spellEnd"/>
      <w:r>
        <w:rPr>
          <w:rFonts w:ascii="David" w:cs="David" w:hint="cs"/>
          <w:sz w:val="24"/>
          <w:szCs w:val="24"/>
          <w:rtl/>
        </w:rPr>
        <w:t xml:space="preserve">-2008, ואינו מוחל רטרואקטיבית מחודש ינואר כפי שהמליצה ועדת </w:t>
      </w:r>
      <w:proofErr w:type="spellStart"/>
      <w:r>
        <w:rPr>
          <w:rFonts w:ascii="David" w:cs="David" w:hint="cs"/>
          <w:sz w:val="24"/>
          <w:szCs w:val="24"/>
          <w:rtl/>
        </w:rPr>
        <w:t>דורנר</w:t>
      </w:r>
      <w:proofErr w:type="spellEnd"/>
      <w:r>
        <w:rPr>
          <w:rFonts w:ascii="David" w:cs="David" w:hint="cs"/>
          <w:sz w:val="24"/>
          <w:szCs w:val="24"/>
          <w:rtl/>
        </w:rPr>
        <w:t xml:space="preserve">. </w:t>
      </w:r>
    </w:p>
    <w:p w:rsidR="00FA4BFC" w:rsidRDefault="00FA4BFC" w:rsidP="00FA4BFC">
      <w:pPr>
        <w:ind w:left="509" w:hanging="509"/>
        <w:jc w:val="both"/>
        <w:rPr>
          <w:rFonts w:ascii="David" w:cs="David"/>
          <w:sz w:val="24"/>
          <w:szCs w:val="24"/>
          <w:rtl/>
        </w:rPr>
      </w:pPr>
    </w:p>
    <w:p w:rsidR="00FA4BFC" w:rsidRDefault="00FA4BFC" w:rsidP="00FA4BFC">
      <w:pPr>
        <w:ind w:left="509" w:hanging="509"/>
        <w:jc w:val="both"/>
        <w:rPr>
          <w:rFonts w:ascii="David" w:cs="David"/>
          <w:b/>
          <w:bCs/>
          <w:sz w:val="24"/>
          <w:szCs w:val="24"/>
          <w:rtl/>
        </w:rPr>
      </w:pPr>
      <w:r>
        <w:rPr>
          <w:rFonts w:ascii="David" w:cs="David" w:hint="cs"/>
          <w:b/>
          <w:bCs/>
          <w:sz w:val="24"/>
          <w:szCs w:val="24"/>
          <w:rtl/>
        </w:rPr>
        <w:t>מעקב</w:t>
      </w:r>
    </w:p>
    <w:p w:rsidR="00FA4BFC" w:rsidRDefault="00FA4BFC" w:rsidP="00FA4BFC">
      <w:pPr>
        <w:ind w:left="509" w:hanging="509"/>
        <w:jc w:val="both"/>
        <w:rPr>
          <w:rFonts w:ascii="David" w:cs="David"/>
          <w:b/>
          <w:bCs/>
          <w:sz w:val="24"/>
          <w:szCs w:val="24"/>
          <w:rtl/>
        </w:rPr>
      </w:pPr>
    </w:p>
    <w:p w:rsidR="00FA4BFC" w:rsidRDefault="00FA4BFC" w:rsidP="00FA4BFC">
      <w:pPr>
        <w:ind w:left="1134" w:hanging="1134"/>
        <w:jc w:val="both"/>
        <w:rPr>
          <w:rFonts w:ascii="David" w:cs="David"/>
          <w:sz w:val="24"/>
          <w:szCs w:val="24"/>
          <w:rtl/>
        </w:rPr>
      </w:pPr>
      <w:r>
        <w:rPr>
          <w:rFonts w:ascii="David" w:cs="David" w:hint="cs"/>
          <w:sz w:val="24"/>
          <w:szCs w:val="24"/>
          <w:rtl/>
        </w:rPr>
        <w:t>1.</w:t>
      </w: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59-62.</w:t>
      </w:r>
    </w:p>
    <w:p w:rsidR="00FA4BFC" w:rsidRDefault="00FA4BFC" w:rsidP="00FA4BFC">
      <w:pPr>
        <w:ind w:left="509" w:hanging="509"/>
        <w:jc w:val="both"/>
        <w:rPr>
          <w:rFonts w:ascii="David" w:cs="David"/>
          <w:sz w:val="24"/>
          <w:szCs w:val="24"/>
          <w:rtl/>
        </w:rPr>
      </w:pPr>
    </w:p>
    <w:p w:rsidR="00FA4BFC" w:rsidRDefault="00FA4BFC" w:rsidP="00FA4BFC">
      <w:pPr>
        <w:jc w:val="both"/>
        <w:rPr>
          <w:rFonts w:ascii="David" w:cs="David"/>
          <w:b/>
          <w:bCs/>
          <w:sz w:val="24"/>
          <w:szCs w:val="24"/>
          <w:rtl/>
        </w:rPr>
      </w:pPr>
      <w:r>
        <w:rPr>
          <w:rFonts w:ascii="David" w:cs="David" w:hint="cs"/>
          <w:b/>
          <w:bCs/>
          <w:sz w:val="24"/>
          <w:szCs w:val="24"/>
          <w:rtl/>
        </w:rPr>
        <w:t>ליקוי</w:t>
      </w:r>
    </w:p>
    <w:p w:rsidR="00FA4BFC" w:rsidRDefault="00FA4BFC" w:rsidP="00FA4BFC">
      <w:pPr>
        <w:jc w:val="both"/>
        <w:rPr>
          <w:rFonts w:ascii="David" w:cs="David"/>
          <w:b/>
          <w:bCs/>
          <w:sz w:val="24"/>
          <w:szCs w:val="24"/>
          <w:rtl/>
        </w:rPr>
      </w:pPr>
    </w:p>
    <w:p w:rsidR="00FA4BFC" w:rsidRDefault="00FA4BFC" w:rsidP="00FA4BFC">
      <w:pPr>
        <w:suppressAutoHyphens/>
        <w:ind w:left="509" w:hanging="509"/>
        <w:jc w:val="both"/>
        <w:rPr>
          <w:rFonts w:ascii="David" w:cs="David"/>
          <w:sz w:val="24"/>
          <w:szCs w:val="24"/>
          <w:rtl/>
        </w:rPr>
      </w:pPr>
      <w:r>
        <w:rPr>
          <w:rFonts w:ascii="David" w:cs="David" w:hint="cs"/>
          <w:sz w:val="24"/>
          <w:szCs w:val="24"/>
          <w:rtl/>
        </w:rPr>
        <w:t xml:space="preserve">2. </w:t>
      </w:r>
      <w:r>
        <w:rPr>
          <w:rFonts w:ascii="David" w:cs="David"/>
          <w:sz w:val="24"/>
          <w:szCs w:val="24"/>
          <w:rtl/>
        </w:rPr>
        <w:tab/>
      </w:r>
      <w:r>
        <w:rPr>
          <w:rFonts w:ascii="David" w:cs="David" w:hint="cs"/>
          <w:sz w:val="24"/>
          <w:szCs w:val="24"/>
          <w:rtl/>
        </w:rPr>
        <w:t xml:space="preserve">בספטמבר 2009 טרם שינתה הרשות את תהליכי העבודה שלה וטרם הטמיעה את המערכת הממוחשבת החדשה במחלקת התביעות של הרשות אף כי בדוח הקודם, שפורסם כשנתיים לפני אותו מועד, הומלץ על ביצוע השינויים האמורים. כמו כן, בשנתיים שעברו מאז פורסם הדוח הקודם לא פעלה הרשות, בד בבד עם הטמעת המערכת החדשה, לשיפור הבקרה על הטיפול בפניות הממתינות למענה באמצעות המערכת הישנה. עקב כך לא התקדם הטיפול בתביעותיהם של 7,144 פונים שחלק נכבד מהם הגישו תביעה לגמלה שנים רבות לפני כן, וחלקם אף הלכו לעולמם לפני שהסתיים הטיפול בפנייתם. </w:t>
      </w:r>
    </w:p>
    <w:p w:rsidR="00FA4BFC" w:rsidRDefault="00FA4BFC" w:rsidP="00FA4BFC">
      <w:pPr>
        <w:ind w:left="509" w:hanging="509"/>
        <w:jc w:val="both"/>
        <w:rPr>
          <w:rFonts w:ascii="David" w:cs="David"/>
          <w:sz w:val="24"/>
          <w:szCs w:val="24"/>
          <w:rtl/>
        </w:rPr>
      </w:pPr>
    </w:p>
    <w:p w:rsidR="00FA4BFC" w:rsidRDefault="00FA4BFC" w:rsidP="00FA4BFC">
      <w:pPr>
        <w:ind w:left="509" w:hanging="509"/>
        <w:jc w:val="both"/>
        <w:rPr>
          <w:rFonts w:ascii="David" w:cs="David"/>
          <w:b/>
          <w:bCs/>
          <w:sz w:val="24"/>
          <w:szCs w:val="24"/>
          <w:rtl/>
        </w:rPr>
      </w:pPr>
      <w:r>
        <w:rPr>
          <w:rFonts w:ascii="David" w:cs="David" w:hint="cs"/>
          <w:b/>
          <w:bCs/>
          <w:sz w:val="24"/>
          <w:szCs w:val="24"/>
          <w:rtl/>
        </w:rPr>
        <w:t>מעקב</w:t>
      </w:r>
    </w:p>
    <w:p w:rsidR="00FA4BFC" w:rsidRDefault="00FA4BFC" w:rsidP="00FA4BFC">
      <w:pPr>
        <w:ind w:left="509" w:hanging="509"/>
        <w:jc w:val="both"/>
        <w:rPr>
          <w:rFonts w:ascii="David" w:cs="David"/>
          <w:b/>
          <w:bCs/>
          <w:sz w:val="24"/>
          <w:szCs w:val="24"/>
          <w:rtl/>
        </w:rPr>
      </w:pPr>
    </w:p>
    <w:p w:rsidR="00FA4BFC" w:rsidRDefault="00FA4BFC" w:rsidP="00FA4BFC">
      <w:pPr>
        <w:ind w:left="1134" w:hanging="1134"/>
        <w:jc w:val="both"/>
        <w:rPr>
          <w:rFonts w:ascii="David" w:cs="David"/>
          <w:sz w:val="24"/>
          <w:szCs w:val="24"/>
          <w:rtl/>
        </w:rPr>
      </w:pPr>
      <w:r>
        <w:rPr>
          <w:rFonts w:ascii="David" w:cs="David" w:hint="cs"/>
          <w:sz w:val="24"/>
          <w:szCs w:val="24"/>
          <w:rtl/>
        </w:rPr>
        <w:t>2.</w:t>
      </w: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59-62.</w:t>
      </w:r>
    </w:p>
    <w:p w:rsidR="00FA4BFC" w:rsidRDefault="00FA4BFC" w:rsidP="00FA4BFC">
      <w:pPr>
        <w:jc w:val="both"/>
        <w:rPr>
          <w:rFonts w:ascii="David" w:cs="David" w:hint="cs"/>
          <w:b/>
          <w:bCs/>
          <w:sz w:val="24"/>
          <w:szCs w:val="24"/>
          <w:rtl/>
        </w:rPr>
      </w:pPr>
    </w:p>
    <w:p w:rsidR="00FA4BFC" w:rsidRDefault="00FA4BFC" w:rsidP="00FA4BFC">
      <w:pPr>
        <w:jc w:val="both"/>
        <w:rPr>
          <w:rFonts w:ascii="David" w:cs="David" w:hint="cs"/>
          <w:b/>
          <w:bCs/>
          <w:sz w:val="24"/>
          <w:szCs w:val="24"/>
          <w:rtl/>
        </w:rPr>
      </w:pPr>
    </w:p>
    <w:p w:rsidR="00FA4BFC" w:rsidRDefault="00FA4BFC" w:rsidP="00FA4BFC">
      <w:pPr>
        <w:jc w:val="both"/>
        <w:rPr>
          <w:rFonts w:ascii="David" w:cs="David" w:hint="cs"/>
          <w:b/>
          <w:bCs/>
          <w:sz w:val="24"/>
          <w:szCs w:val="24"/>
          <w:rtl/>
        </w:rPr>
      </w:pPr>
    </w:p>
    <w:p w:rsidR="00FA4BFC" w:rsidRDefault="00FA4BFC" w:rsidP="00FA4BFC">
      <w:pPr>
        <w:jc w:val="both"/>
        <w:rPr>
          <w:rFonts w:ascii="David" w:cs="David"/>
          <w:b/>
          <w:bCs/>
          <w:sz w:val="24"/>
          <w:szCs w:val="24"/>
          <w:rtl/>
        </w:rPr>
      </w:pPr>
      <w:r>
        <w:rPr>
          <w:rFonts w:ascii="David" w:cs="David" w:hint="cs"/>
          <w:b/>
          <w:bCs/>
          <w:sz w:val="24"/>
          <w:szCs w:val="24"/>
          <w:rtl/>
        </w:rPr>
        <w:lastRenderedPageBreak/>
        <w:t>ליקוי</w:t>
      </w:r>
    </w:p>
    <w:p w:rsidR="00FA4BFC" w:rsidRDefault="00FA4BFC" w:rsidP="00FA4BFC">
      <w:pPr>
        <w:jc w:val="both"/>
        <w:rPr>
          <w:rFonts w:ascii="David" w:cs="David"/>
          <w:b/>
          <w:bCs/>
          <w:sz w:val="24"/>
          <w:szCs w:val="24"/>
          <w:rtl/>
        </w:rPr>
      </w:pPr>
    </w:p>
    <w:p w:rsidR="00FA4BFC" w:rsidRDefault="00FA4BFC" w:rsidP="00FA4BFC">
      <w:pPr>
        <w:suppressAutoHyphens/>
        <w:ind w:left="509" w:hanging="509"/>
        <w:jc w:val="both"/>
        <w:rPr>
          <w:rFonts w:ascii="David" w:cs="David"/>
          <w:sz w:val="24"/>
          <w:szCs w:val="24"/>
          <w:rtl/>
        </w:rPr>
      </w:pPr>
      <w:r>
        <w:rPr>
          <w:rFonts w:ascii="David" w:cs="David" w:hint="cs"/>
          <w:sz w:val="24"/>
          <w:szCs w:val="24"/>
          <w:rtl/>
        </w:rPr>
        <w:t>3.</w:t>
      </w:r>
      <w:r>
        <w:rPr>
          <w:rFonts w:ascii="David" w:cs="David"/>
          <w:sz w:val="24"/>
          <w:szCs w:val="24"/>
          <w:rtl/>
        </w:rPr>
        <w:tab/>
      </w:r>
      <w:r>
        <w:rPr>
          <w:rFonts w:ascii="David" w:cs="David" w:hint="cs"/>
          <w:sz w:val="24"/>
          <w:szCs w:val="24"/>
          <w:rtl/>
        </w:rPr>
        <w:t xml:space="preserve">ועדת </w:t>
      </w:r>
      <w:proofErr w:type="spellStart"/>
      <w:r>
        <w:rPr>
          <w:rFonts w:ascii="David" w:cs="David" w:hint="cs"/>
          <w:sz w:val="24"/>
          <w:szCs w:val="24"/>
          <w:rtl/>
        </w:rPr>
        <w:t>דורנר</w:t>
      </w:r>
      <w:proofErr w:type="spellEnd"/>
      <w:r>
        <w:rPr>
          <w:rFonts w:ascii="David" w:cs="David" w:hint="cs"/>
          <w:sz w:val="24"/>
          <w:szCs w:val="24"/>
          <w:rtl/>
        </w:rPr>
        <w:t xml:space="preserve"> המליצה כי קביעת הקשר הסיבתי בין מאורעות השואה למחלות שמהם סובלים הניצולים תהיה בסמכות הוועדות הרפואיות ולא בסמכותו הבלעדית של רופא הרשות. הרשות מינתה ועדה חיצונית לקביעת הקשר הסיבתי בין נרדפותם של הניצולים בתקופת השואה ובין שש מחלות עיקריות. נמצא כי רופא הרשות הוא שקובע לבדו, שלא לפי המלצות ועדת </w:t>
      </w:r>
      <w:proofErr w:type="spellStart"/>
      <w:r>
        <w:rPr>
          <w:rFonts w:ascii="David" w:cs="David" w:hint="cs"/>
          <w:sz w:val="24"/>
          <w:szCs w:val="24"/>
          <w:rtl/>
        </w:rPr>
        <w:t>דורנר</w:t>
      </w:r>
      <w:proofErr w:type="spellEnd"/>
      <w:r>
        <w:rPr>
          <w:rFonts w:ascii="David" w:cs="David" w:hint="cs"/>
          <w:sz w:val="24"/>
          <w:szCs w:val="24"/>
          <w:rtl/>
        </w:rPr>
        <w:t xml:space="preserve">, את הקשר הסיבתי בנוגע למחלות אלה על בסיס מסקנות הוועדה החיצונית. בכל הנוגע ליתר המחלות ממשיך רופא הרשות להיות הגורם המכריע לעניין קביעת הקשר הסיבתי בין המחלות למאורעות השואה. </w:t>
      </w:r>
    </w:p>
    <w:p w:rsidR="00FA4BFC" w:rsidRDefault="00FA4BFC" w:rsidP="00FA4BFC">
      <w:pPr>
        <w:ind w:left="509" w:hanging="509"/>
        <w:jc w:val="both"/>
        <w:rPr>
          <w:rFonts w:ascii="David" w:cs="David"/>
          <w:sz w:val="24"/>
          <w:szCs w:val="24"/>
          <w:rtl/>
        </w:rPr>
      </w:pPr>
    </w:p>
    <w:p w:rsidR="00FA4BFC" w:rsidRDefault="00FA4BFC" w:rsidP="00FA4BFC">
      <w:pPr>
        <w:ind w:left="509" w:hanging="509"/>
        <w:jc w:val="both"/>
        <w:rPr>
          <w:rFonts w:ascii="David" w:cs="David"/>
          <w:b/>
          <w:bCs/>
          <w:sz w:val="24"/>
          <w:szCs w:val="24"/>
          <w:rtl/>
        </w:rPr>
      </w:pPr>
      <w:r>
        <w:rPr>
          <w:rFonts w:ascii="David" w:cs="David" w:hint="cs"/>
          <w:b/>
          <w:bCs/>
          <w:sz w:val="24"/>
          <w:szCs w:val="24"/>
          <w:rtl/>
        </w:rPr>
        <w:t>מעקב</w:t>
      </w:r>
    </w:p>
    <w:p w:rsidR="00FA4BFC" w:rsidRDefault="00FA4BFC" w:rsidP="00FA4BFC">
      <w:pPr>
        <w:ind w:left="509" w:hanging="509"/>
        <w:jc w:val="both"/>
        <w:rPr>
          <w:rFonts w:ascii="David" w:cs="David"/>
          <w:b/>
          <w:bCs/>
          <w:sz w:val="24"/>
          <w:szCs w:val="24"/>
          <w:rtl/>
        </w:rPr>
      </w:pPr>
    </w:p>
    <w:p w:rsidR="00FA4BFC" w:rsidRDefault="00FA4BFC" w:rsidP="00FA4BFC">
      <w:pPr>
        <w:ind w:left="1134" w:hanging="1134"/>
        <w:jc w:val="both"/>
        <w:rPr>
          <w:rFonts w:ascii="David" w:cs="David"/>
          <w:sz w:val="24"/>
          <w:szCs w:val="24"/>
          <w:rtl/>
        </w:rPr>
      </w:pPr>
      <w:r>
        <w:rPr>
          <w:rFonts w:ascii="David" w:cs="David" w:hint="cs"/>
          <w:sz w:val="24"/>
          <w:szCs w:val="24"/>
          <w:rtl/>
        </w:rPr>
        <w:t>3.</w:t>
      </w: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59-62.</w:t>
      </w:r>
    </w:p>
    <w:p w:rsidR="00FA4BFC" w:rsidRDefault="00FA4BFC" w:rsidP="00FA4BFC">
      <w:pPr>
        <w:jc w:val="both"/>
        <w:rPr>
          <w:rFonts w:ascii="David" w:cs="David"/>
          <w:sz w:val="24"/>
          <w:szCs w:val="24"/>
          <w:rtl/>
        </w:rPr>
      </w:pPr>
    </w:p>
    <w:p w:rsidR="00FA4BFC" w:rsidRDefault="00FA4BFC" w:rsidP="00FA4BFC">
      <w:pPr>
        <w:jc w:val="both"/>
        <w:rPr>
          <w:rFonts w:ascii="David" w:cs="David"/>
          <w:b/>
          <w:bCs/>
          <w:sz w:val="24"/>
          <w:szCs w:val="24"/>
          <w:rtl/>
        </w:rPr>
      </w:pPr>
      <w:r>
        <w:rPr>
          <w:rFonts w:ascii="David" w:cs="David" w:hint="cs"/>
          <w:b/>
          <w:bCs/>
          <w:sz w:val="24"/>
          <w:szCs w:val="24"/>
          <w:rtl/>
        </w:rPr>
        <w:t>ליקוי</w:t>
      </w:r>
    </w:p>
    <w:p w:rsidR="00FA4BFC" w:rsidRDefault="00FA4BFC" w:rsidP="00FA4BFC">
      <w:pPr>
        <w:jc w:val="both"/>
        <w:rPr>
          <w:rFonts w:ascii="David" w:cs="David"/>
          <w:b/>
          <w:bCs/>
          <w:sz w:val="24"/>
          <w:szCs w:val="24"/>
          <w:rtl/>
        </w:rPr>
      </w:pPr>
    </w:p>
    <w:p w:rsidR="00FA4BFC" w:rsidRDefault="00FA4BFC" w:rsidP="00FA4BFC">
      <w:pPr>
        <w:suppressAutoHyphens/>
        <w:ind w:left="509" w:hanging="509"/>
        <w:jc w:val="both"/>
        <w:rPr>
          <w:rFonts w:ascii="David" w:cs="David"/>
          <w:sz w:val="24"/>
          <w:szCs w:val="24"/>
          <w:rtl/>
        </w:rPr>
      </w:pPr>
      <w:r>
        <w:rPr>
          <w:rFonts w:ascii="David" w:cs="David" w:hint="cs"/>
          <w:sz w:val="24"/>
          <w:szCs w:val="24"/>
          <w:rtl/>
        </w:rPr>
        <w:t>4.</w:t>
      </w:r>
      <w:r>
        <w:rPr>
          <w:rFonts w:ascii="David" w:cs="David"/>
          <w:sz w:val="24"/>
          <w:szCs w:val="24"/>
          <w:rtl/>
        </w:rPr>
        <w:tab/>
      </w:r>
      <w:r>
        <w:rPr>
          <w:rFonts w:ascii="David" w:cs="David" w:hint="cs"/>
          <w:sz w:val="24"/>
          <w:szCs w:val="24"/>
          <w:rtl/>
        </w:rPr>
        <w:t xml:space="preserve">עם הפעלת מרכז המידע הארצי מנהלת הרשות לזכויות ניצולי השואה מרכז מידע לפניות הנוגעות לנושאים שבאחריותה, שיש בו כפילות מסוימת למרכז המידע הקיים ומכאן שאין בנמצא מרכז שירות אחד העומד לרשות הניצולים ומאפשר לניצולים לקבל במרוכז את המידע הדרוש להם. במועד סיום הביקורת נמצא כי בשבעת החודשים שעברו מאז הוקם מרכז המידע הארצי הסתיים הטיפול רק בפניותיהם של כ-6,000 מבין כ-35,000 הניצולים שנעזרו בשירותי מרכז המידע הארצי, ואילו יתר הפניות ממתינות להמשך טיפול על ידי הגוף הרלוונטי או להשלמת מסמכים נדרשים לביסוס התביעה על ידי הפונה למרכז המידע. </w:t>
      </w:r>
    </w:p>
    <w:p w:rsidR="00FA4BFC" w:rsidRDefault="00FA4BFC" w:rsidP="00FA4BFC">
      <w:pPr>
        <w:ind w:left="509" w:hanging="509"/>
        <w:jc w:val="both"/>
        <w:rPr>
          <w:rFonts w:ascii="David" w:cs="David"/>
          <w:sz w:val="24"/>
          <w:szCs w:val="24"/>
          <w:rtl/>
        </w:rPr>
      </w:pPr>
    </w:p>
    <w:p w:rsidR="00FA4BFC" w:rsidRDefault="00FA4BFC" w:rsidP="00FA4BFC">
      <w:pPr>
        <w:ind w:left="509" w:hanging="509"/>
        <w:jc w:val="both"/>
        <w:rPr>
          <w:rFonts w:ascii="David" w:cs="David"/>
          <w:b/>
          <w:bCs/>
          <w:sz w:val="24"/>
          <w:szCs w:val="24"/>
          <w:rtl/>
        </w:rPr>
      </w:pPr>
      <w:r>
        <w:rPr>
          <w:rFonts w:ascii="David" w:cs="David" w:hint="cs"/>
          <w:b/>
          <w:bCs/>
          <w:sz w:val="24"/>
          <w:szCs w:val="24"/>
          <w:rtl/>
        </w:rPr>
        <w:t>מעקב</w:t>
      </w:r>
    </w:p>
    <w:p w:rsidR="00FA4BFC" w:rsidRDefault="00FA4BFC" w:rsidP="00FA4BFC">
      <w:pPr>
        <w:ind w:left="509" w:hanging="509"/>
        <w:jc w:val="both"/>
        <w:rPr>
          <w:rFonts w:ascii="David" w:cs="David"/>
          <w:b/>
          <w:bCs/>
          <w:sz w:val="24"/>
          <w:szCs w:val="24"/>
          <w:rtl/>
        </w:rPr>
      </w:pPr>
      <w:r>
        <w:rPr>
          <w:rFonts w:ascii="David" w:cs="David" w:hint="cs"/>
          <w:b/>
          <w:bCs/>
          <w:sz w:val="24"/>
          <w:szCs w:val="24"/>
          <w:rtl/>
        </w:rPr>
        <w:t>המשרד לענייני גמלאים</w:t>
      </w:r>
    </w:p>
    <w:p w:rsidR="00FA4BFC" w:rsidRDefault="00FA4BFC" w:rsidP="00FA4BFC">
      <w:pPr>
        <w:ind w:left="509" w:hanging="509"/>
        <w:jc w:val="both"/>
        <w:rPr>
          <w:rFonts w:ascii="David" w:cs="David"/>
          <w:b/>
          <w:bCs/>
          <w:sz w:val="24"/>
          <w:szCs w:val="24"/>
          <w:rtl/>
        </w:rPr>
      </w:pPr>
    </w:p>
    <w:p w:rsidR="00FA4BFC" w:rsidRDefault="00FA4BFC" w:rsidP="00FA4BFC">
      <w:pPr>
        <w:suppressAutoHyphens/>
        <w:ind w:left="1076" w:hanging="1076"/>
        <w:jc w:val="both"/>
        <w:rPr>
          <w:rFonts w:ascii="David" w:cs="David"/>
          <w:sz w:val="24"/>
          <w:szCs w:val="24"/>
          <w:rtl/>
        </w:rPr>
      </w:pPr>
      <w:r>
        <w:rPr>
          <w:rFonts w:ascii="David" w:cs="David" w:hint="cs"/>
          <w:sz w:val="24"/>
          <w:szCs w:val="24"/>
          <w:rtl/>
        </w:rPr>
        <w:t>4.</w:t>
      </w:r>
      <w:r>
        <w:rPr>
          <w:rFonts w:ascii="David" w:cs="David"/>
          <w:sz w:val="24"/>
          <w:szCs w:val="24"/>
          <w:rtl/>
        </w:rPr>
        <w:tab/>
      </w:r>
      <w:r>
        <w:rPr>
          <w:rFonts w:ascii="David" w:cs="David" w:hint="cs"/>
          <w:sz w:val="24"/>
          <w:szCs w:val="24"/>
          <w:rtl/>
        </w:rPr>
        <w:t>לנושא קרן הרווחה – כ-40,500 פניות הועברו לקרן הרווחה. על-פי העדכונים שקיבל המשרד לרובם המכריע של הפונים ניתן מענה. מתוך סך הפניות לכ-29,000 פונים נשלחו טפסים, כאשר כ-5,500 איש הגישו בקשות, ומתוכם כ-3,000 פונים קיבלו מענק. מהנתונים עולה כי לרבים לא ניתן היה להשלים את הטיפול כיוון שלא העבירו את הטפסים כנדרש. המשרד פועל במסגרת הסכם עם הסוכנות היהודית (פרויקט "לעד") בהפעלת מתנדבים ובאמצעות מרכז המידע לברר את היעדר שיתוף הפעולה מצד הפונים.</w:t>
      </w:r>
    </w:p>
    <w:p w:rsidR="00FA4BFC" w:rsidRDefault="00FA4BFC" w:rsidP="00FA4BFC">
      <w:pPr>
        <w:suppressAutoHyphens/>
        <w:ind w:left="1076" w:hanging="1076"/>
        <w:jc w:val="both"/>
        <w:rPr>
          <w:rFonts w:ascii="David" w:cs="David"/>
          <w:sz w:val="24"/>
          <w:szCs w:val="24"/>
          <w:rtl/>
        </w:rPr>
      </w:pPr>
      <w:r>
        <w:rPr>
          <w:rFonts w:ascii="David" w:cs="David"/>
          <w:sz w:val="24"/>
          <w:szCs w:val="24"/>
          <w:rtl/>
        </w:rPr>
        <w:tab/>
      </w:r>
      <w:r>
        <w:rPr>
          <w:rFonts w:ascii="David" w:cs="David" w:hint="cs"/>
          <w:sz w:val="24"/>
          <w:szCs w:val="24"/>
          <w:rtl/>
        </w:rPr>
        <w:t>לנושא ועידת התביעות – כ-2,800 פניות הועברו לועידת התביעות. על-פי העדכונים שקיבל המשרד הועברו תשובות לכלל הפניות שהתקבלו.</w:t>
      </w:r>
    </w:p>
    <w:p w:rsidR="00FA4BFC" w:rsidRDefault="00FA4BFC" w:rsidP="00FA4BFC">
      <w:pPr>
        <w:suppressAutoHyphens/>
        <w:ind w:left="1076"/>
        <w:jc w:val="both"/>
        <w:rPr>
          <w:rFonts w:ascii="David" w:cs="David"/>
          <w:sz w:val="24"/>
          <w:szCs w:val="24"/>
          <w:rtl/>
        </w:rPr>
      </w:pPr>
      <w:r>
        <w:rPr>
          <w:rFonts w:ascii="David" w:cs="David" w:hint="cs"/>
          <w:sz w:val="24"/>
          <w:szCs w:val="24"/>
          <w:rtl/>
        </w:rPr>
        <w:lastRenderedPageBreak/>
        <w:t>לנושא פניות רנטת בריאות מגרמניה – כ-4,200 פניות הגיעו למרכז המידע בנושא רנטת בריאות ופנסיה סוציאלית עבור עבודה ללא כפייה בגטו. עד היום החל טיפול בכ-1,500 פניות במרכז המידע. נעשה ניסיון לשיתוף פעולה מול הלשכה וכן נערכו מספר פגישות עמם אך הניסיון למסד שיתוף פעולה לא צלח. יש לציין כי נושאים אלו מצריכים ידע בתחום ובשפה הגרמנית. מומחה מטעם מרכז המידע משיב טלפונית לפונים ומנחה אותם כיצד לפעול.</w:t>
      </w:r>
    </w:p>
    <w:p w:rsidR="00FA4BFC" w:rsidRDefault="00FA4BFC" w:rsidP="00FA4BFC">
      <w:pPr>
        <w:suppressAutoHyphens/>
        <w:ind w:left="1076"/>
        <w:jc w:val="both"/>
        <w:rPr>
          <w:rFonts w:ascii="David" w:cs="David"/>
          <w:sz w:val="24"/>
          <w:szCs w:val="24"/>
          <w:rtl/>
        </w:rPr>
      </w:pPr>
      <w:r>
        <w:rPr>
          <w:rFonts w:ascii="David" w:cs="David" w:hint="cs"/>
          <w:sz w:val="24"/>
          <w:szCs w:val="24"/>
          <w:rtl/>
        </w:rPr>
        <w:t>הרשות לזכויות ניצולי השואה – כ-16,500 פניות הועברו לרשות. הרשות מעבירה לידי מרכז המידע תשובות כלליות בלבד אשר אינן מאפשרות מתן מענה כולל לניצולים.</w:t>
      </w:r>
    </w:p>
    <w:p w:rsidR="00FA4BFC" w:rsidRDefault="00FA4BFC" w:rsidP="00FA4BFC">
      <w:pPr>
        <w:ind w:left="509" w:hanging="509"/>
        <w:jc w:val="both"/>
        <w:rPr>
          <w:rFonts w:ascii="David" w:cs="David"/>
          <w:sz w:val="24"/>
          <w:szCs w:val="24"/>
          <w:rtl/>
        </w:rPr>
      </w:pPr>
      <w:r>
        <w:rPr>
          <w:rFonts w:ascii="David" w:cs="David"/>
          <w:sz w:val="24"/>
          <w:szCs w:val="24"/>
          <w:rtl/>
        </w:rPr>
        <w:tab/>
      </w:r>
      <w:r>
        <w:rPr>
          <w:rFonts w:ascii="David" w:cs="David"/>
          <w:sz w:val="24"/>
          <w:szCs w:val="24"/>
          <w:rtl/>
        </w:rPr>
        <w:tab/>
      </w:r>
      <w:r>
        <w:rPr>
          <w:rFonts w:ascii="David" w:cs="David" w:hint="cs"/>
          <w:sz w:val="24"/>
          <w:szCs w:val="24"/>
          <w:rtl/>
        </w:rPr>
        <w:t xml:space="preserve">       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65.</w:t>
      </w:r>
    </w:p>
    <w:p w:rsidR="00FA4BFC" w:rsidRDefault="00FA4BFC" w:rsidP="00FA4BFC">
      <w:pPr>
        <w:ind w:left="509" w:hanging="509"/>
        <w:jc w:val="both"/>
        <w:rPr>
          <w:rFonts w:ascii="David" w:cs="David"/>
          <w:sz w:val="24"/>
          <w:szCs w:val="24"/>
          <w:rtl/>
        </w:rPr>
      </w:pPr>
    </w:p>
    <w:p w:rsidR="00FA4BFC" w:rsidRDefault="00FA4BFC" w:rsidP="00FA4BFC">
      <w:pPr>
        <w:jc w:val="both"/>
        <w:rPr>
          <w:rFonts w:ascii="David" w:cs="David"/>
          <w:b/>
          <w:bCs/>
          <w:sz w:val="24"/>
          <w:szCs w:val="24"/>
          <w:rtl/>
        </w:rPr>
      </w:pPr>
      <w:r>
        <w:rPr>
          <w:rFonts w:ascii="David" w:cs="David" w:hint="cs"/>
          <w:b/>
          <w:bCs/>
          <w:sz w:val="24"/>
          <w:szCs w:val="24"/>
          <w:rtl/>
        </w:rPr>
        <w:t>ליקוי</w:t>
      </w:r>
    </w:p>
    <w:p w:rsidR="00FA4BFC" w:rsidRDefault="00FA4BFC" w:rsidP="00FA4BFC">
      <w:pPr>
        <w:jc w:val="both"/>
        <w:rPr>
          <w:rFonts w:ascii="David" w:cs="David"/>
          <w:b/>
          <w:bCs/>
          <w:sz w:val="24"/>
          <w:szCs w:val="24"/>
          <w:rtl/>
        </w:rPr>
      </w:pPr>
    </w:p>
    <w:p w:rsidR="00FA4BFC" w:rsidRDefault="00FA4BFC" w:rsidP="00FA4BFC">
      <w:pPr>
        <w:suppressAutoHyphens/>
        <w:ind w:left="509" w:hanging="509"/>
        <w:jc w:val="both"/>
        <w:rPr>
          <w:rFonts w:ascii="David" w:cs="David"/>
          <w:sz w:val="24"/>
          <w:szCs w:val="24"/>
          <w:rtl/>
        </w:rPr>
      </w:pPr>
      <w:r>
        <w:rPr>
          <w:rFonts w:ascii="David" w:cs="David" w:hint="cs"/>
          <w:sz w:val="24"/>
          <w:szCs w:val="24"/>
          <w:rtl/>
        </w:rPr>
        <w:t>5.</w:t>
      </w:r>
      <w:r>
        <w:rPr>
          <w:rFonts w:ascii="David" w:cs="David"/>
          <w:sz w:val="24"/>
          <w:szCs w:val="24"/>
          <w:rtl/>
        </w:rPr>
        <w:tab/>
      </w:r>
      <w:r>
        <w:rPr>
          <w:rFonts w:ascii="David" w:cs="David" w:hint="cs"/>
          <w:sz w:val="24"/>
          <w:szCs w:val="24"/>
          <w:rtl/>
        </w:rPr>
        <w:t>בהתאם להחלטת הממשלה הוקם צוות בראשות מנכ"ל משרד הבריאות כדי להסדיר את נוהלי העבודה בין הממשלה לקופות החולים בנושא מנגנון השיפוי על תרופות שלהן זכאים הניצולים בתחום נכותם המוכרת על ידי הרשות. הצוות סיים את עבודתו רק זמן קצר לפני סיום הביקורת, כתשעה חודשים לאחר המועד שנקבע לכך בהחלטת הממשלה. ואולם באותו המועד עדיין לא חתמו הגורמים הנוגעים בדבר, ובראשם הרשות, על הסכם מחייב עם קופות החולים על פי המתווה שעליו המליץ הצוות.</w:t>
      </w:r>
    </w:p>
    <w:p w:rsidR="00FA4BFC" w:rsidRDefault="00FA4BFC" w:rsidP="00FA4BFC">
      <w:pPr>
        <w:ind w:left="509" w:hanging="509"/>
        <w:jc w:val="both"/>
        <w:rPr>
          <w:rFonts w:ascii="David" w:cs="David"/>
          <w:sz w:val="24"/>
          <w:szCs w:val="24"/>
          <w:rtl/>
        </w:rPr>
      </w:pPr>
    </w:p>
    <w:p w:rsidR="00FA4BFC" w:rsidRDefault="00FA4BFC" w:rsidP="00FA4BFC">
      <w:pPr>
        <w:ind w:left="509" w:hanging="509"/>
        <w:jc w:val="both"/>
        <w:rPr>
          <w:rFonts w:ascii="David" w:cs="David"/>
          <w:b/>
          <w:bCs/>
          <w:sz w:val="24"/>
          <w:szCs w:val="24"/>
          <w:rtl/>
        </w:rPr>
      </w:pPr>
      <w:r>
        <w:rPr>
          <w:rFonts w:ascii="David" w:cs="David" w:hint="cs"/>
          <w:b/>
          <w:bCs/>
          <w:sz w:val="24"/>
          <w:szCs w:val="24"/>
          <w:rtl/>
        </w:rPr>
        <w:t>מעקב</w:t>
      </w:r>
    </w:p>
    <w:p w:rsidR="00FA4BFC" w:rsidRDefault="00FA4BFC" w:rsidP="00FA4BFC">
      <w:pPr>
        <w:ind w:left="509" w:hanging="509"/>
        <w:jc w:val="both"/>
        <w:rPr>
          <w:rFonts w:ascii="David" w:cs="David"/>
          <w:b/>
          <w:bCs/>
          <w:sz w:val="24"/>
          <w:szCs w:val="24"/>
          <w:rtl/>
        </w:rPr>
      </w:pPr>
    </w:p>
    <w:p w:rsidR="00FA4BFC" w:rsidRDefault="00FA4BFC" w:rsidP="00FA4BFC">
      <w:pPr>
        <w:ind w:left="1134" w:hanging="1134"/>
        <w:jc w:val="both"/>
        <w:rPr>
          <w:rFonts w:ascii="David" w:cs="David"/>
          <w:sz w:val="24"/>
          <w:szCs w:val="24"/>
          <w:rtl/>
        </w:rPr>
      </w:pPr>
      <w:r>
        <w:rPr>
          <w:rFonts w:ascii="David" w:cs="David" w:hint="cs"/>
          <w:sz w:val="24"/>
          <w:szCs w:val="24"/>
          <w:rtl/>
        </w:rPr>
        <w:t>5.</w:t>
      </w: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63.</w:t>
      </w:r>
    </w:p>
    <w:p w:rsidR="00FA4BFC" w:rsidRDefault="00FA4BFC" w:rsidP="00FA4BFC">
      <w:pPr>
        <w:ind w:left="509" w:hanging="509"/>
        <w:jc w:val="both"/>
        <w:rPr>
          <w:rFonts w:ascii="David" w:cs="David"/>
          <w:sz w:val="24"/>
          <w:szCs w:val="24"/>
          <w:rtl/>
        </w:rPr>
      </w:pPr>
    </w:p>
    <w:p w:rsidR="00FA4BFC" w:rsidRDefault="00FA4BFC" w:rsidP="00FA4BFC">
      <w:pPr>
        <w:jc w:val="both"/>
        <w:rPr>
          <w:rFonts w:ascii="David" w:cs="David"/>
          <w:b/>
          <w:bCs/>
          <w:sz w:val="24"/>
          <w:szCs w:val="24"/>
          <w:rtl/>
        </w:rPr>
      </w:pPr>
      <w:r>
        <w:rPr>
          <w:rFonts w:ascii="David" w:cs="David" w:hint="cs"/>
          <w:b/>
          <w:bCs/>
          <w:sz w:val="24"/>
          <w:szCs w:val="24"/>
          <w:rtl/>
        </w:rPr>
        <w:t>ליקוי</w:t>
      </w:r>
    </w:p>
    <w:p w:rsidR="00FA4BFC" w:rsidRDefault="00FA4BFC" w:rsidP="00FA4BFC">
      <w:pPr>
        <w:jc w:val="both"/>
        <w:rPr>
          <w:rFonts w:ascii="David" w:cs="David"/>
          <w:b/>
          <w:bCs/>
          <w:sz w:val="24"/>
          <w:szCs w:val="24"/>
          <w:rtl/>
        </w:rPr>
      </w:pPr>
    </w:p>
    <w:p w:rsidR="00FA4BFC" w:rsidRDefault="00FA4BFC" w:rsidP="00FA4BFC">
      <w:pPr>
        <w:ind w:left="509" w:hanging="509"/>
        <w:jc w:val="both"/>
        <w:rPr>
          <w:rFonts w:ascii="David" w:cs="David"/>
          <w:sz w:val="24"/>
          <w:szCs w:val="24"/>
          <w:rtl/>
        </w:rPr>
      </w:pPr>
      <w:r>
        <w:rPr>
          <w:rFonts w:ascii="David" w:cs="David" w:hint="cs"/>
          <w:sz w:val="24"/>
          <w:szCs w:val="24"/>
          <w:rtl/>
        </w:rPr>
        <w:t xml:space="preserve">6. </w:t>
      </w:r>
      <w:r>
        <w:rPr>
          <w:rFonts w:ascii="David" w:cs="David"/>
          <w:sz w:val="24"/>
          <w:szCs w:val="24"/>
          <w:rtl/>
        </w:rPr>
        <w:tab/>
      </w:r>
      <w:r>
        <w:rPr>
          <w:rFonts w:ascii="David" w:cs="David" w:hint="cs"/>
          <w:sz w:val="24"/>
          <w:szCs w:val="24"/>
          <w:rtl/>
        </w:rPr>
        <w:t>בשנתיים שעברו ממועד פרסום דוח מבקר המדינה באוגוסט 2007 עד מועד סיום הביקורת חל שיפור בתקצוב מרכז הארגונים של ניצולי השואה בישראל. עם זאת, מאחר שכספי התמיכה לשנים 2007 ו-2009 הועברו למרכז הארגונים רק לקראת סוף אותן שנים, התקשה מאוד מרכז הארגונים להשתמש בהם למטרות שלשמן נועדו.</w:t>
      </w:r>
    </w:p>
    <w:p w:rsidR="00FA4BFC" w:rsidRDefault="00FA4BFC" w:rsidP="00FA4BFC">
      <w:pPr>
        <w:ind w:left="509" w:hanging="509"/>
        <w:jc w:val="both"/>
        <w:rPr>
          <w:rFonts w:ascii="David" w:cs="David" w:hint="cs"/>
          <w:sz w:val="24"/>
          <w:szCs w:val="24"/>
          <w:rtl/>
        </w:rPr>
      </w:pPr>
    </w:p>
    <w:p w:rsidR="00FA4BFC" w:rsidRDefault="00FA4BFC" w:rsidP="00FA4BFC">
      <w:pPr>
        <w:ind w:left="509" w:hanging="509"/>
        <w:jc w:val="both"/>
        <w:rPr>
          <w:rFonts w:ascii="David" w:cs="David" w:hint="cs"/>
          <w:sz w:val="24"/>
          <w:szCs w:val="24"/>
          <w:rtl/>
        </w:rPr>
      </w:pPr>
    </w:p>
    <w:p w:rsidR="00FA4BFC" w:rsidRDefault="00FA4BFC" w:rsidP="00FA4BFC">
      <w:pPr>
        <w:ind w:left="509" w:hanging="509"/>
        <w:jc w:val="both"/>
        <w:rPr>
          <w:rFonts w:ascii="David" w:cs="David" w:hint="cs"/>
          <w:sz w:val="24"/>
          <w:szCs w:val="24"/>
          <w:rtl/>
        </w:rPr>
      </w:pPr>
    </w:p>
    <w:p w:rsidR="00FA4BFC" w:rsidRDefault="00FA4BFC" w:rsidP="00FA4BFC">
      <w:pPr>
        <w:ind w:left="509" w:hanging="509"/>
        <w:jc w:val="both"/>
        <w:rPr>
          <w:rFonts w:ascii="David" w:cs="David" w:hint="cs"/>
          <w:sz w:val="24"/>
          <w:szCs w:val="24"/>
          <w:rtl/>
        </w:rPr>
      </w:pPr>
    </w:p>
    <w:p w:rsidR="00FA4BFC" w:rsidRDefault="00FA4BFC" w:rsidP="00FA4BFC">
      <w:pPr>
        <w:ind w:left="509" w:hanging="509"/>
        <w:jc w:val="both"/>
        <w:rPr>
          <w:rFonts w:ascii="David" w:cs="David"/>
          <w:sz w:val="24"/>
          <w:szCs w:val="24"/>
          <w:rtl/>
        </w:rPr>
      </w:pPr>
    </w:p>
    <w:p w:rsidR="00FA4BFC" w:rsidRDefault="00FA4BFC" w:rsidP="00FA4BFC">
      <w:pPr>
        <w:ind w:left="510" w:hanging="510"/>
        <w:jc w:val="both"/>
        <w:rPr>
          <w:rFonts w:ascii="David" w:cs="David"/>
          <w:b/>
          <w:bCs/>
          <w:sz w:val="24"/>
          <w:szCs w:val="24"/>
          <w:rtl/>
        </w:rPr>
      </w:pPr>
      <w:r>
        <w:rPr>
          <w:rFonts w:ascii="David" w:cs="David" w:hint="cs"/>
          <w:b/>
          <w:bCs/>
          <w:sz w:val="24"/>
          <w:szCs w:val="24"/>
          <w:rtl/>
        </w:rPr>
        <w:t>מעקב</w:t>
      </w:r>
    </w:p>
    <w:p w:rsidR="00FA4BFC" w:rsidRDefault="00FA4BFC" w:rsidP="00FA4BFC">
      <w:pPr>
        <w:ind w:left="509" w:hanging="509"/>
        <w:jc w:val="both"/>
        <w:rPr>
          <w:rFonts w:ascii="David" w:cs="David"/>
          <w:b/>
          <w:bCs/>
          <w:sz w:val="24"/>
          <w:szCs w:val="24"/>
          <w:rtl/>
        </w:rPr>
      </w:pPr>
      <w:r>
        <w:rPr>
          <w:rFonts w:ascii="David" w:cs="David" w:hint="cs"/>
          <w:b/>
          <w:bCs/>
          <w:sz w:val="24"/>
          <w:szCs w:val="24"/>
          <w:rtl/>
        </w:rPr>
        <w:t>משרד האוצר</w:t>
      </w:r>
    </w:p>
    <w:p w:rsidR="00FA4BFC" w:rsidRDefault="00FA4BFC" w:rsidP="00FA4BFC">
      <w:pPr>
        <w:ind w:left="509" w:hanging="509"/>
        <w:jc w:val="both"/>
        <w:rPr>
          <w:rFonts w:ascii="David" w:cs="David"/>
          <w:b/>
          <w:bCs/>
          <w:sz w:val="24"/>
          <w:szCs w:val="24"/>
          <w:rtl/>
        </w:rPr>
      </w:pPr>
    </w:p>
    <w:p w:rsidR="00FA4BFC" w:rsidRDefault="00FA4BFC" w:rsidP="00FA4BFC">
      <w:pPr>
        <w:suppressAutoHyphens/>
        <w:ind w:left="1076" w:hanging="1076"/>
        <w:jc w:val="both"/>
        <w:rPr>
          <w:rFonts w:ascii="David" w:cs="David"/>
          <w:sz w:val="24"/>
          <w:szCs w:val="24"/>
          <w:rtl/>
        </w:rPr>
      </w:pPr>
      <w:r>
        <w:rPr>
          <w:rFonts w:ascii="David" w:cs="David" w:hint="cs"/>
          <w:sz w:val="24"/>
          <w:szCs w:val="24"/>
          <w:rtl/>
        </w:rPr>
        <w:lastRenderedPageBreak/>
        <w:t>1-6.</w:t>
      </w:r>
      <w:r>
        <w:rPr>
          <w:rFonts w:ascii="David" w:cs="David"/>
          <w:sz w:val="24"/>
          <w:szCs w:val="24"/>
          <w:rtl/>
        </w:rPr>
        <w:tab/>
      </w:r>
      <w:r>
        <w:rPr>
          <w:rFonts w:ascii="David" w:cs="David" w:hint="cs"/>
          <w:sz w:val="24"/>
          <w:szCs w:val="24"/>
          <w:rtl/>
        </w:rPr>
        <w:t xml:space="preserve">לנושא מיפוי ופילוח תביעות פתוחות - הרשות לזכויות ניצולי השואה סיימה את המיפוי והפילוח של התביעות הפתוחות. המשרד ביקש לקבל מהיועץ הארגוני של הרשות דוח סופי בנושא. פיתוח נוסף במערכת המחשוב נמצא בתהליך. </w:t>
      </w:r>
    </w:p>
    <w:p w:rsidR="00FA4BFC" w:rsidRDefault="00FA4BFC" w:rsidP="00FA4BFC">
      <w:pPr>
        <w:suppressAutoHyphens/>
        <w:ind w:left="1076"/>
        <w:jc w:val="both"/>
        <w:rPr>
          <w:rFonts w:ascii="David" w:cs="David"/>
          <w:sz w:val="24"/>
          <w:szCs w:val="24"/>
          <w:rtl/>
        </w:rPr>
      </w:pPr>
      <w:r>
        <w:rPr>
          <w:rFonts w:ascii="David" w:cs="David" w:hint="cs"/>
          <w:sz w:val="24"/>
          <w:szCs w:val="24"/>
          <w:rtl/>
        </w:rPr>
        <w:t xml:space="preserve">לנושא בחירת חברה שתתן מתן ליווי צמוד לעובדים - נבחרה חברה שמתפקידה יהיה מתן ליווי צמוד לעובדי הרשות. תחילת העסקתה - חודש יולי 2010. </w:t>
      </w:r>
    </w:p>
    <w:p w:rsidR="00FA4BFC" w:rsidRDefault="00FA4BFC" w:rsidP="00FA4BFC">
      <w:pPr>
        <w:suppressAutoHyphens/>
        <w:ind w:left="1076"/>
        <w:jc w:val="both"/>
        <w:rPr>
          <w:rFonts w:ascii="David" w:cs="David"/>
          <w:sz w:val="24"/>
          <w:szCs w:val="24"/>
          <w:rtl/>
        </w:rPr>
      </w:pPr>
      <w:r>
        <w:rPr>
          <w:rFonts w:ascii="David" w:cs="David" w:hint="cs"/>
          <w:sz w:val="24"/>
          <w:szCs w:val="24"/>
          <w:rtl/>
        </w:rPr>
        <w:t xml:space="preserve">לנושא החזרי תשלומי כפל - שר האוצר אישר את בקשתה של מנהלת הרשות להחזיר את תשלומי הכפל. הכספים הללו הוחזרו לכל הניצולים. </w:t>
      </w:r>
    </w:p>
    <w:p w:rsidR="00FA4BFC" w:rsidRDefault="00FA4BFC" w:rsidP="00FA4BFC">
      <w:pPr>
        <w:suppressAutoHyphens/>
        <w:ind w:left="1076"/>
        <w:jc w:val="both"/>
        <w:rPr>
          <w:rFonts w:ascii="David" w:cs="David"/>
          <w:sz w:val="24"/>
          <w:szCs w:val="24"/>
          <w:rtl/>
        </w:rPr>
      </w:pPr>
      <w:r>
        <w:rPr>
          <w:rFonts w:ascii="David" w:cs="David" w:hint="cs"/>
          <w:sz w:val="24"/>
          <w:szCs w:val="24"/>
          <w:rtl/>
        </w:rPr>
        <w:t xml:space="preserve">לנושא מחלת ה"אוסטיאופורוזיס" - נשלחו לכ-1200 ניצולי שואה שהוכרו בעבר חלקית במחלת האוסטיאופורוזיס הכרה מלאה וכתוצאה מכך יוגדלו אוטומטית אחוזי הנכות ללא צורך בקיום ועדה רפואית. </w:t>
      </w:r>
    </w:p>
    <w:p w:rsidR="00FA4BFC" w:rsidRDefault="00FA4BFC" w:rsidP="00FA4BFC">
      <w:pPr>
        <w:suppressAutoHyphens/>
        <w:ind w:left="1076"/>
        <w:jc w:val="both"/>
        <w:rPr>
          <w:rFonts w:ascii="David" w:cs="David"/>
          <w:sz w:val="24"/>
          <w:szCs w:val="24"/>
          <w:rtl/>
        </w:rPr>
      </w:pPr>
      <w:r>
        <w:rPr>
          <w:rFonts w:ascii="David" w:cs="David" w:hint="cs"/>
          <w:sz w:val="24"/>
          <w:szCs w:val="24"/>
          <w:rtl/>
        </w:rPr>
        <w:t xml:space="preserve">לנושא תוכנית הדרכה - הוכנה תוכנית הדרכה שתכלול סיור ב"יד ושם", תינתנה הרצאות בנושאי חוקי הרשות על-ידי נציג ממשרד המשפטים, בד בבד פנה המשרד </w:t>
      </w:r>
      <w:proofErr w:type="spellStart"/>
      <w:r>
        <w:rPr>
          <w:rFonts w:ascii="David" w:cs="David" w:hint="cs"/>
          <w:sz w:val="24"/>
          <w:szCs w:val="24"/>
          <w:rtl/>
        </w:rPr>
        <w:t>לפרופ</w:t>
      </w:r>
      <w:proofErr w:type="spellEnd"/>
      <w:r>
        <w:rPr>
          <w:rFonts w:ascii="David" w:cs="David" w:hint="cs"/>
          <w:sz w:val="24"/>
          <w:szCs w:val="24"/>
          <w:rtl/>
        </w:rPr>
        <w:t xml:space="preserve">' שני שירצה בפני הרופאים. כמו כן, תינתנה הרצאות בנושא: הצרכים של ציבור הקשישים. בימים אלה עומד להיחתם חוזה עם החברה הזוכה. בד בבד מתבצעת תוכנית הדרכה למוקדנים. המיני </w:t>
      </w:r>
      <w:proofErr w:type="spellStart"/>
      <w:r>
        <w:rPr>
          <w:rFonts w:ascii="David" w:cs="David" w:hint="cs"/>
          <w:sz w:val="24"/>
          <w:szCs w:val="24"/>
          <w:rtl/>
        </w:rPr>
        <w:t>סייט</w:t>
      </w:r>
      <w:proofErr w:type="spellEnd"/>
      <w:r>
        <w:rPr>
          <w:rFonts w:ascii="David" w:cs="David" w:hint="cs"/>
          <w:sz w:val="24"/>
          <w:szCs w:val="24"/>
          <w:rtl/>
        </w:rPr>
        <w:t xml:space="preserve"> עלה </w:t>
      </w:r>
      <w:proofErr w:type="spellStart"/>
      <w:r>
        <w:rPr>
          <w:rFonts w:ascii="David" w:cs="David" w:hint="cs"/>
          <w:sz w:val="24"/>
          <w:szCs w:val="24"/>
          <w:rtl/>
        </w:rPr>
        <w:t>לאויר</w:t>
      </w:r>
      <w:proofErr w:type="spellEnd"/>
      <w:r>
        <w:rPr>
          <w:rFonts w:ascii="David" w:cs="David" w:hint="cs"/>
          <w:sz w:val="24"/>
          <w:szCs w:val="24"/>
          <w:rtl/>
        </w:rPr>
        <w:t xml:space="preserve">. להלן כתובתו </w:t>
      </w:r>
      <w:r>
        <w:rPr>
          <w:rStyle w:val="Hyperlink"/>
          <w:rFonts w:ascii="David" w:eastAsia="Calibri" w:cs="David" w:hint="cs"/>
          <w:sz w:val="26"/>
          <w:szCs w:val="26"/>
        </w:rPr>
        <w:t>www</w:t>
      </w:r>
      <w:r>
        <w:rPr>
          <w:rStyle w:val="Hyperlink"/>
          <w:rFonts w:ascii="David" w:eastAsia="Calibri" w:cs="David" w:hint="cs"/>
          <w:sz w:val="26"/>
          <w:szCs w:val="26"/>
          <w:rtl/>
        </w:rPr>
        <w:t>.</w:t>
      </w:r>
      <w:proofErr w:type="spellStart"/>
      <w:r>
        <w:rPr>
          <w:rStyle w:val="Hyperlink"/>
          <w:rFonts w:ascii="David" w:eastAsia="Calibri" w:cs="David" w:hint="cs"/>
          <w:sz w:val="26"/>
          <w:szCs w:val="26"/>
        </w:rPr>
        <w:t>shoharights</w:t>
      </w:r>
      <w:proofErr w:type="spellEnd"/>
      <w:r>
        <w:rPr>
          <w:rFonts w:ascii="David" w:cs="David" w:hint="cs"/>
          <w:sz w:val="24"/>
          <w:szCs w:val="24"/>
          <w:rtl/>
        </w:rPr>
        <w:t>.</w:t>
      </w:r>
    </w:p>
    <w:p w:rsidR="00FA4BFC" w:rsidRDefault="00FA4BFC" w:rsidP="00FA4BFC">
      <w:pPr>
        <w:suppressAutoHyphens/>
        <w:ind w:left="1076"/>
        <w:jc w:val="both"/>
        <w:rPr>
          <w:rFonts w:ascii="David" w:cs="David"/>
          <w:sz w:val="24"/>
          <w:szCs w:val="24"/>
          <w:rtl/>
        </w:rPr>
      </w:pPr>
      <w:r>
        <w:rPr>
          <w:rFonts w:ascii="David" w:cs="David" w:hint="cs"/>
          <w:sz w:val="24"/>
          <w:szCs w:val="24"/>
          <w:rtl/>
        </w:rPr>
        <w:t>לנושא חתימת ההסכמים עם קופות החולים - נחתמו הסכמים עם 4 קופות החולים לפיו כל ניצולי השואה יקבלו ללא תשלום את התרופות הקשורות למחלותיהם המוכרות וכן שירותים נוספים.</w:t>
      </w:r>
    </w:p>
    <w:p w:rsidR="00FA4BFC" w:rsidRDefault="00FA4BFC" w:rsidP="00FA4BFC">
      <w:pPr>
        <w:jc w:val="both"/>
        <w:rPr>
          <w:rFonts w:ascii="David" w:cs="David"/>
          <w:sz w:val="24"/>
          <w:szCs w:val="24"/>
          <w:rtl/>
        </w:rPr>
      </w:pPr>
    </w:p>
    <w:p w:rsidR="00FA4BFC" w:rsidRDefault="00FA4BFC" w:rsidP="00FA4BFC">
      <w:pPr>
        <w:ind w:left="510" w:hanging="510"/>
        <w:jc w:val="both"/>
        <w:rPr>
          <w:rFonts w:ascii="David" w:cs="David"/>
          <w:b/>
          <w:bCs/>
          <w:sz w:val="24"/>
          <w:szCs w:val="24"/>
          <w:rtl/>
        </w:rPr>
      </w:pPr>
      <w:r>
        <w:rPr>
          <w:rFonts w:ascii="David" w:cs="David" w:hint="cs"/>
          <w:b/>
          <w:bCs/>
          <w:sz w:val="24"/>
          <w:szCs w:val="24"/>
          <w:rtl/>
        </w:rPr>
        <w:t xml:space="preserve">מעקב </w:t>
      </w:r>
    </w:p>
    <w:p w:rsidR="00FA4BFC" w:rsidRDefault="00FA4BFC" w:rsidP="00FA4BFC">
      <w:pPr>
        <w:ind w:left="510" w:hanging="510"/>
        <w:jc w:val="both"/>
        <w:rPr>
          <w:rFonts w:ascii="David" w:cs="David"/>
          <w:b/>
          <w:bCs/>
          <w:sz w:val="24"/>
          <w:szCs w:val="24"/>
          <w:rtl/>
        </w:rPr>
      </w:pPr>
      <w:r>
        <w:rPr>
          <w:rFonts w:ascii="David" w:cs="David" w:hint="cs"/>
          <w:b/>
          <w:bCs/>
          <w:sz w:val="24"/>
          <w:szCs w:val="24"/>
          <w:rtl/>
        </w:rPr>
        <w:t>משרד הבריאות</w:t>
      </w:r>
    </w:p>
    <w:p w:rsidR="00FA4BFC" w:rsidRDefault="00FA4BFC" w:rsidP="00FA4BFC">
      <w:pPr>
        <w:jc w:val="both"/>
        <w:rPr>
          <w:rFonts w:ascii="David" w:cs="David"/>
          <w:b/>
          <w:bCs/>
          <w:sz w:val="24"/>
          <w:szCs w:val="24"/>
          <w:rtl/>
        </w:rPr>
      </w:pPr>
    </w:p>
    <w:p w:rsidR="00FA4BFC" w:rsidRDefault="00FA4BFC" w:rsidP="00FA4BFC">
      <w:pPr>
        <w:suppressAutoHyphens/>
        <w:ind w:left="1076" w:hanging="1076"/>
        <w:jc w:val="both"/>
        <w:rPr>
          <w:rFonts w:ascii="David" w:cs="David"/>
          <w:sz w:val="24"/>
          <w:szCs w:val="24"/>
          <w:rtl/>
        </w:rPr>
      </w:pPr>
      <w:r>
        <w:rPr>
          <w:rFonts w:ascii="David" w:cs="David" w:hint="cs"/>
          <w:sz w:val="24"/>
          <w:szCs w:val="24"/>
          <w:rtl/>
        </w:rPr>
        <w:t>1-6</w:t>
      </w:r>
      <w:r>
        <w:rPr>
          <w:rFonts w:ascii="David" w:cs="David"/>
          <w:sz w:val="24"/>
          <w:szCs w:val="24"/>
          <w:rtl/>
        </w:rPr>
        <w:tab/>
      </w:r>
      <w:r>
        <w:rPr>
          <w:rFonts w:ascii="David" w:cs="David" w:hint="cs"/>
          <w:sz w:val="24"/>
          <w:szCs w:val="24"/>
          <w:rtl/>
        </w:rPr>
        <w:t>לנושא קבלת התרופות של ניצולי השואה ללא תשלום – הסתיים המשא ומתן עם הקופות ונחתמו הסכמים עם כל קופות החולים. בנושא מתן פטור מתשלום השתתפות עצמית עבור תרופות בגין המחלות המוכרות, ההנחה כבר ניתנה לכל קופות החולים.</w:t>
      </w:r>
    </w:p>
    <w:p w:rsidR="00FA4BFC" w:rsidRDefault="00FA4BFC" w:rsidP="00FA4BFC">
      <w:pPr>
        <w:ind w:left="509" w:hanging="509"/>
        <w:jc w:val="both"/>
        <w:rPr>
          <w:rFonts w:ascii="David" w:cs="David"/>
          <w:b/>
          <w:bCs/>
          <w:sz w:val="24"/>
          <w:szCs w:val="24"/>
          <w:rtl/>
        </w:rPr>
      </w:pPr>
      <w:r>
        <w:rPr>
          <w:rFonts w:ascii="David" w:cs="David" w:hint="cs"/>
          <w:b/>
          <w:bCs/>
          <w:sz w:val="24"/>
          <w:szCs w:val="24"/>
          <w:rtl/>
        </w:rPr>
        <w:t>מעקב</w:t>
      </w:r>
    </w:p>
    <w:p w:rsidR="00FA4BFC" w:rsidRDefault="00FA4BFC" w:rsidP="00FA4BFC">
      <w:pPr>
        <w:ind w:left="509" w:hanging="509"/>
        <w:jc w:val="both"/>
        <w:rPr>
          <w:rFonts w:ascii="David" w:cs="David"/>
          <w:b/>
          <w:bCs/>
          <w:sz w:val="24"/>
          <w:szCs w:val="24"/>
          <w:rtl/>
        </w:rPr>
      </w:pPr>
      <w:r>
        <w:rPr>
          <w:rFonts w:ascii="David" w:cs="David" w:hint="cs"/>
          <w:b/>
          <w:bCs/>
          <w:sz w:val="24"/>
          <w:szCs w:val="24"/>
          <w:rtl/>
        </w:rPr>
        <w:t>המשרד לענייני גמלאים</w:t>
      </w:r>
    </w:p>
    <w:p w:rsidR="00FA4BFC" w:rsidRDefault="00FA4BFC" w:rsidP="00FA4BFC">
      <w:pPr>
        <w:ind w:left="509" w:hanging="509"/>
        <w:jc w:val="both"/>
        <w:rPr>
          <w:rFonts w:ascii="David" w:cs="David"/>
          <w:b/>
          <w:bCs/>
          <w:sz w:val="24"/>
          <w:szCs w:val="24"/>
          <w:rtl/>
        </w:rPr>
      </w:pPr>
    </w:p>
    <w:p w:rsidR="00FA4BFC" w:rsidRDefault="00FA4BFC" w:rsidP="00FA4BFC">
      <w:pPr>
        <w:suppressAutoHyphens/>
        <w:ind w:left="1076" w:hanging="1076"/>
        <w:jc w:val="both"/>
        <w:rPr>
          <w:rFonts w:ascii="David" w:cs="David"/>
          <w:sz w:val="24"/>
          <w:szCs w:val="24"/>
          <w:rtl/>
        </w:rPr>
      </w:pPr>
      <w:r>
        <w:rPr>
          <w:rFonts w:ascii="David" w:cs="David" w:hint="cs"/>
          <w:sz w:val="24"/>
          <w:szCs w:val="24"/>
          <w:rtl/>
        </w:rPr>
        <w:t>6.</w:t>
      </w:r>
      <w:r>
        <w:rPr>
          <w:rFonts w:ascii="David" w:cs="David"/>
          <w:sz w:val="24"/>
          <w:szCs w:val="24"/>
          <w:rtl/>
        </w:rPr>
        <w:tab/>
      </w:r>
      <w:r>
        <w:rPr>
          <w:rFonts w:ascii="David" w:cs="David" w:hint="cs"/>
          <w:sz w:val="24"/>
          <w:szCs w:val="24"/>
          <w:rtl/>
        </w:rPr>
        <w:t xml:space="preserve">סטאטוס תקצוב מרכז הארגונים לשנת 2009 (נכון לאוגוסט 2010): </w:t>
      </w:r>
    </w:p>
    <w:p w:rsidR="00FA4BFC" w:rsidRDefault="00FA4BFC" w:rsidP="00FA4BFC">
      <w:pPr>
        <w:suppressAutoHyphens/>
        <w:ind w:left="1076"/>
        <w:jc w:val="both"/>
        <w:rPr>
          <w:rFonts w:ascii="David" w:cs="David"/>
          <w:sz w:val="24"/>
          <w:szCs w:val="24"/>
          <w:rtl/>
        </w:rPr>
      </w:pPr>
      <w:r>
        <w:rPr>
          <w:rFonts w:ascii="David" w:cs="David" w:hint="cs"/>
          <w:sz w:val="24"/>
          <w:szCs w:val="24"/>
          <w:rtl/>
        </w:rPr>
        <w:t>במסגרת הפעלת תמיכות במוסדות ציבור הפועלים להשגת פיצויים לנרדפי הנאצים ועוזריהם – ועדת התמיכות של המשרד אישרה למרכז הארגונים תמיכה לשנת 2009 בסך של 2,285,146 ש"ח. מתוך הסכום שאושר מרכז הארגונים ביצע פעילות בסך כולל של כ-2,285,000 ש"ח, ובהתאם לכך הועברה לו התמיכה.</w:t>
      </w:r>
    </w:p>
    <w:p w:rsidR="00FA4BFC" w:rsidRDefault="00FA4BFC" w:rsidP="00FA4BFC">
      <w:pPr>
        <w:suppressAutoHyphens/>
        <w:ind w:left="1076"/>
        <w:jc w:val="both"/>
        <w:rPr>
          <w:rFonts w:ascii="David" w:cs="David"/>
          <w:sz w:val="24"/>
          <w:szCs w:val="24"/>
          <w:rtl/>
        </w:rPr>
      </w:pPr>
      <w:r>
        <w:rPr>
          <w:rFonts w:ascii="David" w:cs="David" w:hint="cs"/>
          <w:sz w:val="24"/>
          <w:szCs w:val="24"/>
          <w:rtl/>
        </w:rPr>
        <w:t>בנוסף, במסגרת הפעלת מבחני תמיכה בהנצחת זיכרון השואה, ועדת התמיכות של המשרד אישרה למרכז הארגונים תמיכה בסך 719,842 ש"ח, מתוכה ניצל המרכז סך של 714,465 ש"ח.</w:t>
      </w:r>
    </w:p>
    <w:p w:rsidR="00FA4BFC" w:rsidRDefault="00FA4BFC" w:rsidP="00FA4BFC">
      <w:pPr>
        <w:suppressAutoHyphens/>
        <w:ind w:left="1076"/>
        <w:jc w:val="both"/>
        <w:rPr>
          <w:rFonts w:ascii="David" w:cs="David"/>
          <w:sz w:val="24"/>
          <w:szCs w:val="24"/>
          <w:rtl/>
        </w:rPr>
      </w:pPr>
      <w:r>
        <w:rPr>
          <w:rFonts w:ascii="David" w:cs="David" w:hint="cs"/>
          <w:sz w:val="24"/>
          <w:szCs w:val="24"/>
          <w:rtl/>
        </w:rPr>
        <w:lastRenderedPageBreak/>
        <w:t>לאחר העברת האחריות בנושא למשרד לענייני גמלאים החל משנת התמיכה 2008, למרכז הארגונים אושרה מידי שנה תמיכה בסך 3 מיליון שקלים. בפועל, מרכז הארגונים מימש בשנת 2008 סך של כ-2.1 מיליון שקלים, ובשנת 2009 מימש סך של כ-3 מיליון שקלים.</w:t>
      </w:r>
    </w:p>
    <w:p w:rsidR="00FA4BFC" w:rsidRDefault="00FA4BFC" w:rsidP="00FA4BFC">
      <w:pPr>
        <w:suppressAutoHyphens/>
        <w:ind w:left="1076" w:hanging="1076"/>
        <w:jc w:val="both"/>
        <w:rPr>
          <w:rFonts w:ascii="David" w:cs="David"/>
          <w:sz w:val="24"/>
          <w:szCs w:val="24"/>
          <w:rtl/>
        </w:rPr>
      </w:pP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67.</w:t>
      </w:r>
    </w:p>
    <w:p w:rsidR="00B7601F" w:rsidRPr="00FA4BFC" w:rsidRDefault="00B7601F" w:rsidP="00FA4BFC">
      <w:pPr>
        <w:rPr>
          <w:szCs w:val="24"/>
        </w:rPr>
      </w:pPr>
    </w:p>
    <w:sectPr w:rsidR="00B7601F" w:rsidRPr="00FA4BFC"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27A" w:rsidRDefault="00D9027A" w:rsidP="0073716B">
      <w:pPr>
        <w:spacing w:after="0" w:line="240" w:lineRule="auto"/>
      </w:pPr>
      <w:r>
        <w:separator/>
      </w:r>
    </w:p>
  </w:endnote>
  <w:endnote w:type="continuationSeparator" w:id="1">
    <w:p w:rsidR="00D9027A" w:rsidRDefault="00D9027A" w:rsidP="007371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27A" w:rsidRDefault="00D9027A" w:rsidP="0073716B">
      <w:pPr>
        <w:spacing w:after="0" w:line="240" w:lineRule="auto"/>
      </w:pPr>
      <w:r>
        <w:separator/>
      </w:r>
    </w:p>
  </w:footnote>
  <w:footnote w:type="continuationSeparator" w:id="1">
    <w:p w:rsidR="00D9027A" w:rsidRDefault="00D9027A" w:rsidP="007371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27A" w:rsidRPr="00E90DB1" w:rsidRDefault="00BE2DA5" w:rsidP="0073716B">
    <w:pPr>
      <w:tabs>
        <w:tab w:val="right" w:pos="8306"/>
      </w:tabs>
      <w:rPr>
        <w:rFonts w:cs="David"/>
        <w:sz w:val="16"/>
        <w:szCs w:val="16"/>
        <w:rtl/>
      </w:rPr>
    </w:pPr>
    <w:r w:rsidRPr="00E90DB1">
      <w:rPr>
        <w:rFonts w:cs="David" w:hint="cs"/>
        <w:sz w:val="16"/>
        <w:szCs w:val="16"/>
        <w:rtl/>
      </w:rPr>
      <w:fldChar w:fldCharType="begin"/>
    </w:r>
    <w:r w:rsidR="00D9027A" w:rsidRPr="00E90DB1">
      <w:rPr>
        <w:rFonts w:cs="David" w:hint="cs"/>
        <w:sz w:val="16"/>
        <w:szCs w:val="16"/>
        <w:rtl/>
      </w:rPr>
      <w:instrText xml:space="preserve"> </w:instrText>
    </w:r>
    <w:r w:rsidR="00D9027A" w:rsidRPr="00E90DB1">
      <w:rPr>
        <w:rFonts w:cs="David"/>
        <w:sz w:val="16"/>
        <w:szCs w:val="16"/>
      </w:rPr>
      <w:instrText>TIME  \@ "HH:mm"  \* MERGEFORMAT</w:instrText>
    </w:r>
    <w:r w:rsidR="00D9027A" w:rsidRPr="00E90DB1">
      <w:rPr>
        <w:rFonts w:cs="David"/>
        <w:sz w:val="16"/>
        <w:szCs w:val="16"/>
        <w:rtl/>
      </w:rPr>
      <w:instrText xml:space="preserve"> </w:instrText>
    </w:r>
    <w:r w:rsidRPr="00E90DB1">
      <w:rPr>
        <w:rFonts w:cs="David" w:hint="cs"/>
        <w:sz w:val="16"/>
        <w:szCs w:val="16"/>
        <w:rtl/>
      </w:rPr>
      <w:fldChar w:fldCharType="separate"/>
    </w:r>
    <w:r w:rsidR="00FA4BFC">
      <w:rPr>
        <w:rFonts w:cs="David" w:hint="eastAsia"/>
        <w:noProof/>
        <w:sz w:val="16"/>
        <w:szCs w:val="16"/>
        <w:rtl/>
      </w:rPr>
      <w:t>‏</w:t>
    </w:r>
    <w:r w:rsidR="00FA4BFC">
      <w:rPr>
        <w:rFonts w:cs="David"/>
        <w:noProof/>
        <w:sz w:val="16"/>
        <w:szCs w:val="16"/>
        <w:rtl/>
      </w:rPr>
      <w:t>10:46</w:t>
    </w:r>
    <w:r w:rsidRPr="00E90DB1">
      <w:rPr>
        <w:rFonts w:cs="David" w:hint="cs"/>
        <w:sz w:val="16"/>
        <w:szCs w:val="16"/>
        <w:rtl/>
      </w:rPr>
      <w:fldChar w:fldCharType="end"/>
    </w:r>
    <w:r w:rsidR="00D9027A" w:rsidRPr="00E90DB1">
      <w:rPr>
        <w:rFonts w:cs="David" w:hint="cs"/>
        <w:sz w:val="16"/>
        <w:szCs w:val="16"/>
        <w:rtl/>
      </w:rPr>
      <w:t xml:space="preserve">  </w:t>
    </w:r>
    <w:r w:rsidRPr="00E90DB1">
      <w:rPr>
        <w:rFonts w:cs="David" w:hint="cs"/>
        <w:sz w:val="16"/>
        <w:szCs w:val="16"/>
        <w:rtl/>
      </w:rPr>
      <w:fldChar w:fldCharType="begin"/>
    </w:r>
    <w:r w:rsidR="00D9027A" w:rsidRPr="00E90DB1">
      <w:rPr>
        <w:rFonts w:cs="David" w:hint="cs"/>
        <w:sz w:val="16"/>
        <w:szCs w:val="16"/>
        <w:rtl/>
      </w:rPr>
      <w:instrText xml:space="preserve"> </w:instrText>
    </w:r>
    <w:r w:rsidR="00D9027A" w:rsidRPr="00E90DB1">
      <w:rPr>
        <w:rFonts w:cs="David"/>
        <w:sz w:val="16"/>
        <w:szCs w:val="16"/>
      </w:rPr>
      <w:instrText>DATE  \@ "yyyy-MM-dd"  \* MERGEFORMAT</w:instrText>
    </w:r>
    <w:r w:rsidR="00D9027A" w:rsidRPr="00E90DB1">
      <w:rPr>
        <w:rFonts w:cs="David"/>
        <w:sz w:val="16"/>
        <w:szCs w:val="16"/>
        <w:rtl/>
      </w:rPr>
      <w:instrText xml:space="preserve"> </w:instrText>
    </w:r>
    <w:r w:rsidRPr="00E90DB1">
      <w:rPr>
        <w:rFonts w:cs="David" w:hint="cs"/>
        <w:sz w:val="16"/>
        <w:szCs w:val="16"/>
        <w:rtl/>
      </w:rPr>
      <w:fldChar w:fldCharType="separate"/>
    </w:r>
    <w:r w:rsidR="00FA4BFC">
      <w:rPr>
        <w:rFonts w:cs="David" w:hint="eastAsia"/>
        <w:noProof/>
        <w:sz w:val="16"/>
        <w:szCs w:val="16"/>
        <w:rtl/>
      </w:rPr>
      <w:t>‏</w:t>
    </w:r>
    <w:r w:rsidR="00FA4BFC">
      <w:rPr>
        <w:rFonts w:cs="David"/>
        <w:noProof/>
        <w:sz w:val="16"/>
        <w:szCs w:val="16"/>
        <w:rtl/>
      </w:rPr>
      <w:t>2010–12–12</w:t>
    </w:r>
    <w:r w:rsidRPr="00E90DB1">
      <w:rPr>
        <w:rFonts w:cs="David" w:hint="cs"/>
        <w:sz w:val="16"/>
        <w:szCs w:val="16"/>
        <w:rtl/>
      </w:rPr>
      <w:fldChar w:fldCharType="end"/>
    </w:r>
    <w:r w:rsidR="00D9027A" w:rsidRPr="00E90DB1">
      <w:rPr>
        <w:rFonts w:cs="David" w:hint="cs"/>
        <w:sz w:val="16"/>
        <w:szCs w:val="16"/>
        <w:rtl/>
      </w:rPr>
      <w:t xml:space="preserve">   </w:t>
    </w:r>
    <w:fldSimple w:instr=" FILENAME  \p  \* MERGEFORMAT ">
      <w:r w:rsidR="006179EA" w:rsidRPr="006179EA">
        <w:rPr>
          <w:noProof/>
          <w:sz w:val="16"/>
          <w:szCs w:val="16"/>
        </w:rPr>
        <w:t>L:\</w:t>
      </w:r>
      <w:r w:rsidR="006179EA" w:rsidRPr="006179EA">
        <w:rPr>
          <w:rFonts w:hint="eastAsia"/>
          <w:noProof/>
          <w:sz w:val="16"/>
          <w:szCs w:val="16"/>
          <w:rtl/>
        </w:rPr>
        <w:t>הספר</w:t>
      </w:r>
      <w:r w:rsidR="006179EA" w:rsidRPr="006179EA">
        <w:rPr>
          <w:noProof/>
          <w:sz w:val="16"/>
          <w:szCs w:val="16"/>
          <w:rtl/>
        </w:rPr>
        <w:t xml:space="preserve"> - </w:t>
      </w:r>
      <w:r w:rsidR="006179EA" w:rsidRPr="006179EA">
        <w:rPr>
          <w:rFonts w:hint="eastAsia"/>
          <w:noProof/>
          <w:sz w:val="16"/>
          <w:szCs w:val="16"/>
          <w:rtl/>
        </w:rPr>
        <w:t>מעקבים</w:t>
      </w:r>
      <w:r w:rsidR="006179EA" w:rsidRPr="006179EA">
        <w:rPr>
          <w:noProof/>
          <w:sz w:val="16"/>
          <w:szCs w:val="16"/>
          <w:rtl/>
        </w:rPr>
        <w:t xml:space="preserve"> 60</w:t>
      </w:r>
      <w:r w:rsidR="006179EA" w:rsidRPr="006179EA">
        <w:rPr>
          <w:rFonts w:hint="eastAsia"/>
          <w:noProof/>
          <w:sz w:val="16"/>
          <w:szCs w:val="16"/>
          <w:rtl/>
        </w:rPr>
        <w:t>ב</w:t>
      </w:r>
      <w:r w:rsidR="006179EA" w:rsidRPr="006179EA">
        <w:rPr>
          <w:noProof/>
          <w:sz w:val="16"/>
          <w:szCs w:val="16"/>
          <w:rtl/>
        </w:rPr>
        <w:t>\</w:t>
      </w:r>
      <w:r w:rsidR="006179EA" w:rsidRPr="006179EA">
        <w:rPr>
          <w:rFonts w:hint="eastAsia"/>
          <w:noProof/>
          <w:sz w:val="16"/>
          <w:szCs w:val="16"/>
          <w:rtl/>
        </w:rPr>
        <w:t>עקיבא</w:t>
      </w:r>
      <w:r w:rsidR="006179EA" w:rsidRPr="006179EA">
        <w:rPr>
          <w:noProof/>
          <w:sz w:val="16"/>
          <w:szCs w:val="16"/>
          <w:rtl/>
        </w:rPr>
        <w:t>\60</w:t>
      </w:r>
      <w:r w:rsidR="006179EA" w:rsidRPr="006179EA">
        <w:rPr>
          <w:rFonts w:hint="eastAsia"/>
          <w:noProof/>
          <w:sz w:val="16"/>
          <w:szCs w:val="16"/>
          <w:rtl/>
        </w:rPr>
        <w:t>ב</w:t>
      </w:r>
      <w:r w:rsidR="006179EA" w:rsidRPr="006179EA">
        <w:rPr>
          <w:noProof/>
          <w:sz w:val="16"/>
          <w:szCs w:val="16"/>
          <w:rtl/>
        </w:rPr>
        <w:t>\</w:t>
      </w:r>
      <w:r w:rsidR="006179EA" w:rsidRPr="006179EA">
        <w:rPr>
          <w:rFonts w:hint="eastAsia"/>
          <w:noProof/>
          <w:sz w:val="16"/>
          <w:szCs w:val="16"/>
          <w:rtl/>
        </w:rPr>
        <w:t>משרד</w:t>
      </w:r>
      <w:r w:rsidR="006179EA" w:rsidRPr="006179EA">
        <w:rPr>
          <w:noProof/>
          <w:sz w:val="16"/>
          <w:szCs w:val="16"/>
          <w:rtl/>
        </w:rPr>
        <w:t xml:space="preserve"> </w:t>
      </w:r>
      <w:r w:rsidR="006179EA" w:rsidRPr="006179EA">
        <w:rPr>
          <w:rFonts w:hint="eastAsia"/>
          <w:noProof/>
          <w:sz w:val="16"/>
          <w:szCs w:val="16"/>
          <w:rtl/>
        </w:rPr>
        <w:t>האוצר</w:t>
      </w:r>
      <w:r w:rsidR="006179EA" w:rsidRPr="006179EA">
        <w:rPr>
          <w:noProof/>
          <w:sz w:val="16"/>
          <w:szCs w:val="16"/>
          <w:rtl/>
        </w:rPr>
        <w:t>\</w:t>
      </w:r>
      <w:r w:rsidR="006179EA" w:rsidRPr="006179EA">
        <w:rPr>
          <w:rFonts w:hint="eastAsia"/>
          <w:noProof/>
          <w:sz w:val="16"/>
          <w:szCs w:val="16"/>
          <w:rtl/>
        </w:rPr>
        <w:t>הסיוע</w:t>
      </w:r>
      <w:r w:rsidR="006179EA" w:rsidRPr="006179EA">
        <w:rPr>
          <w:noProof/>
          <w:sz w:val="16"/>
          <w:szCs w:val="16"/>
          <w:rtl/>
        </w:rPr>
        <w:t xml:space="preserve"> </w:t>
      </w:r>
      <w:r w:rsidR="006179EA" w:rsidRPr="006179EA">
        <w:rPr>
          <w:rFonts w:hint="eastAsia"/>
          <w:noProof/>
          <w:sz w:val="16"/>
          <w:szCs w:val="16"/>
          <w:rtl/>
        </w:rPr>
        <w:t>לניצולי</w:t>
      </w:r>
      <w:r w:rsidR="006179EA" w:rsidRPr="006179EA">
        <w:rPr>
          <w:noProof/>
          <w:sz w:val="16"/>
          <w:szCs w:val="16"/>
          <w:rtl/>
        </w:rPr>
        <w:t xml:space="preserve"> </w:t>
      </w:r>
      <w:r w:rsidR="006179EA" w:rsidRPr="006179EA">
        <w:rPr>
          <w:rFonts w:hint="eastAsia"/>
          <w:noProof/>
          <w:sz w:val="16"/>
          <w:szCs w:val="16"/>
          <w:rtl/>
        </w:rPr>
        <w:t>השואה</w:t>
      </w:r>
      <w:r w:rsidR="006179EA" w:rsidRPr="006179EA">
        <w:rPr>
          <w:noProof/>
          <w:sz w:val="16"/>
          <w:szCs w:val="16"/>
        </w:rPr>
        <w:t>.docx</w:t>
      </w:r>
    </w:fldSimple>
    <w:r w:rsidR="00D9027A" w:rsidRPr="00E90DB1">
      <w:rPr>
        <w:rFonts w:cs="David" w:hint="cs"/>
        <w:noProof/>
        <w:sz w:val="16"/>
        <w:szCs w:val="16"/>
        <w:rtl/>
      </w:rPr>
      <w:t xml:space="preserve">    -</w:t>
    </w:r>
    <w:r w:rsidRPr="00E90DB1">
      <w:rPr>
        <w:rFonts w:cs="David" w:hint="cs"/>
        <w:noProof/>
        <w:sz w:val="16"/>
        <w:szCs w:val="16"/>
        <w:rtl/>
      </w:rPr>
      <w:fldChar w:fldCharType="begin"/>
    </w:r>
    <w:r w:rsidR="00D9027A" w:rsidRPr="00E90DB1">
      <w:rPr>
        <w:rFonts w:cs="David" w:hint="cs"/>
        <w:noProof/>
        <w:sz w:val="16"/>
        <w:szCs w:val="16"/>
        <w:rtl/>
      </w:rPr>
      <w:instrText xml:space="preserve"> </w:instrText>
    </w:r>
    <w:r w:rsidR="00D9027A" w:rsidRPr="00E90DB1">
      <w:rPr>
        <w:rFonts w:cs="David"/>
        <w:noProof/>
        <w:sz w:val="16"/>
        <w:szCs w:val="16"/>
      </w:rPr>
      <w:instrText>PAGE   \* MERGEFORMAT</w:instrText>
    </w:r>
    <w:r w:rsidR="00D9027A" w:rsidRPr="00E90DB1">
      <w:rPr>
        <w:rFonts w:cs="David"/>
        <w:noProof/>
        <w:sz w:val="16"/>
        <w:szCs w:val="16"/>
        <w:rtl/>
      </w:rPr>
      <w:instrText xml:space="preserve"> </w:instrText>
    </w:r>
    <w:r w:rsidRPr="00E90DB1">
      <w:rPr>
        <w:rFonts w:cs="David" w:hint="cs"/>
        <w:noProof/>
        <w:sz w:val="16"/>
        <w:szCs w:val="16"/>
        <w:rtl/>
      </w:rPr>
      <w:fldChar w:fldCharType="separate"/>
    </w:r>
    <w:r w:rsidR="00FA4BFC" w:rsidRPr="00FA4BFC">
      <w:rPr>
        <w:rFonts w:cs="MF Narkisim"/>
        <w:noProof/>
        <w:sz w:val="16"/>
        <w:szCs w:val="16"/>
        <w:rtl/>
      </w:rPr>
      <w:t>5</w:t>
    </w:r>
    <w:r w:rsidRPr="00E90DB1">
      <w:rPr>
        <w:rFonts w:cs="David" w:hint="cs"/>
        <w:noProof/>
        <w:sz w:val="16"/>
        <w:szCs w:val="16"/>
        <w:rtl/>
      </w:rPr>
      <w:fldChar w:fldCharType="end"/>
    </w:r>
    <w:r w:rsidR="00D9027A" w:rsidRPr="00E90DB1">
      <w:rPr>
        <w:rFonts w:cs="David" w:hint="cs"/>
        <w:noProof/>
        <w:sz w:val="16"/>
        <w:szCs w:val="16"/>
        <w:rtl/>
      </w:rPr>
      <w:t>-</w:t>
    </w:r>
  </w:p>
  <w:p w:rsidR="00D9027A" w:rsidRPr="00827F90" w:rsidRDefault="00D9027A" w:rsidP="0073716B">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משרד האוצר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73716B"/>
    <w:rsid w:val="00000243"/>
    <w:rsid w:val="00000739"/>
    <w:rsid w:val="00027667"/>
    <w:rsid w:val="00043D5A"/>
    <w:rsid w:val="000510D6"/>
    <w:rsid w:val="00073FA9"/>
    <w:rsid w:val="000776B9"/>
    <w:rsid w:val="00082BAA"/>
    <w:rsid w:val="00087487"/>
    <w:rsid w:val="000C2368"/>
    <w:rsid w:val="000C4E8F"/>
    <w:rsid w:val="000D0FB7"/>
    <w:rsid w:val="000D160F"/>
    <w:rsid w:val="001000F7"/>
    <w:rsid w:val="001050B8"/>
    <w:rsid w:val="001057BF"/>
    <w:rsid w:val="00114DC0"/>
    <w:rsid w:val="0011508F"/>
    <w:rsid w:val="00117077"/>
    <w:rsid w:val="00121C7C"/>
    <w:rsid w:val="0014223F"/>
    <w:rsid w:val="00146367"/>
    <w:rsid w:val="00150C10"/>
    <w:rsid w:val="001641DB"/>
    <w:rsid w:val="00165F1F"/>
    <w:rsid w:val="00173A6A"/>
    <w:rsid w:val="00192663"/>
    <w:rsid w:val="001C723E"/>
    <w:rsid w:val="001D2CC6"/>
    <w:rsid w:val="001E6A43"/>
    <w:rsid w:val="00200F7A"/>
    <w:rsid w:val="00221C66"/>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003D"/>
    <w:rsid w:val="00533C78"/>
    <w:rsid w:val="00537BD2"/>
    <w:rsid w:val="00547425"/>
    <w:rsid w:val="00563607"/>
    <w:rsid w:val="005861C4"/>
    <w:rsid w:val="00586D4A"/>
    <w:rsid w:val="005A548B"/>
    <w:rsid w:val="005A6E05"/>
    <w:rsid w:val="005D57C1"/>
    <w:rsid w:val="0060499E"/>
    <w:rsid w:val="00606B34"/>
    <w:rsid w:val="00606CCF"/>
    <w:rsid w:val="006179EA"/>
    <w:rsid w:val="00624861"/>
    <w:rsid w:val="00632551"/>
    <w:rsid w:val="006401A3"/>
    <w:rsid w:val="00646F69"/>
    <w:rsid w:val="0066213F"/>
    <w:rsid w:val="006643DF"/>
    <w:rsid w:val="006653A5"/>
    <w:rsid w:val="0067780E"/>
    <w:rsid w:val="006807A6"/>
    <w:rsid w:val="006850A8"/>
    <w:rsid w:val="006942D9"/>
    <w:rsid w:val="006A67BA"/>
    <w:rsid w:val="006E0566"/>
    <w:rsid w:val="006E7ED9"/>
    <w:rsid w:val="00713DB2"/>
    <w:rsid w:val="0073050A"/>
    <w:rsid w:val="00733D53"/>
    <w:rsid w:val="0073716B"/>
    <w:rsid w:val="00753962"/>
    <w:rsid w:val="007629F8"/>
    <w:rsid w:val="00762B5D"/>
    <w:rsid w:val="00772A72"/>
    <w:rsid w:val="007736D0"/>
    <w:rsid w:val="007827A7"/>
    <w:rsid w:val="00783E86"/>
    <w:rsid w:val="00787AB8"/>
    <w:rsid w:val="007B0C4D"/>
    <w:rsid w:val="007B4AAF"/>
    <w:rsid w:val="007C2CE7"/>
    <w:rsid w:val="007D1079"/>
    <w:rsid w:val="007F2C0D"/>
    <w:rsid w:val="00810E64"/>
    <w:rsid w:val="0081406C"/>
    <w:rsid w:val="00867F44"/>
    <w:rsid w:val="0088076B"/>
    <w:rsid w:val="008A1154"/>
    <w:rsid w:val="008B1C1D"/>
    <w:rsid w:val="008B5AD7"/>
    <w:rsid w:val="008D6336"/>
    <w:rsid w:val="008E45D2"/>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0D8D"/>
    <w:rsid w:val="00A020E1"/>
    <w:rsid w:val="00A219C6"/>
    <w:rsid w:val="00A24D18"/>
    <w:rsid w:val="00A354DB"/>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3265D"/>
    <w:rsid w:val="00B571BA"/>
    <w:rsid w:val="00B613C7"/>
    <w:rsid w:val="00B669B1"/>
    <w:rsid w:val="00B71422"/>
    <w:rsid w:val="00B7601F"/>
    <w:rsid w:val="00B82574"/>
    <w:rsid w:val="00B83D24"/>
    <w:rsid w:val="00B96C6C"/>
    <w:rsid w:val="00BA4815"/>
    <w:rsid w:val="00BA5E48"/>
    <w:rsid w:val="00BA7B4B"/>
    <w:rsid w:val="00BB4131"/>
    <w:rsid w:val="00BC6FA3"/>
    <w:rsid w:val="00BD08C2"/>
    <w:rsid w:val="00BE0D3F"/>
    <w:rsid w:val="00BE2DA5"/>
    <w:rsid w:val="00BE56F5"/>
    <w:rsid w:val="00BF219E"/>
    <w:rsid w:val="00C038DE"/>
    <w:rsid w:val="00C03A0E"/>
    <w:rsid w:val="00C3301D"/>
    <w:rsid w:val="00C34195"/>
    <w:rsid w:val="00C366AF"/>
    <w:rsid w:val="00C37C81"/>
    <w:rsid w:val="00C41FFA"/>
    <w:rsid w:val="00C51C1D"/>
    <w:rsid w:val="00C55087"/>
    <w:rsid w:val="00C6659C"/>
    <w:rsid w:val="00C723C0"/>
    <w:rsid w:val="00CA2206"/>
    <w:rsid w:val="00CB6CA1"/>
    <w:rsid w:val="00CC3E2F"/>
    <w:rsid w:val="00CC683F"/>
    <w:rsid w:val="00CE2D49"/>
    <w:rsid w:val="00CE6556"/>
    <w:rsid w:val="00D02568"/>
    <w:rsid w:val="00D038BA"/>
    <w:rsid w:val="00D04CE8"/>
    <w:rsid w:val="00D20800"/>
    <w:rsid w:val="00D2529D"/>
    <w:rsid w:val="00D37D9E"/>
    <w:rsid w:val="00D57A3C"/>
    <w:rsid w:val="00D66429"/>
    <w:rsid w:val="00D8517D"/>
    <w:rsid w:val="00D9027A"/>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17E20"/>
    <w:rsid w:val="00F24A00"/>
    <w:rsid w:val="00F471BF"/>
    <w:rsid w:val="00F532A4"/>
    <w:rsid w:val="00F53CF2"/>
    <w:rsid w:val="00F61BE5"/>
    <w:rsid w:val="00F73C50"/>
    <w:rsid w:val="00F76F5F"/>
    <w:rsid w:val="00F80D9F"/>
    <w:rsid w:val="00F82663"/>
    <w:rsid w:val="00F95696"/>
    <w:rsid w:val="00FA4BFC"/>
    <w:rsid w:val="00FA7550"/>
    <w:rsid w:val="00FB2C23"/>
    <w:rsid w:val="00FB4B1B"/>
    <w:rsid w:val="00FC0686"/>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16B"/>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73716B"/>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73716B"/>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73716B"/>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73716B"/>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73716B"/>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73716B"/>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73716B"/>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73716B"/>
    <w:rPr>
      <w:rFonts w:ascii="Cambria" w:eastAsia="Calibri" w:hAnsi="Cambria" w:cs="Times New Roman"/>
      <w:b/>
      <w:bCs/>
      <w:color w:val="4F81BD"/>
      <w:sz w:val="26"/>
      <w:szCs w:val="26"/>
    </w:rPr>
  </w:style>
  <w:style w:type="character" w:customStyle="1" w:styleId="30">
    <w:name w:val="כותרת 3 תו"/>
    <w:basedOn w:val="a0"/>
    <w:link w:val="3"/>
    <w:rsid w:val="0073716B"/>
    <w:rPr>
      <w:rFonts w:ascii="Cambria" w:eastAsia="Calibri" w:hAnsi="Cambria" w:cs="Times New Roman"/>
      <w:b/>
      <w:bCs/>
      <w:color w:val="4F81BD"/>
      <w:sz w:val="22"/>
      <w:szCs w:val="22"/>
    </w:rPr>
  </w:style>
  <w:style w:type="character" w:customStyle="1" w:styleId="40">
    <w:name w:val="כותרת 4 תו"/>
    <w:basedOn w:val="a0"/>
    <w:link w:val="4"/>
    <w:rsid w:val="0073716B"/>
    <w:rPr>
      <w:rFonts w:ascii="Cambria" w:eastAsia="Calibri" w:hAnsi="Cambria" w:cs="Times New Roman"/>
      <w:b/>
      <w:bCs/>
      <w:i/>
      <w:iCs/>
      <w:color w:val="4F81BD"/>
      <w:sz w:val="22"/>
      <w:szCs w:val="22"/>
    </w:rPr>
  </w:style>
  <w:style w:type="character" w:customStyle="1" w:styleId="50">
    <w:name w:val="כותרת 5 תו"/>
    <w:basedOn w:val="a0"/>
    <w:link w:val="5"/>
    <w:rsid w:val="0073716B"/>
    <w:rPr>
      <w:rFonts w:ascii="Cambria" w:eastAsia="Calibri" w:hAnsi="Cambria" w:cs="Times New Roman"/>
      <w:color w:val="243F60"/>
      <w:sz w:val="20"/>
      <w:lang w:eastAsia="he-IL"/>
    </w:rPr>
  </w:style>
  <w:style w:type="character" w:customStyle="1" w:styleId="70">
    <w:name w:val="כותרת 7 תו"/>
    <w:basedOn w:val="a0"/>
    <w:link w:val="7"/>
    <w:rsid w:val="0073716B"/>
    <w:rPr>
      <w:rFonts w:ascii="Times New Roman" w:eastAsia="Calibri" w:hAnsi="Times New Roman"/>
      <w:b/>
      <w:bCs/>
      <w:spacing w:val="40"/>
      <w:lang w:eastAsia="he-IL"/>
    </w:rPr>
  </w:style>
  <w:style w:type="paragraph" w:styleId="a3">
    <w:name w:val="caption"/>
    <w:basedOn w:val="a"/>
    <w:next w:val="a"/>
    <w:qFormat/>
    <w:rsid w:val="0073716B"/>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73716B"/>
    <w:pPr>
      <w:spacing w:after="0" w:line="240" w:lineRule="auto"/>
    </w:pPr>
    <w:rPr>
      <w:rFonts w:ascii="Tahoma" w:hAnsi="Tahoma" w:cs="Tahoma"/>
      <w:sz w:val="16"/>
      <w:szCs w:val="16"/>
    </w:rPr>
  </w:style>
  <w:style w:type="character" w:customStyle="1" w:styleId="a5">
    <w:name w:val="טקסט בלונים תו"/>
    <w:basedOn w:val="a0"/>
    <w:link w:val="a4"/>
    <w:semiHidden/>
    <w:rsid w:val="0073716B"/>
    <w:rPr>
      <w:rFonts w:ascii="Tahoma" w:eastAsia="Times New Roman" w:hAnsi="Tahoma" w:cs="Tahoma"/>
      <w:sz w:val="16"/>
      <w:szCs w:val="16"/>
    </w:rPr>
  </w:style>
  <w:style w:type="paragraph" w:customStyle="1" w:styleId="11">
    <w:name w:val="פיסקת רשימה1"/>
    <w:basedOn w:val="a"/>
    <w:rsid w:val="0073716B"/>
    <w:pPr>
      <w:ind w:left="720"/>
      <w:contextualSpacing/>
    </w:pPr>
  </w:style>
  <w:style w:type="paragraph" w:styleId="a6">
    <w:name w:val="header"/>
    <w:basedOn w:val="a"/>
    <w:link w:val="a7"/>
    <w:rsid w:val="0073716B"/>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73716B"/>
    <w:rPr>
      <w:rFonts w:ascii="Times New Roman" w:eastAsia="Calibri" w:hAnsi="Times New Roman"/>
      <w:iCs/>
      <w:lang w:eastAsia="he-IL"/>
    </w:rPr>
  </w:style>
  <w:style w:type="paragraph" w:styleId="a8">
    <w:name w:val="footer"/>
    <w:basedOn w:val="a"/>
    <w:link w:val="a9"/>
    <w:semiHidden/>
    <w:rsid w:val="0073716B"/>
    <w:pPr>
      <w:tabs>
        <w:tab w:val="center" w:pos="4153"/>
        <w:tab w:val="right" w:pos="8306"/>
      </w:tabs>
      <w:spacing w:after="0" w:line="240" w:lineRule="auto"/>
    </w:pPr>
  </w:style>
  <w:style w:type="character" w:customStyle="1" w:styleId="a9">
    <w:name w:val="כותרת תחתונה תו"/>
    <w:basedOn w:val="a0"/>
    <w:link w:val="a8"/>
    <w:semiHidden/>
    <w:rsid w:val="0073716B"/>
    <w:rPr>
      <w:rFonts w:ascii="Calibri" w:eastAsia="Times New Roman" w:hAnsi="Calibri" w:cs="Arial"/>
      <w:sz w:val="22"/>
      <w:szCs w:val="22"/>
    </w:rPr>
  </w:style>
  <w:style w:type="character" w:customStyle="1" w:styleId="21">
    <w:name w:val="תו תו2"/>
    <w:basedOn w:val="a0"/>
    <w:rsid w:val="0073716B"/>
    <w:rPr>
      <w:rFonts w:cs="David"/>
      <w:b/>
      <w:bCs/>
      <w:spacing w:val="40"/>
      <w:sz w:val="24"/>
      <w:szCs w:val="24"/>
      <w:lang w:val="en-US" w:eastAsia="he-IL" w:bidi="he-IL"/>
    </w:rPr>
  </w:style>
  <w:style w:type="paragraph" w:customStyle="1" w:styleId="aa">
    <w:name w:val="נבנצלים"/>
    <w:basedOn w:val="a"/>
    <w:next w:val="a"/>
    <w:link w:val="ab"/>
    <w:rsid w:val="0073716B"/>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73716B"/>
    <w:rPr>
      <w:rFonts w:ascii="Times New Roman" w:eastAsia="Calibri" w:hAnsi="Times New Roman"/>
      <w:sz w:val="20"/>
      <w:szCs w:val="20"/>
      <w:lang w:eastAsia="he-IL"/>
    </w:rPr>
  </w:style>
  <w:style w:type="paragraph" w:customStyle="1" w:styleId="12">
    <w:name w:val="פיסקת רשימה1"/>
    <w:basedOn w:val="a"/>
    <w:rsid w:val="0073716B"/>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73716B"/>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73716B"/>
    <w:rPr>
      <w:rFonts w:ascii="Times New Roman" w:hAnsi="Times New Roman" w:cs="David"/>
      <w:b/>
      <w:bCs/>
      <w:spacing w:val="40"/>
      <w:sz w:val="24"/>
      <w:szCs w:val="24"/>
      <w:lang w:eastAsia="he-IL" w:bidi="he-IL"/>
    </w:rPr>
  </w:style>
  <w:style w:type="paragraph" w:styleId="ac">
    <w:name w:val="footnote text"/>
    <w:basedOn w:val="a"/>
    <w:link w:val="ad"/>
    <w:semiHidden/>
    <w:rsid w:val="0073716B"/>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73716B"/>
    <w:rPr>
      <w:rFonts w:ascii="Times New Roman" w:eastAsia="Calibri" w:hAnsi="Times New Roman"/>
      <w:szCs w:val="20"/>
      <w:lang w:eastAsia="he-IL"/>
    </w:rPr>
  </w:style>
  <w:style w:type="table" w:styleId="ae">
    <w:name w:val="Table Grid"/>
    <w:basedOn w:val="a1"/>
    <w:rsid w:val="0073716B"/>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6850A8"/>
    <w:rPr>
      <w:color w:val="0000FF" w:themeColor="hyperlink"/>
      <w:u w:val="single"/>
    </w:rPr>
  </w:style>
  <w:style w:type="paragraph" w:customStyle="1" w:styleId="af">
    <w:name w:val="כותרת מאמר"/>
    <w:basedOn w:val="a"/>
    <w:uiPriority w:val="99"/>
    <w:rsid w:val="00FA4BFC"/>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character" w:customStyle="1" w:styleId="af0">
    <w:name w:val="בולד"/>
    <w:uiPriority w:val="99"/>
    <w:rsid w:val="00FA4BFC"/>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1046</Words>
  <Characters>5233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2010-10-13T12:33:00Z</cp:lastPrinted>
  <dcterms:created xsi:type="dcterms:W3CDTF">2010-12-12T08:48:00Z</dcterms:created>
  <dcterms:modified xsi:type="dcterms:W3CDTF">2010-12-12T08:48:00Z</dcterms:modified>
</cp:coreProperties>
</file>