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D3" w:rsidRPr="00087BD3" w:rsidRDefault="00087BD3" w:rsidP="00087BD3">
      <w:pPr>
        <w:suppressAutoHyphens/>
        <w:autoSpaceDE w:val="0"/>
        <w:autoSpaceDN w:val="0"/>
        <w:adjustRightInd w:val="0"/>
        <w:spacing w:line="340" w:lineRule="atLeast"/>
        <w:jc w:val="center"/>
        <w:textAlignment w:val="center"/>
        <w:rPr>
          <w:rFonts w:ascii="David" w:eastAsiaTheme="minorHAnsi" w:hAnsiTheme="minorHAnsi" w:cs="David"/>
          <w:b/>
          <w:bCs/>
          <w:color w:val="000000"/>
          <w:sz w:val="36"/>
          <w:szCs w:val="36"/>
          <w:rtl/>
        </w:rPr>
      </w:pPr>
      <w:r w:rsidRPr="00087BD3">
        <w:rPr>
          <w:rFonts w:ascii="David" w:eastAsiaTheme="minorHAnsi" w:hAnsiTheme="minorHAnsi" w:cs="David" w:hint="cs"/>
          <w:b/>
          <w:bCs/>
          <w:color w:val="000000"/>
          <w:sz w:val="36"/>
          <w:szCs w:val="36"/>
          <w:rtl/>
        </w:rPr>
        <w:t>טיפול בליקויים משמעותיים בתחזוקת</w:t>
      </w:r>
      <w:r w:rsidRPr="00087BD3">
        <w:rPr>
          <w:rFonts w:ascii="David" w:eastAsiaTheme="minorHAnsi" w:hAnsiTheme="minorHAnsi" w:cs="David"/>
          <w:b/>
          <w:bCs/>
          <w:color w:val="000000"/>
          <w:sz w:val="36"/>
          <w:szCs w:val="36"/>
          <w:rtl/>
        </w:rPr>
        <w:br/>
      </w:r>
      <w:r w:rsidRPr="00087BD3">
        <w:rPr>
          <w:rFonts w:ascii="David" w:eastAsiaTheme="minorHAnsi" w:hAnsiTheme="minorHAnsi" w:cs="David" w:hint="cs"/>
          <w:b/>
          <w:bCs/>
          <w:color w:val="000000"/>
          <w:sz w:val="36"/>
          <w:szCs w:val="36"/>
          <w:rtl/>
        </w:rPr>
        <w:t>הדיור הציבורי</w:t>
      </w:r>
    </w:p>
    <w:p w:rsidR="00087BD3" w:rsidRPr="00087BD3" w:rsidRDefault="00087BD3" w:rsidP="00087BD3">
      <w:pPr>
        <w:suppressAutoHyphens/>
        <w:autoSpaceDE w:val="0"/>
        <w:autoSpaceDN w:val="0"/>
        <w:adjustRightInd w:val="0"/>
        <w:spacing w:line="288" w:lineRule="auto"/>
        <w:jc w:val="center"/>
        <w:textAlignment w:val="center"/>
        <w:rPr>
          <w:rFonts w:ascii="David" w:eastAsiaTheme="minorHAnsi" w:hAnsiTheme="minorHAnsi" w:cs="David"/>
          <w:b/>
          <w:bCs/>
          <w:color w:val="000000"/>
          <w:sz w:val="28"/>
          <w:szCs w:val="28"/>
          <w:rtl/>
        </w:rPr>
      </w:pPr>
      <w:r w:rsidRPr="00087BD3">
        <w:rPr>
          <w:rFonts w:ascii="David" w:eastAsiaTheme="minorHAnsi" w:hAnsiTheme="minorHAnsi" w:cs="David" w:hint="cs"/>
          <w:b/>
          <w:bCs/>
          <w:color w:val="000000"/>
          <w:sz w:val="28"/>
          <w:szCs w:val="28"/>
          <w:rtl/>
        </w:rPr>
        <w:t>דוח 60ב'</w:t>
      </w:r>
    </w:p>
    <w:p w:rsidR="00087BD3" w:rsidRPr="00087BD3" w:rsidRDefault="00087BD3" w:rsidP="00087BD3">
      <w:pPr>
        <w:autoSpaceDE w:val="0"/>
        <w:autoSpaceDN w:val="0"/>
        <w:adjustRightInd w:val="0"/>
        <w:spacing w:after="200" w:line="276" w:lineRule="auto"/>
        <w:ind w:right="575"/>
        <w:jc w:val="center"/>
        <w:textAlignment w:val="center"/>
        <w:rPr>
          <w:rFonts w:ascii="David" w:eastAsiaTheme="minorHAnsi" w:hAnsi="Calibri" w:cs="David"/>
          <w:b/>
          <w:bCs/>
          <w:color w:val="000000"/>
          <w:sz w:val="18"/>
          <w:szCs w:val="18"/>
          <w:rtl/>
        </w:rPr>
      </w:pPr>
    </w:p>
    <w:p w:rsidR="00087BD3" w:rsidRPr="00087BD3" w:rsidRDefault="00087BD3" w:rsidP="00087BD3">
      <w:pPr>
        <w:autoSpaceDE w:val="0"/>
        <w:autoSpaceDN w:val="0"/>
        <w:adjustRightInd w:val="0"/>
        <w:spacing w:after="283" w:line="288" w:lineRule="auto"/>
        <w:textAlignment w:val="center"/>
        <w:rPr>
          <w:rFonts w:ascii="David" w:eastAsiaTheme="minorHAnsi" w:hAnsiTheme="minorHAnsi" w:cs="David"/>
          <w:b/>
          <w:bCs/>
          <w:color w:val="000000"/>
          <w:sz w:val="32"/>
          <w:szCs w:val="32"/>
          <w:rtl/>
        </w:rPr>
      </w:pPr>
      <w:r w:rsidRPr="00087BD3">
        <w:rPr>
          <w:rFonts w:ascii="David" w:eastAsiaTheme="minorHAnsi" w:hAnsiTheme="minorHAnsi" w:cs="David" w:hint="cs"/>
          <w:b/>
          <w:bCs/>
          <w:color w:val="000000"/>
          <w:sz w:val="32"/>
          <w:szCs w:val="32"/>
          <w:rtl/>
        </w:rPr>
        <w:t>החלטה מספר בק/14 מיום 18.4.2010</w:t>
      </w:r>
    </w:p>
    <w:p w:rsidR="00087BD3" w:rsidRPr="00087BD3" w:rsidRDefault="00087BD3" w:rsidP="00087BD3">
      <w:pPr>
        <w:autoSpaceDE w:val="0"/>
        <w:autoSpaceDN w:val="0"/>
        <w:adjustRightInd w:val="0"/>
        <w:spacing w:before="113" w:after="283" w:line="288" w:lineRule="auto"/>
        <w:jc w:val="both"/>
        <w:textAlignment w:val="center"/>
        <w:rPr>
          <w:rFonts w:ascii="David" w:eastAsiaTheme="minorHAnsi" w:hAnsiTheme="minorHAnsi" w:cs="David"/>
          <w:b/>
          <w:bCs/>
          <w:color w:val="000000"/>
          <w:sz w:val="18"/>
          <w:szCs w:val="18"/>
          <w:rtl/>
        </w:rPr>
      </w:pPr>
      <w:r w:rsidRPr="00087BD3">
        <w:rPr>
          <w:rFonts w:ascii="David" w:eastAsiaTheme="minorHAnsi" w:hAnsiTheme="minorHAnsi" w:cs="David" w:hint="cs"/>
          <w:b/>
          <w:bCs/>
          <w:color w:val="000000"/>
          <w:sz w:val="28"/>
          <w:szCs w:val="28"/>
          <w:rtl/>
        </w:rPr>
        <w:t>מחליטים</w:t>
      </w:r>
      <w:r w:rsidRPr="00087BD3">
        <w:rPr>
          <w:rFonts w:ascii="David" w:eastAsiaTheme="minorHAnsi" w:hAnsiTheme="minorHAnsi" w:cs="David" w:hint="cs"/>
          <w:b/>
          <w:bCs/>
          <w:color w:val="000000"/>
          <w:sz w:val="18"/>
          <w:szCs w:val="18"/>
          <w:rtl/>
        </w:rPr>
        <w:t>:</w:t>
      </w:r>
    </w:p>
    <w:p w:rsidR="00087BD3" w:rsidRPr="00087BD3" w:rsidRDefault="00087BD3" w:rsidP="00087BD3">
      <w:pPr>
        <w:suppressAutoHyphens/>
        <w:autoSpaceDE w:val="0"/>
        <w:autoSpaceDN w:val="0"/>
        <w:adjustRightInd w:val="0"/>
        <w:spacing w:after="200" w:line="276" w:lineRule="auto"/>
        <w:ind w:left="340" w:hanging="340"/>
        <w:jc w:val="both"/>
        <w:textAlignment w:val="center"/>
        <w:rPr>
          <w:rFonts w:ascii="David" w:eastAsiaTheme="minorHAnsi" w:hAnsi="Calibri" w:cs="David"/>
          <w:color w:val="000000"/>
          <w:rtl/>
        </w:rPr>
      </w:pPr>
      <w:r w:rsidRPr="00087BD3">
        <w:rPr>
          <w:rFonts w:ascii="David" w:eastAsiaTheme="minorHAnsi" w:hAnsi="Calibri" w:cs="David" w:hint="cs"/>
          <w:color w:val="000000"/>
          <w:rtl/>
        </w:rPr>
        <w:t>1.</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וחברות האכלוס (עמידר, חלמיש, פרזות, חברת שיכון ופיתוח, שקמונה, חלד ועמיגור) יעשו כל אחד בתחומו בכל הנוגע לשמירה על נכסי המדינה וכספי הציבור ולדאגה לרווחת הדיור של המשתכנים הנמנים על השכבות הפחות מבוססות בחברה.</w:t>
      </w:r>
    </w:p>
    <w:p w:rsidR="00087BD3" w:rsidRPr="00087BD3" w:rsidRDefault="00087BD3" w:rsidP="00087BD3">
      <w:pPr>
        <w:suppressAutoHyphens/>
        <w:autoSpaceDE w:val="0"/>
        <w:autoSpaceDN w:val="0"/>
        <w:adjustRightInd w:val="0"/>
        <w:spacing w:after="200" w:line="276" w:lineRule="auto"/>
        <w:ind w:left="651" w:hanging="283"/>
        <w:jc w:val="both"/>
        <w:textAlignment w:val="center"/>
        <w:rPr>
          <w:rFonts w:ascii="David" w:eastAsiaTheme="minorHAnsi" w:hAnsi="Calibri" w:cs="David"/>
          <w:color w:val="000000"/>
          <w:rtl/>
        </w:rPr>
      </w:pPr>
      <w:r w:rsidRPr="00087BD3">
        <w:rPr>
          <w:rFonts w:ascii="David" w:eastAsiaTheme="minorHAnsi" w:hAnsi="Calibri" w:cs="David" w:hint="cs"/>
          <w:color w:val="000000"/>
          <w:rtl/>
        </w:rPr>
        <w:t>א.</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יקפיד על תקינות המבנים בדיור הציבורי, בהתאם ובכפוף לחוק זכויות הדייר בדיור הציבורי, ויפקח על תיקון הליקויים שהתגלו באופן שוטף.</w:t>
      </w:r>
    </w:p>
    <w:p w:rsidR="00087BD3" w:rsidRPr="00087BD3" w:rsidRDefault="00087BD3" w:rsidP="00087BD3">
      <w:pPr>
        <w:autoSpaceDE w:val="0"/>
        <w:autoSpaceDN w:val="0"/>
        <w:adjustRightInd w:val="0"/>
        <w:spacing w:after="200" w:line="276" w:lineRule="auto"/>
        <w:ind w:left="651" w:hanging="283"/>
        <w:jc w:val="both"/>
        <w:textAlignment w:val="center"/>
        <w:rPr>
          <w:rFonts w:ascii="David" w:eastAsiaTheme="minorHAnsi" w:hAnsi="Calibri" w:cs="David"/>
          <w:color w:val="000000"/>
          <w:rtl/>
        </w:rPr>
      </w:pPr>
      <w:r w:rsidRPr="00087BD3">
        <w:rPr>
          <w:rFonts w:ascii="David" w:eastAsiaTheme="minorHAnsi" w:hAnsi="Calibri" w:cs="David" w:hint="cs"/>
          <w:color w:val="000000"/>
          <w:rtl/>
        </w:rPr>
        <w:t>ב.</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יטפל בתקינות מבני הדיור הציבורי (בהם רוב שוכרים) בהתאם למצבם ולמגבלות התקציב.</w:t>
      </w:r>
    </w:p>
    <w:p w:rsidR="00087BD3" w:rsidRPr="00087BD3" w:rsidRDefault="00087BD3" w:rsidP="00087BD3">
      <w:pPr>
        <w:autoSpaceDE w:val="0"/>
        <w:autoSpaceDN w:val="0"/>
        <w:adjustRightInd w:val="0"/>
        <w:spacing w:after="200" w:line="276" w:lineRule="auto"/>
        <w:ind w:left="651" w:hanging="283"/>
        <w:jc w:val="both"/>
        <w:textAlignment w:val="center"/>
        <w:rPr>
          <w:rFonts w:ascii="David" w:eastAsiaTheme="minorHAnsi" w:hAnsi="Calibri" w:cs="David"/>
          <w:color w:val="000000"/>
          <w:rtl/>
        </w:rPr>
      </w:pPr>
      <w:r w:rsidRPr="00087BD3">
        <w:rPr>
          <w:rFonts w:ascii="David" w:eastAsiaTheme="minorHAnsi" w:hAnsi="Calibri" w:cs="David" w:hint="cs"/>
          <w:color w:val="000000"/>
          <w:rtl/>
        </w:rPr>
        <w:t>ג.</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יכין חוזה אחיד והוגן בין חברות האיכלוס לדיירים שישמש את כל חברות האכלוס, תוך שמירה על זכויות הדיירים ומניעת קיפוחם ע"י החברות ויקפיד על אכיפתם.</w:t>
      </w:r>
    </w:p>
    <w:p w:rsidR="00087BD3" w:rsidRPr="00087BD3" w:rsidRDefault="00087BD3" w:rsidP="00087BD3">
      <w:pPr>
        <w:autoSpaceDE w:val="0"/>
        <w:autoSpaceDN w:val="0"/>
        <w:adjustRightInd w:val="0"/>
        <w:spacing w:after="200" w:line="276" w:lineRule="auto"/>
        <w:ind w:left="651" w:hanging="283"/>
        <w:jc w:val="both"/>
        <w:textAlignment w:val="center"/>
        <w:rPr>
          <w:rFonts w:ascii="David" w:eastAsiaTheme="minorHAnsi" w:hAnsi="Calibri" w:cs="David"/>
          <w:color w:val="000000"/>
          <w:rtl/>
        </w:rPr>
      </w:pPr>
      <w:r w:rsidRPr="00087BD3">
        <w:rPr>
          <w:rFonts w:ascii="David" w:eastAsiaTheme="minorHAnsi" w:hAnsi="Calibri" w:cs="David" w:hint="cs"/>
          <w:color w:val="000000"/>
          <w:rtl/>
        </w:rPr>
        <w:t>ד.</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ינחה את חברות האכלוס לבצע בדיקה שנתית של תחזוקת הדירות ובהתאם לתוצאות יכין תכנית עבודה רב שנתית הכפופה למגבלות התקציב, המאפשרת תנאי מחיה הולמים לדיירי הדיור הציבורי ויעקוב אחר ביצוען.</w:t>
      </w:r>
    </w:p>
    <w:p w:rsidR="00087BD3" w:rsidRPr="00087BD3" w:rsidRDefault="00087BD3" w:rsidP="00087BD3">
      <w:pPr>
        <w:autoSpaceDE w:val="0"/>
        <w:autoSpaceDN w:val="0"/>
        <w:adjustRightInd w:val="0"/>
        <w:spacing w:after="200" w:line="276" w:lineRule="auto"/>
        <w:ind w:left="651" w:hanging="283"/>
        <w:jc w:val="both"/>
        <w:textAlignment w:val="center"/>
        <w:rPr>
          <w:rFonts w:ascii="David" w:eastAsiaTheme="minorHAnsi" w:hAnsi="Calibri" w:cs="David"/>
          <w:color w:val="000000"/>
          <w:rtl/>
        </w:rPr>
      </w:pPr>
      <w:r w:rsidRPr="00087BD3">
        <w:rPr>
          <w:rFonts w:ascii="David" w:eastAsiaTheme="minorHAnsi" w:hAnsi="Calibri" w:cs="David" w:hint="cs"/>
          <w:color w:val="000000"/>
          <w:rtl/>
        </w:rPr>
        <w:t>ה.</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וחברות האכלוס יטפלו בליקויים המתגלים, על פי חומרתם, תוך פרק זמן סביר, ויתעדו את העבודות שיבוצעו.</w:t>
      </w:r>
    </w:p>
    <w:p w:rsidR="00087BD3" w:rsidRPr="00087BD3" w:rsidRDefault="00087BD3" w:rsidP="00087BD3">
      <w:pPr>
        <w:suppressAutoHyphens/>
        <w:autoSpaceDE w:val="0"/>
        <w:autoSpaceDN w:val="0"/>
        <w:adjustRightInd w:val="0"/>
        <w:spacing w:after="200" w:line="276" w:lineRule="auto"/>
        <w:ind w:left="340" w:hanging="340"/>
        <w:jc w:val="both"/>
        <w:textAlignment w:val="center"/>
        <w:rPr>
          <w:rFonts w:ascii="David" w:eastAsiaTheme="minorHAnsi" w:hAnsi="Calibri" w:cs="David"/>
          <w:color w:val="000000"/>
          <w:rtl/>
        </w:rPr>
      </w:pPr>
      <w:r w:rsidRPr="00087BD3">
        <w:rPr>
          <w:rFonts w:ascii="David" w:eastAsiaTheme="minorHAnsi" w:hAnsi="Calibri" w:cs="David" w:hint="cs"/>
          <w:color w:val="000000"/>
          <w:rtl/>
        </w:rPr>
        <w:t>2.</w:t>
      </w:r>
      <w:r w:rsidRPr="00087BD3">
        <w:rPr>
          <w:rFonts w:ascii="David" w:eastAsiaTheme="minorHAnsi" w:hAnsi="Calibri" w:cs="David"/>
          <w:color w:val="000000"/>
          <w:rtl/>
        </w:rPr>
        <w:tab/>
      </w:r>
      <w:r w:rsidRPr="00087BD3">
        <w:rPr>
          <w:rFonts w:ascii="David" w:eastAsiaTheme="minorHAnsi" w:hAnsi="Calibri" w:cs="David" w:hint="cs"/>
          <w:color w:val="000000"/>
          <w:rtl/>
        </w:rPr>
        <w:t>הערות מבקר המדינה בדו"ח 60ב יילקחו בחשבון בעת ביצוע ההחלטה.</w:t>
      </w:r>
    </w:p>
    <w:p w:rsidR="00087BD3" w:rsidRPr="00087BD3" w:rsidRDefault="00087BD3" w:rsidP="00087BD3">
      <w:pPr>
        <w:suppressAutoHyphens/>
        <w:autoSpaceDE w:val="0"/>
        <w:autoSpaceDN w:val="0"/>
        <w:adjustRightInd w:val="0"/>
        <w:spacing w:after="200" w:line="276" w:lineRule="auto"/>
        <w:ind w:left="340" w:hanging="340"/>
        <w:jc w:val="both"/>
        <w:textAlignment w:val="center"/>
        <w:rPr>
          <w:rFonts w:ascii="David" w:eastAsiaTheme="minorHAnsi" w:hAnsi="Calibri" w:cs="David"/>
          <w:color w:val="000000"/>
          <w:rtl/>
        </w:rPr>
      </w:pPr>
      <w:r w:rsidRPr="00087BD3">
        <w:rPr>
          <w:rFonts w:ascii="David" w:eastAsiaTheme="minorHAnsi" w:hAnsi="Calibri" w:cs="David" w:hint="cs"/>
          <w:color w:val="000000"/>
          <w:rtl/>
        </w:rPr>
        <w:t>3.</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וחברות האכלוס ידווחו לועדת השרים בתוך 4 חודשים על ההתקדמות בביצוע ההחלטה.</w:t>
      </w:r>
    </w:p>
    <w:p w:rsidR="00087BD3" w:rsidRPr="00087BD3" w:rsidRDefault="00087BD3" w:rsidP="00087BD3">
      <w:pPr>
        <w:autoSpaceDE w:val="0"/>
        <w:autoSpaceDN w:val="0"/>
        <w:adjustRightInd w:val="0"/>
        <w:spacing w:before="113" w:after="283" w:line="288" w:lineRule="auto"/>
        <w:jc w:val="both"/>
        <w:textAlignment w:val="center"/>
        <w:rPr>
          <w:rFonts w:ascii="David" w:eastAsiaTheme="minorHAnsi" w:hAnsiTheme="minorHAnsi" w:cs="David"/>
          <w:b/>
          <w:bCs/>
          <w:color w:val="000000"/>
          <w:sz w:val="28"/>
          <w:szCs w:val="28"/>
          <w:rtl/>
        </w:rPr>
      </w:pPr>
      <w:r w:rsidRPr="00087BD3">
        <w:rPr>
          <w:rFonts w:ascii="David" w:eastAsiaTheme="minorHAnsi" w:hAnsiTheme="minorHAnsi" w:cs="David" w:hint="cs"/>
          <w:b/>
          <w:bCs/>
          <w:color w:val="000000"/>
          <w:sz w:val="28"/>
          <w:szCs w:val="28"/>
          <w:rtl/>
        </w:rPr>
        <w:t>ביצוע ההחלטה</w:t>
      </w:r>
    </w:p>
    <w:p w:rsidR="00087BD3" w:rsidRPr="00087BD3" w:rsidRDefault="00087BD3" w:rsidP="00087BD3">
      <w:pPr>
        <w:suppressAutoHyphens/>
        <w:autoSpaceDE w:val="0"/>
        <w:autoSpaceDN w:val="0"/>
        <w:adjustRightInd w:val="0"/>
        <w:spacing w:after="113" w:line="288" w:lineRule="auto"/>
        <w:jc w:val="both"/>
        <w:textAlignment w:val="center"/>
        <w:rPr>
          <w:rFonts w:ascii="David" w:eastAsiaTheme="minorHAnsi" w:hAnsiTheme="minorHAnsi" w:cs="David"/>
          <w:b/>
          <w:bCs/>
          <w:color w:val="000000"/>
          <w:rtl/>
        </w:rPr>
      </w:pPr>
      <w:r w:rsidRPr="00087BD3">
        <w:rPr>
          <w:rFonts w:ascii="David" w:eastAsiaTheme="minorHAnsi" w:hAnsiTheme="minorHAnsi" w:cs="David" w:hint="cs"/>
          <w:b/>
          <w:bCs/>
          <w:color w:val="000000"/>
          <w:rtl/>
        </w:rPr>
        <w:t>חברת עמידר, החברה הלאומית לשיכון בישראל בע"מ</w:t>
      </w:r>
    </w:p>
    <w:p w:rsidR="00087BD3" w:rsidRPr="00087BD3" w:rsidRDefault="00087BD3" w:rsidP="00087BD3">
      <w:pPr>
        <w:suppressAutoHyphens/>
        <w:autoSpaceDE w:val="0"/>
        <w:autoSpaceDN w:val="0"/>
        <w:adjustRightInd w:val="0"/>
        <w:spacing w:after="200" w:line="276" w:lineRule="auto"/>
        <w:ind w:left="566" w:hanging="566"/>
        <w:jc w:val="both"/>
        <w:textAlignment w:val="center"/>
        <w:rPr>
          <w:rFonts w:ascii="David" w:eastAsiaTheme="minorHAnsi" w:hAnsi="Calibri" w:cs="David"/>
          <w:color w:val="000000"/>
          <w:rtl/>
        </w:rPr>
      </w:pPr>
      <w:r w:rsidRPr="00087BD3">
        <w:rPr>
          <w:rFonts w:ascii="David" w:eastAsiaTheme="minorHAnsi" w:hAnsi="Calibri" w:cs="David" w:hint="cs"/>
          <w:color w:val="000000"/>
          <w:rtl/>
        </w:rPr>
        <w:t>ד.</w:t>
      </w:r>
      <w:r w:rsidRPr="00087BD3">
        <w:rPr>
          <w:rFonts w:ascii="David" w:eastAsiaTheme="minorHAnsi" w:hAnsi="Calibri" w:cs="David"/>
          <w:color w:val="000000"/>
          <w:rtl/>
        </w:rPr>
        <w:tab/>
      </w:r>
      <w:r w:rsidRPr="00087BD3">
        <w:rPr>
          <w:rFonts w:ascii="David" w:eastAsiaTheme="minorHAnsi" w:hAnsi="Calibri" w:cs="David" w:hint="cs"/>
          <w:color w:val="000000"/>
          <w:rtl/>
        </w:rPr>
        <w:t>משרד הבינוי והשיכון העביר מכתב דרישה ב-10.5.10 לחברות המאכלסות לקבלת דיווח דו-חודשי ונתונים אודות ביקורי מעגל שבוצעו. חברת עמידר שוקדת על פיתוח דו"ח בנושא שיועבר למשרד הבינוי והשיכון.</w:t>
      </w:r>
    </w:p>
    <w:p w:rsidR="00087BD3" w:rsidRPr="00087BD3" w:rsidRDefault="00087BD3" w:rsidP="00087BD3">
      <w:pPr>
        <w:suppressAutoHyphens/>
        <w:autoSpaceDE w:val="0"/>
        <w:autoSpaceDN w:val="0"/>
        <w:adjustRightInd w:val="0"/>
        <w:spacing w:after="200" w:line="276" w:lineRule="auto"/>
        <w:ind w:left="566" w:hanging="566"/>
        <w:jc w:val="both"/>
        <w:textAlignment w:val="center"/>
        <w:rPr>
          <w:rFonts w:ascii="David" w:eastAsiaTheme="minorHAnsi" w:hAnsi="Calibri" w:cs="David"/>
          <w:color w:val="000000"/>
          <w:rtl/>
        </w:rPr>
      </w:pPr>
      <w:r w:rsidRPr="00087BD3">
        <w:rPr>
          <w:rFonts w:ascii="David" w:eastAsiaTheme="minorHAnsi" w:hAnsi="Calibri" w:cs="David" w:hint="cs"/>
          <w:color w:val="000000"/>
          <w:rtl/>
        </w:rPr>
        <w:t>ה.</w:t>
      </w:r>
      <w:r w:rsidRPr="00087BD3">
        <w:rPr>
          <w:rFonts w:ascii="David" w:eastAsiaTheme="minorHAnsi" w:hAnsi="Calibri" w:cs="David"/>
          <w:color w:val="000000"/>
          <w:rtl/>
        </w:rPr>
        <w:tab/>
      </w:r>
      <w:r w:rsidRPr="00087BD3">
        <w:rPr>
          <w:rFonts w:ascii="David" w:eastAsiaTheme="minorHAnsi" w:hAnsi="Calibri" w:cs="David" w:hint="cs"/>
          <w:color w:val="000000"/>
          <w:rtl/>
        </w:rPr>
        <w:t>לחברת עמידר נהלים מסודרים לטיפול בליקויים על-פי חומרתם. החברה מבצעת פיילוט להפעלת מוקד להספקת שירותי אחזקה לדיירי עמידר. כל עבודה ופעולה מבוצעות ומתועדות במערכת המחשוב של החברה.</w:t>
      </w:r>
    </w:p>
    <w:p w:rsidR="00087BD3" w:rsidRPr="00087BD3" w:rsidRDefault="00087BD3" w:rsidP="00087BD3">
      <w:pPr>
        <w:suppressAutoHyphens/>
        <w:autoSpaceDE w:val="0"/>
        <w:autoSpaceDN w:val="0"/>
        <w:adjustRightInd w:val="0"/>
        <w:spacing w:after="200" w:line="276" w:lineRule="auto"/>
        <w:jc w:val="both"/>
        <w:textAlignment w:val="center"/>
        <w:rPr>
          <w:rFonts w:ascii="David" w:eastAsiaTheme="minorHAnsi" w:hAnsi="Calibri" w:cs="David"/>
          <w:color w:val="000000"/>
          <w:rtl/>
        </w:rPr>
      </w:pPr>
      <w:r w:rsidRPr="00087BD3">
        <w:rPr>
          <w:rFonts w:ascii="David" w:eastAsiaTheme="minorHAnsi" w:hAnsi="Calibri" w:cs="David" w:hint="cs"/>
          <w:color w:val="000000"/>
          <w:rtl/>
        </w:rPr>
        <w:t xml:space="preserve">על-פי המשרד אין חובה חוקית לספק פריטים חריגים בהיעדר תקציב. חברת עמידר נושאת באחריות בנוגע לתחזוקה שוטפת של הדירות אך ורק על-פי חוזה הניהול שנחתם עם הממשלה, ולא לכלל נושאי הבטיחות הנוגעים לדיירים. בנוגע לחוזה הניהול העתידי בין חברת עמידר </w:t>
      </w:r>
      <w:r w:rsidRPr="00087BD3">
        <w:rPr>
          <w:rFonts w:ascii="David" w:eastAsiaTheme="minorHAnsi" w:hAnsi="Calibri" w:cs="David" w:hint="cs"/>
          <w:color w:val="000000"/>
          <w:rtl/>
        </w:rPr>
        <w:lastRenderedPageBreak/>
        <w:t>למשרד, מתנהלים דיונים אולם בשלב זה לא מסתמנת נכונות של המשרד להרחיב את תחומי הפעילות של חברת עמידר בנוגע לתחזוקת הדיור הציבורי.</w:t>
      </w:r>
    </w:p>
    <w:p w:rsidR="00E905AB" w:rsidRPr="00087BD3" w:rsidRDefault="00E905AB" w:rsidP="00087BD3">
      <w:pPr>
        <w:rPr>
          <w:rtl/>
        </w:rPr>
      </w:pPr>
    </w:p>
    <w:sectPr w:rsidR="00E905AB" w:rsidRPr="00087BD3" w:rsidSect="0070082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EEC" w:rsidRDefault="00420EEC" w:rsidP="0070082B">
      <w:r>
        <w:separator/>
      </w:r>
    </w:p>
  </w:endnote>
  <w:endnote w:type="continuationSeparator" w:id="1">
    <w:p w:rsidR="00420EEC" w:rsidRDefault="00420EEC" w:rsidP="007008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6C" w:rsidRDefault="00681F6C">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6C" w:rsidRDefault="00681F6C">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6C" w:rsidRDefault="00681F6C">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EEC" w:rsidRDefault="00420EEC" w:rsidP="0070082B">
      <w:r>
        <w:separator/>
      </w:r>
    </w:p>
  </w:footnote>
  <w:footnote w:type="continuationSeparator" w:id="1">
    <w:p w:rsidR="00420EEC" w:rsidRDefault="00420EEC" w:rsidP="00700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6C" w:rsidRDefault="00681F6C">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B63" w:rsidRPr="00935D27" w:rsidRDefault="00721EE4" w:rsidP="002479B4">
    <w:pPr>
      <w:pStyle w:val="aa"/>
      <w:jc w:val="right"/>
      <w:rPr>
        <w:rFonts w:cs="David"/>
        <w:sz w:val="14"/>
        <w:szCs w:val="14"/>
        <w:rtl/>
      </w:rPr>
    </w:pPr>
    <w:r w:rsidRPr="00935D27">
      <w:rPr>
        <w:rFonts w:cs="David"/>
        <w:sz w:val="14"/>
        <w:szCs w:val="14"/>
        <w:rtl/>
      </w:rPr>
      <w:fldChar w:fldCharType="begin"/>
    </w:r>
    <w:r w:rsidR="00040B63" w:rsidRPr="00935D27">
      <w:rPr>
        <w:rFonts w:cs="David"/>
        <w:sz w:val="14"/>
        <w:szCs w:val="14"/>
        <w:rtl/>
      </w:rPr>
      <w:instrText xml:space="preserve"> </w:instrText>
    </w:r>
    <w:r w:rsidR="00040B63" w:rsidRPr="00935D27">
      <w:rPr>
        <w:rFonts w:cs="David" w:hint="cs"/>
        <w:sz w:val="14"/>
        <w:szCs w:val="14"/>
      </w:rPr>
      <w:instrText>TIME  \@ "HH:mm"  \* MERGEFORMAT</w:instrText>
    </w:r>
    <w:r w:rsidR="00040B63" w:rsidRPr="00935D27">
      <w:rPr>
        <w:rFonts w:cs="David"/>
        <w:sz w:val="14"/>
        <w:szCs w:val="14"/>
        <w:rtl/>
      </w:rPr>
      <w:instrText xml:space="preserve"> </w:instrText>
    </w:r>
    <w:r w:rsidRPr="00935D27">
      <w:rPr>
        <w:rFonts w:cs="David"/>
        <w:sz w:val="14"/>
        <w:szCs w:val="14"/>
        <w:rtl/>
      </w:rPr>
      <w:fldChar w:fldCharType="separate"/>
    </w:r>
    <w:r w:rsidR="00087BD3">
      <w:rPr>
        <w:rFonts w:cs="David" w:hint="cs"/>
        <w:noProof/>
        <w:sz w:val="14"/>
        <w:szCs w:val="14"/>
        <w:rtl/>
      </w:rPr>
      <w:t>‏</w:t>
    </w:r>
    <w:r w:rsidR="00087BD3">
      <w:rPr>
        <w:rFonts w:cs="David"/>
        <w:noProof/>
        <w:sz w:val="14"/>
        <w:szCs w:val="14"/>
        <w:rtl/>
      </w:rPr>
      <w:t>17:11</w:t>
    </w:r>
    <w:r w:rsidRPr="00935D27">
      <w:rPr>
        <w:rFonts w:cs="David"/>
        <w:sz w:val="14"/>
        <w:szCs w:val="14"/>
        <w:rtl/>
      </w:rPr>
      <w:fldChar w:fldCharType="end"/>
    </w:r>
    <w:r w:rsidR="00040B63" w:rsidRPr="00935D27">
      <w:rPr>
        <w:rFonts w:cs="David" w:hint="cs"/>
        <w:sz w:val="14"/>
        <w:szCs w:val="14"/>
        <w:rtl/>
      </w:rPr>
      <w:t xml:space="preserve">  </w:t>
    </w:r>
    <w:r w:rsidRPr="00935D27">
      <w:rPr>
        <w:rFonts w:cs="David"/>
        <w:sz w:val="14"/>
        <w:szCs w:val="14"/>
        <w:rtl/>
      </w:rPr>
      <w:fldChar w:fldCharType="begin"/>
    </w:r>
    <w:r w:rsidR="00040B63" w:rsidRPr="00935D27">
      <w:rPr>
        <w:rFonts w:cs="David"/>
        <w:sz w:val="14"/>
        <w:szCs w:val="14"/>
        <w:rtl/>
      </w:rPr>
      <w:instrText xml:space="preserve"> </w:instrText>
    </w:r>
    <w:r w:rsidR="00040B63" w:rsidRPr="00935D27">
      <w:rPr>
        <w:rFonts w:cs="David" w:hint="cs"/>
        <w:sz w:val="14"/>
        <w:szCs w:val="14"/>
      </w:rPr>
      <w:instrText>DATE  \@ "yyyy-MM-dd"  \* MERGEFORMAT</w:instrText>
    </w:r>
    <w:r w:rsidR="00040B63" w:rsidRPr="00935D27">
      <w:rPr>
        <w:rFonts w:cs="David"/>
        <w:sz w:val="14"/>
        <w:szCs w:val="14"/>
        <w:rtl/>
      </w:rPr>
      <w:instrText xml:space="preserve"> </w:instrText>
    </w:r>
    <w:r w:rsidRPr="00935D27">
      <w:rPr>
        <w:rFonts w:cs="David"/>
        <w:sz w:val="14"/>
        <w:szCs w:val="14"/>
        <w:rtl/>
      </w:rPr>
      <w:fldChar w:fldCharType="separate"/>
    </w:r>
    <w:r w:rsidR="00087BD3">
      <w:rPr>
        <w:rFonts w:cs="David" w:hint="cs"/>
        <w:noProof/>
        <w:sz w:val="14"/>
        <w:szCs w:val="14"/>
        <w:rtl/>
      </w:rPr>
      <w:t>‏</w:t>
    </w:r>
    <w:r w:rsidR="00087BD3">
      <w:rPr>
        <w:rFonts w:cs="David"/>
        <w:noProof/>
        <w:sz w:val="14"/>
        <w:szCs w:val="14"/>
        <w:rtl/>
      </w:rPr>
      <w:t>2010–12–09</w:t>
    </w:r>
    <w:r w:rsidRPr="00935D27">
      <w:rPr>
        <w:rFonts w:cs="David"/>
        <w:sz w:val="14"/>
        <w:szCs w:val="14"/>
        <w:rtl/>
      </w:rPr>
      <w:fldChar w:fldCharType="end"/>
    </w:r>
    <w:r w:rsidR="00040B63" w:rsidRPr="00935D27">
      <w:rPr>
        <w:rFonts w:hint="cs"/>
        <w:sz w:val="14"/>
        <w:szCs w:val="14"/>
        <w:rtl/>
      </w:rPr>
      <w:t xml:space="preserve">   </w:t>
    </w:r>
    <w:fldSimple w:instr=" FILENAME  \* FirstCap \p  \* MERGEFORMAT ">
      <w:r w:rsidR="000B73AC" w:rsidRPr="000B73AC">
        <w:rPr>
          <w:noProof/>
          <w:sz w:val="14"/>
          <w:szCs w:val="14"/>
        </w:rPr>
        <w:t>L</w:t>
      </w:r>
      <w:r w:rsidR="000B73AC">
        <w:rPr>
          <w:noProof/>
        </w:rPr>
        <w:t>:\</w:t>
      </w:r>
      <w:r w:rsidR="000B73AC">
        <w:rPr>
          <w:rFonts w:hint="cs"/>
          <w:noProof/>
          <w:rtl/>
        </w:rPr>
        <w:t>הספר</w:t>
      </w:r>
      <w:r w:rsidR="000B73AC">
        <w:rPr>
          <w:noProof/>
          <w:rtl/>
        </w:rPr>
        <w:t xml:space="preserve"> - </w:t>
      </w:r>
      <w:r w:rsidR="000B73AC">
        <w:rPr>
          <w:rFonts w:hint="cs"/>
          <w:noProof/>
          <w:rtl/>
        </w:rPr>
        <w:t>מעקבים</w:t>
      </w:r>
      <w:r w:rsidR="000B73AC">
        <w:rPr>
          <w:noProof/>
          <w:rtl/>
        </w:rPr>
        <w:t xml:space="preserve"> 60</w:t>
      </w:r>
      <w:r w:rsidR="000B73AC">
        <w:rPr>
          <w:rFonts w:hint="cs"/>
          <w:noProof/>
          <w:rtl/>
        </w:rPr>
        <w:t>ב</w:t>
      </w:r>
      <w:r w:rsidR="000B73AC">
        <w:rPr>
          <w:noProof/>
          <w:rtl/>
        </w:rPr>
        <w:t>\</w:t>
      </w:r>
      <w:r w:rsidR="000B73AC">
        <w:rPr>
          <w:rFonts w:hint="cs"/>
          <w:noProof/>
          <w:rtl/>
        </w:rPr>
        <w:t>פנינה</w:t>
      </w:r>
      <w:r w:rsidR="000B73AC">
        <w:rPr>
          <w:noProof/>
          <w:rtl/>
        </w:rPr>
        <w:t>\</w:t>
      </w:r>
      <w:r w:rsidR="000B73AC">
        <w:rPr>
          <w:rFonts w:hint="cs"/>
          <w:noProof/>
          <w:rtl/>
        </w:rPr>
        <w:t>ועדות</w:t>
      </w:r>
      <w:r w:rsidR="000B73AC">
        <w:rPr>
          <w:noProof/>
          <w:rtl/>
        </w:rPr>
        <w:t xml:space="preserve"> </w:t>
      </w:r>
      <w:r w:rsidR="000B73AC">
        <w:rPr>
          <w:rFonts w:hint="cs"/>
          <w:noProof/>
          <w:rtl/>
        </w:rPr>
        <w:t>שרים</w:t>
      </w:r>
      <w:r w:rsidR="000B73AC">
        <w:rPr>
          <w:noProof/>
          <w:rtl/>
        </w:rPr>
        <w:t>\</w:t>
      </w:r>
      <w:r w:rsidR="000B73AC">
        <w:rPr>
          <w:rFonts w:hint="cs"/>
          <w:noProof/>
          <w:rtl/>
        </w:rPr>
        <w:t>בק</w:t>
      </w:r>
      <w:r w:rsidR="000B73AC">
        <w:rPr>
          <w:noProof/>
          <w:rtl/>
        </w:rPr>
        <w:t xml:space="preserve"> 14 - </w:t>
      </w:r>
      <w:r w:rsidR="000B73AC">
        <w:rPr>
          <w:rFonts w:hint="cs"/>
          <w:noProof/>
          <w:rtl/>
        </w:rPr>
        <w:t>טיפול</w:t>
      </w:r>
      <w:r w:rsidR="000B73AC">
        <w:rPr>
          <w:noProof/>
          <w:rtl/>
        </w:rPr>
        <w:t xml:space="preserve">  </w:t>
      </w:r>
      <w:r w:rsidR="000B73AC">
        <w:rPr>
          <w:rFonts w:hint="cs"/>
          <w:noProof/>
          <w:rtl/>
        </w:rPr>
        <w:t>בליקויים</w:t>
      </w:r>
      <w:r w:rsidR="000B73AC">
        <w:rPr>
          <w:noProof/>
          <w:rtl/>
        </w:rPr>
        <w:t xml:space="preserve">  </w:t>
      </w:r>
      <w:r w:rsidR="000B73AC">
        <w:rPr>
          <w:rFonts w:hint="cs"/>
          <w:noProof/>
          <w:rtl/>
        </w:rPr>
        <w:t>משמעותיים</w:t>
      </w:r>
      <w:r w:rsidR="000B73AC">
        <w:rPr>
          <w:noProof/>
          <w:rtl/>
        </w:rPr>
        <w:t xml:space="preserve"> </w:t>
      </w:r>
      <w:r w:rsidR="000B73AC">
        <w:rPr>
          <w:rFonts w:hint="cs"/>
          <w:noProof/>
          <w:rtl/>
        </w:rPr>
        <w:t>בתחזוקת</w:t>
      </w:r>
      <w:r w:rsidR="000B73AC">
        <w:rPr>
          <w:noProof/>
          <w:rtl/>
        </w:rPr>
        <w:t xml:space="preserve"> </w:t>
      </w:r>
      <w:r w:rsidR="000B73AC">
        <w:rPr>
          <w:rFonts w:hint="cs"/>
          <w:noProof/>
          <w:rtl/>
        </w:rPr>
        <w:t>הדיור</w:t>
      </w:r>
      <w:r w:rsidR="000B73AC">
        <w:rPr>
          <w:noProof/>
          <w:rtl/>
        </w:rPr>
        <w:t xml:space="preserve">  </w:t>
      </w:r>
      <w:r w:rsidR="000B73AC">
        <w:rPr>
          <w:rFonts w:hint="cs"/>
          <w:noProof/>
          <w:rtl/>
        </w:rPr>
        <w:t>הציבורי</w:t>
      </w:r>
      <w:r w:rsidR="000B73AC">
        <w:rPr>
          <w:noProof/>
        </w:rPr>
        <w:t>.docx</w:t>
      </w:r>
    </w:fldSimple>
    <w:r w:rsidR="00040B63" w:rsidRPr="00935D27">
      <w:rPr>
        <w:rFonts w:hint="cs"/>
        <w:sz w:val="14"/>
        <w:szCs w:val="14"/>
        <w:rtl/>
      </w:rPr>
      <w:t xml:space="preserve">    </w:t>
    </w:r>
    <w:r w:rsidR="00040B63" w:rsidRPr="00935D27">
      <w:rPr>
        <w:rFonts w:cs="David" w:hint="cs"/>
        <w:sz w:val="14"/>
        <w:szCs w:val="14"/>
        <w:rtl/>
      </w:rPr>
      <w:t>-</w:t>
    </w:r>
    <w:r w:rsidRPr="00935D27">
      <w:rPr>
        <w:rFonts w:cs="David"/>
        <w:sz w:val="14"/>
        <w:szCs w:val="14"/>
        <w:rtl/>
      </w:rPr>
      <w:fldChar w:fldCharType="begin"/>
    </w:r>
    <w:r w:rsidR="00040B63" w:rsidRPr="00935D27">
      <w:rPr>
        <w:rFonts w:cs="David"/>
        <w:sz w:val="14"/>
        <w:szCs w:val="14"/>
        <w:rtl/>
      </w:rPr>
      <w:instrText xml:space="preserve"> </w:instrText>
    </w:r>
    <w:r w:rsidR="00040B63" w:rsidRPr="00935D27">
      <w:rPr>
        <w:rFonts w:cs="David"/>
        <w:sz w:val="14"/>
        <w:szCs w:val="14"/>
      </w:rPr>
      <w:instrText>PAGE   \* MERGEFORMAT</w:instrText>
    </w:r>
    <w:r w:rsidR="00040B63" w:rsidRPr="00935D27">
      <w:rPr>
        <w:rFonts w:cs="David"/>
        <w:sz w:val="14"/>
        <w:szCs w:val="14"/>
        <w:rtl/>
      </w:rPr>
      <w:instrText xml:space="preserve"> </w:instrText>
    </w:r>
    <w:r w:rsidRPr="00935D27">
      <w:rPr>
        <w:rFonts w:cs="David"/>
        <w:sz w:val="14"/>
        <w:szCs w:val="14"/>
        <w:rtl/>
      </w:rPr>
      <w:fldChar w:fldCharType="separate"/>
    </w:r>
    <w:r w:rsidR="00087BD3">
      <w:rPr>
        <w:rFonts w:cs="David"/>
        <w:noProof/>
        <w:sz w:val="14"/>
        <w:szCs w:val="14"/>
        <w:rtl/>
      </w:rPr>
      <w:t>2</w:t>
    </w:r>
    <w:r w:rsidRPr="00935D27">
      <w:rPr>
        <w:rFonts w:cs="David"/>
        <w:sz w:val="14"/>
        <w:szCs w:val="14"/>
        <w:rtl/>
      </w:rPr>
      <w:fldChar w:fldCharType="end"/>
    </w:r>
    <w:r w:rsidR="00040B63" w:rsidRPr="00935D27">
      <w:rPr>
        <w:rFonts w:cs="David" w:hint="cs"/>
        <w:sz w:val="14"/>
        <w:szCs w:val="14"/>
        <w:rtl/>
      </w:rPr>
      <w:t>-</w:t>
    </w:r>
  </w:p>
  <w:p w:rsidR="00040B63" w:rsidRDefault="00040B63" w:rsidP="0070082B">
    <w:pPr>
      <w:pStyle w:val="aa"/>
      <w:rPr>
        <w:rFonts w:cs="David"/>
        <w:sz w:val="20"/>
        <w:szCs w:val="20"/>
        <w:u w:val="single"/>
        <w:rtl/>
      </w:rPr>
    </w:pPr>
  </w:p>
  <w:p w:rsidR="00040B63" w:rsidRPr="00CA4F95" w:rsidRDefault="00040B63" w:rsidP="00CA4F95">
    <w:pPr>
      <w:pStyle w:val="aa"/>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sidR="00CA4F95">
      <w:rPr>
        <w:rFonts w:cs="David" w:hint="cs"/>
        <w:sz w:val="18"/>
        <w:szCs w:val="18"/>
        <w:u w:val="single"/>
        <w:rtl/>
      </w:rPr>
      <w:t xml:space="preserve">                      </w:t>
    </w:r>
    <w:r w:rsidRPr="00CA4F95">
      <w:rPr>
        <w:rFonts w:cs="David" w:hint="cs"/>
        <w:sz w:val="18"/>
        <w:szCs w:val="18"/>
        <w:u w:val="single"/>
        <w:rtl/>
      </w:rPr>
      <w:t xml:space="preserve">                            החלטות ועדת שרים</w:t>
    </w:r>
  </w:p>
  <w:p w:rsidR="00040B63" w:rsidRPr="00CA4F95" w:rsidRDefault="00040B63" w:rsidP="00EB1B8F">
    <w:pPr>
      <w:pStyle w:val="aa"/>
      <w:jc w:val="both"/>
      <w:rPr>
        <w:rFonts w:cs="David"/>
        <w:sz w:val="18"/>
        <w:szCs w:val="18"/>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6C" w:rsidRDefault="00681F6C">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0AA"/>
    <w:multiLevelType w:val="hybridMultilevel"/>
    <w:tmpl w:val="4AD42CAE"/>
    <w:lvl w:ilvl="0" w:tplc="0409000F">
      <w:start w:val="11"/>
      <w:numFmt w:val="decimal"/>
      <w:lvlText w:val="%1."/>
      <w:lvlJc w:val="left"/>
      <w:pPr>
        <w:tabs>
          <w:tab w:val="num" w:pos="1854"/>
        </w:tabs>
        <w:ind w:left="1854" w:right="1854" w:hanging="360"/>
      </w:pPr>
      <w:rPr>
        <w:rFonts w:hint="default"/>
      </w:rPr>
    </w:lvl>
    <w:lvl w:ilvl="1" w:tplc="04090019" w:tentative="1">
      <w:start w:val="1"/>
      <w:numFmt w:val="lowerLetter"/>
      <w:lvlText w:val="%2."/>
      <w:lvlJc w:val="left"/>
      <w:pPr>
        <w:tabs>
          <w:tab w:val="num" w:pos="2574"/>
        </w:tabs>
        <w:ind w:left="2574" w:right="2574" w:hanging="360"/>
      </w:pPr>
    </w:lvl>
    <w:lvl w:ilvl="2" w:tplc="0409001B" w:tentative="1">
      <w:start w:val="1"/>
      <w:numFmt w:val="lowerRoman"/>
      <w:lvlText w:val="%3."/>
      <w:lvlJc w:val="right"/>
      <w:pPr>
        <w:tabs>
          <w:tab w:val="num" w:pos="3294"/>
        </w:tabs>
        <w:ind w:left="3294" w:right="3294" w:hanging="180"/>
      </w:pPr>
    </w:lvl>
    <w:lvl w:ilvl="3" w:tplc="0409000F" w:tentative="1">
      <w:start w:val="1"/>
      <w:numFmt w:val="decimal"/>
      <w:lvlText w:val="%4."/>
      <w:lvlJc w:val="left"/>
      <w:pPr>
        <w:tabs>
          <w:tab w:val="num" w:pos="4014"/>
        </w:tabs>
        <w:ind w:left="4014" w:right="4014" w:hanging="360"/>
      </w:pPr>
    </w:lvl>
    <w:lvl w:ilvl="4" w:tplc="04090019" w:tentative="1">
      <w:start w:val="1"/>
      <w:numFmt w:val="lowerLetter"/>
      <w:lvlText w:val="%5."/>
      <w:lvlJc w:val="left"/>
      <w:pPr>
        <w:tabs>
          <w:tab w:val="num" w:pos="4734"/>
        </w:tabs>
        <w:ind w:left="4734" w:right="4734" w:hanging="360"/>
      </w:pPr>
    </w:lvl>
    <w:lvl w:ilvl="5" w:tplc="0409001B" w:tentative="1">
      <w:start w:val="1"/>
      <w:numFmt w:val="lowerRoman"/>
      <w:lvlText w:val="%6."/>
      <w:lvlJc w:val="right"/>
      <w:pPr>
        <w:tabs>
          <w:tab w:val="num" w:pos="5454"/>
        </w:tabs>
        <w:ind w:left="5454" w:right="5454" w:hanging="180"/>
      </w:pPr>
    </w:lvl>
    <w:lvl w:ilvl="6" w:tplc="0409000F" w:tentative="1">
      <w:start w:val="1"/>
      <w:numFmt w:val="decimal"/>
      <w:lvlText w:val="%7."/>
      <w:lvlJc w:val="left"/>
      <w:pPr>
        <w:tabs>
          <w:tab w:val="num" w:pos="6174"/>
        </w:tabs>
        <w:ind w:left="6174" w:right="6174" w:hanging="360"/>
      </w:pPr>
    </w:lvl>
    <w:lvl w:ilvl="7" w:tplc="04090019" w:tentative="1">
      <w:start w:val="1"/>
      <w:numFmt w:val="lowerLetter"/>
      <w:lvlText w:val="%8."/>
      <w:lvlJc w:val="left"/>
      <w:pPr>
        <w:tabs>
          <w:tab w:val="num" w:pos="6894"/>
        </w:tabs>
        <w:ind w:left="6894" w:right="6894" w:hanging="360"/>
      </w:pPr>
    </w:lvl>
    <w:lvl w:ilvl="8" w:tplc="0409001B" w:tentative="1">
      <w:start w:val="1"/>
      <w:numFmt w:val="lowerRoman"/>
      <w:lvlText w:val="%9."/>
      <w:lvlJc w:val="right"/>
      <w:pPr>
        <w:tabs>
          <w:tab w:val="num" w:pos="7614"/>
        </w:tabs>
        <w:ind w:left="7614" w:right="7614" w:hanging="180"/>
      </w:pPr>
    </w:lvl>
  </w:abstractNum>
  <w:abstractNum w:abstractNumId="1">
    <w:nsid w:val="697E5B54"/>
    <w:multiLevelType w:val="hybridMultilevel"/>
    <w:tmpl w:val="FA02B5FE"/>
    <w:lvl w:ilvl="0" w:tplc="8B7EDBB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characterSpacingControl w:val="doNotCompress"/>
  <w:hdrShapeDefaults>
    <o:shapedefaults v:ext="edit" spidmax="31745"/>
  </w:hdrShapeDefaults>
  <w:footnotePr>
    <w:footnote w:id="0"/>
    <w:footnote w:id="1"/>
  </w:footnotePr>
  <w:endnotePr>
    <w:endnote w:id="0"/>
    <w:endnote w:id="1"/>
  </w:endnotePr>
  <w:compat/>
  <w:rsids>
    <w:rsidRoot w:val="00FA5533"/>
    <w:rsid w:val="00040B63"/>
    <w:rsid w:val="000667F2"/>
    <w:rsid w:val="00066938"/>
    <w:rsid w:val="00072B93"/>
    <w:rsid w:val="00080C1D"/>
    <w:rsid w:val="00087BD3"/>
    <w:rsid w:val="000B0090"/>
    <w:rsid w:val="000B585A"/>
    <w:rsid w:val="000B6548"/>
    <w:rsid w:val="000B73AC"/>
    <w:rsid w:val="000E146B"/>
    <w:rsid w:val="000F33CF"/>
    <w:rsid w:val="000F7D35"/>
    <w:rsid w:val="0012528B"/>
    <w:rsid w:val="00125B6B"/>
    <w:rsid w:val="001361DB"/>
    <w:rsid w:val="0013646F"/>
    <w:rsid w:val="0015787A"/>
    <w:rsid w:val="00165755"/>
    <w:rsid w:val="00190B87"/>
    <w:rsid w:val="001B4679"/>
    <w:rsid w:val="001B7AE3"/>
    <w:rsid w:val="001E6F22"/>
    <w:rsid w:val="001F4C0B"/>
    <w:rsid w:val="00226707"/>
    <w:rsid w:val="002479B4"/>
    <w:rsid w:val="00273A4A"/>
    <w:rsid w:val="00273C66"/>
    <w:rsid w:val="00285602"/>
    <w:rsid w:val="002C46D6"/>
    <w:rsid w:val="002F08DB"/>
    <w:rsid w:val="002F6EEF"/>
    <w:rsid w:val="00307193"/>
    <w:rsid w:val="003160CA"/>
    <w:rsid w:val="00322038"/>
    <w:rsid w:val="00326003"/>
    <w:rsid w:val="00334C6D"/>
    <w:rsid w:val="00342DD4"/>
    <w:rsid w:val="00343BA2"/>
    <w:rsid w:val="003518E1"/>
    <w:rsid w:val="00361A4E"/>
    <w:rsid w:val="003701F2"/>
    <w:rsid w:val="0038194E"/>
    <w:rsid w:val="003C2B3B"/>
    <w:rsid w:val="003E2E9F"/>
    <w:rsid w:val="003F1649"/>
    <w:rsid w:val="00410A72"/>
    <w:rsid w:val="00420EEC"/>
    <w:rsid w:val="00481F0E"/>
    <w:rsid w:val="004B29BE"/>
    <w:rsid w:val="004B47A3"/>
    <w:rsid w:val="004E280F"/>
    <w:rsid w:val="00517D1B"/>
    <w:rsid w:val="005217D9"/>
    <w:rsid w:val="005309E8"/>
    <w:rsid w:val="00531E1E"/>
    <w:rsid w:val="00540358"/>
    <w:rsid w:val="00554662"/>
    <w:rsid w:val="00580C1F"/>
    <w:rsid w:val="0058150A"/>
    <w:rsid w:val="005954A8"/>
    <w:rsid w:val="005B23BB"/>
    <w:rsid w:val="005B5AC0"/>
    <w:rsid w:val="005C388B"/>
    <w:rsid w:val="005F506D"/>
    <w:rsid w:val="00642675"/>
    <w:rsid w:val="00672F34"/>
    <w:rsid w:val="00673F45"/>
    <w:rsid w:val="00681F6C"/>
    <w:rsid w:val="006822C5"/>
    <w:rsid w:val="006B1A3D"/>
    <w:rsid w:val="006D1E97"/>
    <w:rsid w:val="006E1AF3"/>
    <w:rsid w:val="006F74BB"/>
    <w:rsid w:val="006F773A"/>
    <w:rsid w:val="0070082B"/>
    <w:rsid w:val="007061C9"/>
    <w:rsid w:val="00706936"/>
    <w:rsid w:val="00720717"/>
    <w:rsid w:val="00721EE4"/>
    <w:rsid w:val="00724D54"/>
    <w:rsid w:val="007558BA"/>
    <w:rsid w:val="0076438A"/>
    <w:rsid w:val="007E7A90"/>
    <w:rsid w:val="00805933"/>
    <w:rsid w:val="008162D3"/>
    <w:rsid w:val="00816C63"/>
    <w:rsid w:val="00817B37"/>
    <w:rsid w:val="008821B0"/>
    <w:rsid w:val="0089779B"/>
    <w:rsid w:val="008B040D"/>
    <w:rsid w:val="008B4F4A"/>
    <w:rsid w:val="008B518F"/>
    <w:rsid w:val="008D3317"/>
    <w:rsid w:val="008F1B8F"/>
    <w:rsid w:val="009137C1"/>
    <w:rsid w:val="00917942"/>
    <w:rsid w:val="00935D27"/>
    <w:rsid w:val="00942B6E"/>
    <w:rsid w:val="009629E0"/>
    <w:rsid w:val="009637F9"/>
    <w:rsid w:val="00983D04"/>
    <w:rsid w:val="009906B2"/>
    <w:rsid w:val="009C1B89"/>
    <w:rsid w:val="009C6C1C"/>
    <w:rsid w:val="009D46EE"/>
    <w:rsid w:val="00A06899"/>
    <w:rsid w:val="00A343B8"/>
    <w:rsid w:val="00A34AD6"/>
    <w:rsid w:val="00A75DBA"/>
    <w:rsid w:val="00AA729B"/>
    <w:rsid w:val="00AB2E80"/>
    <w:rsid w:val="00AC329E"/>
    <w:rsid w:val="00AE1202"/>
    <w:rsid w:val="00AF2CA2"/>
    <w:rsid w:val="00B30559"/>
    <w:rsid w:val="00B44F7C"/>
    <w:rsid w:val="00B55FAE"/>
    <w:rsid w:val="00B659AF"/>
    <w:rsid w:val="00BA0477"/>
    <w:rsid w:val="00BA4F8F"/>
    <w:rsid w:val="00BB3240"/>
    <w:rsid w:val="00BB6057"/>
    <w:rsid w:val="00BB7D96"/>
    <w:rsid w:val="00BE2073"/>
    <w:rsid w:val="00BF54D3"/>
    <w:rsid w:val="00C01A22"/>
    <w:rsid w:val="00C34FB0"/>
    <w:rsid w:val="00C4507C"/>
    <w:rsid w:val="00C57B3C"/>
    <w:rsid w:val="00C66DA9"/>
    <w:rsid w:val="00C8637E"/>
    <w:rsid w:val="00C9392D"/>
    <w:rsid w:val="00C94E80"/>
    <w:rsid w:val="00CA4F95"/>
    <w:rsid w:val="00CA7520"/>
    <w:rsid w:val="00CB1498"/>
    <w:rsid w:val="00CD05AA"/>
    <w:rsid w:val="00CD639F"/>
    <w:rsid w:val="00D01D83"/>
    <w:rsid w:val="00D04339"/>
    <w:rsid w:val="00D250F2"/>
    <w:rsid w:val="00D44582"/>
    <w:rsid w:val="00D46BAE"/>
    <w:rsid w:val="00D533DA"/>
    <w:rsid w:val="00D95E60"/>
    <w:rsid w:val="00DB3448"/>
    <w:rsid w:val="00DC26B1"/>
    <w:rsid w:val="00DF0268"/>
    <w:rsid w:val="00E00538"/>
    <w:rsid w:val="00E07D87"/>
    <w:rsid w:val="00E11192"/>
    <w:rsid w:val="00E14CCD"/>
    <w:rsid w:val="00E37EA2"/>
    <w:rsid w:val="00E46F10"/>
    <w:rsid w:val="00E55E33"/>
    <w:rsid w:val="00E82662"/>
    <w:rsid w:val="00E905AB"/>
    <w:rsid w:val="00EA7E89"/>
    <w:rsid w:val="00EB0112"/>
    <w:rsid w:val="00EB1B8F"/>
    <w:rsid w:val="00EC77F4"/>
    <w:rsid w:val="00EF1253"/>
    <w:rsid w:val="00EF4768"/>
    <w:rsid w:val="00EF7A6E"/>
    <w:rsid w:val="00F06691"/>
    <w:rsid w:val="00F3128D"/>
    <w:rsid w:val="00F32459"/>
    <w:rsid w:val="00F71D66"/>
    <w:rsid w:val="00FA0D21"/>
    <w:rsid w:val="00FA5533"/>
    <w:rsid w:val="00FE4C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2B"/>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250F2"/>
    <w:pPr>
      <w:keepNext/>
      <w:widowControl w:val="0"/>
      <w:jc w:val="center"/>
      <w:outlineLvl w:val="0"/>
    </w:pPr>
    <w:rPr>
      <w:rFonts w:cs="David"/>
      <w:b/>
      <w:bCs/>
      <w:i/>
      <w:iCs/>
      <w:kern w:val="32"/>
      <w:sz w:val="36"/>
      <w:szCs w:val="36"/>
    </w:rPr>
  </w:style>
  <w:style w:type="paragraph" w:styleId="2">
    <w:name w:val="heading 2"/>
    <w:basedOn w:val="a"/>
    <w:next w:val="a"/>
    <w:link w:val="20"/>
    <w:uiPriority w:val="9"/>
    <w:unhideWhenUsed/>
    <w:qFormat/>
    <w:rsid w:val="003160CA"/>
    <w:pPr>
      <w:keepNext/>
      <w:keepLines/>
      <w:pBdr>
        <w:bottom w:val="single" w:sz="4" w:space="1" w:color="auto"/>
      </w:pBdr>
      <w:spacing w:before="200" w:line="276" w:lineRule="auto"/>
      <w:outlineLvl w:val="1"/>
    </w:pPr>
    <w:rPr>
      <w:rFonts w:asciiTheme="minorBidi" w:eastAsiaTheme="majorEastAsia" w:hAnsiTheme="minorBidi" w:cstheme="minorBidi"/>
      <w:b/>
      <w:bCs/>
      <w:i/>
      <w:iCs/>
      <w:color w:val="AAC7AC" w:themeColor="accent1" w:themeTint="99"/>
      <w:sz w:val="32"/>
      <w:szCs w:val="32"/>
      <w:u w:val="doub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250F2"/>
    <w:rPr>
      <w:rFonts w:ascii="Times New Roman" w:eastAsia="Times New Roman" w:hAnsi="Times New Roman" w:cs="David"/>
      <w:b/>
      <w:bCs/>
      <w:i/>
      <w:iCs/>
      <w:kern w:val="32"/>
      <w:sz w:val="36"/>
      <w:szCs w:val="36"/>
    </w:rPr>
  </w:style>
  <w:style w:type="character" w:customStyle="1" w:styleId="20">
    <w:name w:val="כותרת 2 תו"/>
    <w:basedOn w:val="a0"/>
    <w:link w:val="2"/>
    <w:uiPriority w:val="9"/>
    <w:rsid w:val="003160CA"/>
    <w:rPr>
      <w:rFonts w:asciiTheme="minorBidi" w:eastAsiaTheme="majorEastAsia" w:hAnsiTheme="minorBidi"/>
      <w:b/>
      <w:bCs/>
      <w:i/>
      <w:iCs/>
      <w:color w:val="AAC7AC" w:themeColor="accent1" w:themeTint="99"/>
      <w:sz w:val="32"/>
      <w:szCs w:val="32"/>
      <w:u w:val="double"/>
    </w:rPr>
  </w:style>
  <w:style w:type="paragraph" w:styleId="a3">
    <w:name w:val="Title"/>
    <w:basedOn w:val="a"/>
    <w:next w:val="a"/>
    <w:link w:val="a4"/>
    <w:uiPriority w:val="10"/>
    <w:qFormat/>
    <w:rsid w:val="003160CA"/>
    <w:pPr>
      <w:pBdr>
        <w:top w:val="single" w:sz="36" w:space="1" w:color="75A675" w:themeColor="accent2" w:themeShade="BF"/>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a4">
    <w:name w:val="תואר תו"/>
    <w:basedOn w:val="a0"/>
    <w:link w:val="a3"/>
    <w:uiPriority w:val="10"/>
    <w:rsid w:val="003160CA"/>
    <w:rPr>
      <w:rFonts w:asciiTheme="majorHAnsi" w:eastAsiaTheme="majorEastAsia" w:hAnsiTheme="majorHAnsi" w:cstheme="majorBidi"/>
      <w:color w:val="4D4F3F" w:themeColor="text2" w:themeShade="BF"/>
      <w:spacing w:val="5"/>
      <w:kern w:val="28"/>
      <w:sz w:val="52"/>
      <w:szCs w:val="52"/>
    </w:rPr>
  </w:style>
  <w:style w:type="paragraph" w:styleId="a5">
    <w:name w:val="No Spacing"/>
    <w:uiPriority w:val="1"/>
    <w:qFormat/>
    <w:rsid w:val="003160CA"/>
    <w:pPr>
      <w:bidi/>
      <w:spacing w:after="0" w:line="240" w:lineRule="auto"/>
    </w:pPr>
  </w:style>
  <w:style w:type="paragraph" w:styleId="a6">
    <w:name w:val="List Paragraph"/>
    <w:basedOn w:val="a"/>
    <w:uiPriority w:val="34"/>
    <w:qFormat/>
    <w:rsid w:val="003160CA"/>
    <w:pPr>
      <w:spacing w:after="200" w:line="276" w:lineRule="auto"/>
      <w:ind w:left="720"/>
      <w:contextualSpacing/>
    </w:pPr>
    <w:rPr>
      <w:rFonts w:asciiTheme="minorHAnsi" w:eastAsiaTheme="minorHAnsi" w:hAnsiTheme="minorHAnsi" w:cstheme="minorBidi"/>
      <w:sz w:val="22"/>
      <w:szCs w:val="22"/>
    </w:rPr>
  </w:style>
  <w:style w:type="character" w:styleId="a7">
    <w:name w:val="Intense Emphasis"/>
    <w:basedOn w:val="a0"/>
    <w:uiPriority w:val="21"/>
    <w:qFormat/>
    <w:rsid w:val="003160CA"/>
    <w:rPr>
      <w:b/>
      <w:bCs/>
      <w:i/>
      <w:iCs/>
      <w:color w:val="72A376" w:themeColor="accent1"/>
    </w:rPr>
  </w:style>
  <w:style w:type="character" w:styleId="a8">
    <w:name w:val="Subtle Reference"/>
    <w:basedOn w:val="a0"/>
    <w:uiPriority w:val="31"/>
    <w:qFormat/>
    <w:rsid w:val="003160CA"/>
    <w:rPr>
      <w:smallCaps/>
      <w:color w:val="B0CCB0" w:themeColor="accent2"/>
      <w:u w:val="single"/>
    </w:rPr>
  </w:style>
  <w:style w:type="character" w:styleId="a9">
    <w:name w:val="Book Title"/>
    <w:basedOn w:val="a0"/>
    <w:uiPriority w:val="33"/>
    <w:qFormat/>
    <w:rsid w:val="003160CA"/>
    <w:rPr>
      <w:b/>
      <w:bCs/>
      <w:smallCaps/>
      <w:spacing w:val="5"/>
    </w:rPr>
  </w:style>
  <w:style w:type="paragraph" w:styleId="aa">
    <w:name w:val="header"/>
    <w:basedOn w:val="a"/>
    <w:link w:val="ab"/>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b">
    <w:name w:val="כותרת עליונה תו"/>
    <w:basedOn w:val="a0"/>
    <w:link w:val="aa"/>
    <w:uiPriority w:val="99"/>
    <w:rsid w:val="0070082B"/>
  </w:style>
  <w:style w:type="paragraph" w:styleId="ac">
    <w:name w:val="footer"/>
    <w:basedOn w:val="a"/>
    <w:link w:val="ad"/>
    <w:uiPriority w:val="99"/>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d">
    <w:name w:val="כותרת תחתונה תו"/>
    <w:basedOn w:val="a0"/>
    <w:link w:val="ac"/>
    <w:uiPriority w:val="99"/>
    <w:rsid w:val="0070082B"/>
  </w:style>
  <w:style w:type="paragraph" w:styleId="ae">
    <w:name w:val="Balloon Text"/>
    <w:basedOn w:val="a"/>
    <w:link w:val="af"/>
    <w:uiPriority w:val="99"/>
    <w:semiHidden/>
    <w:unhideWhenUsed/>
    <w:rsid w:val="0070082B"/>
    <w:rPr>
      <w:rFonts w:ascii="Tahoma" w:eastAsiaTheme="minorHAnsi" w:hAnsi="Tahoma" w:cs="Tahoma"/>
      <w:sz w:val="16"/>
      <w:szCs w:val="16"/>
    </w:rPr>
  </w:style>
  <w:style w:type="character" w:customStyle="1" w:styleId="af">
    <w:name w:val="טקסט בלונים תו"/>
    <w:basedOn w:val="a0"/>
    <w:link w:val="ae"/>
    <w:uiPriority w:val="99"/>
    <w:semiHidden/>
    <w:rsid w:val="0070082B"/>
    <w:rPr>
      <w:rFonts w:ascii="Tahoma" w:hAnsi="Tahoma" w:cs="Tahoma"/>
      <w:sz w:val="16"/>
      <w:szCs w:val="16"/>
    </w:rPr>
  </w:style>
  <w:style w:type="character" w:customStyle="1" w:styleId="21">
    <w:name w:val="תו תו2"/>
    <w:basedOn w:val="a0"/>
    <w:rsid w:val="0070082B"/>
    <w:rPr>
      <w:b/>
      <w:bCs/>
      <w:i/>
      <w:iCs/>
      <w:sz w:val="26"/>
      <w:szCs w:val="26"/>
      <w:lang w:val="en-US" w:eastAsia="en-US" w:bidi="he-IL"/>
    </w:rPr>
  </w:style>
  <w:style w:type="character" w:styleId="af0">
    <w:name w:val="Placeholder Text"/>
    <w:basedOn w:val="a0"/>
    <w:uiPriority w:val="99"/>
    <w:semiHidden/>
    <w:rsid w:val="0070082B"/>
    <w:rPr>
      <w:color w:val="808080"/>
    </w:rPr>
  </w:style>
  <w:style w:type="paragraph" w:customStyle="1" w:styleId="af1">
    <w:name w:val="כותרת מאמר"/>
    <w:basedOn w:val="a"/>
    <w:uiPriority w:val="99"/>
    <w:rsid w:val="00087BD3"/>
    <w:pPr>
      <w:suppressAutoHyphens/>
      <w:autoSpaceDE w:val="0"/>
      <w:autoSpaceDN w:val="0"/>
      <w:adjustRightInd w:val="0"/>
      <w:spacing w:line="340" w:lineRule="atLeast"/>
      <w:jc w:val="center"/>
      <w:textAlignment w:val="center"/>
    </w:pPr>
    <w:rPr>
      <w:rFonts w:ascii="David" w:eastAsiaTheme="minorHAnsi" w:hAnsiTheme="minorHAnsi" w:cs="David"/>
      <w:b/>
      <w:bCs/>
      <w:color w:val="000000"/>
      <w:sz w:val="36"/>
      <w:szCs w:val="36"/>
    </w:rPr>
  </w:style>
  <w:style w:type="paragraph" w:customStyle="1" w:styleId="60">
    <w:name w:val="דוח 60א"/>
    <w:basedOn w:val="a"/>
    <w:uiPriority w:val="99"/>
    <w:rsid w:val="00087BD3"/>
    <w:pPr>
      <w:suppressAutoHyphens/>
      <w:autoSpaceDE w:val="0"/>
      <w:autoSpaceDN w:val="0"/>
      <w:adjustRightInd w:val="0"/>
      <w:spacing w:line="288" w:lineRule="auto"/>
      <w:jc w:val="center"/>
      <w:textAlignment w:val="center"/>
    </w:pPr>
    <w:rPr>
      <w:rFonts w:ascii="David" w:eastAsiaTheme="minorHAnsi" w:hAnsiTheme="minorHAnsi" w:cs="David"/>
      <w:b/>
      <w:bCs/>
      <w:color w:val="000000"/>
      <w:sz w:val="28"/>
      <w:szCs w:val="28"/>
    </w:rPr>
  </w:style>
  <w:style w:type="paragraph" w:customStyle="1" w:styleId="af2">
    <w:name w:val="החלטה מס'"/>
    <w:basedOn w:val="a"/>
    <w:uiPriority w:val="99"/>
    <w:rsid w:val="00087BD3"/>
    <w:pPr>
      <w:autoSpaceDE w:val="0"/>
      <w:autoSpaceDN w:val="0"/>
      <w:adjustRightInd w:val="0"/>
      <w:spacing w:after="283" w:line="288" w:lineRule="auto"/>
      <w:textAlignment w:val="center"/>
    </w:pPr>
    <w:rPr>
      <w:rFonts w:ascii="David" w:eastAsiaTheme="minorHAnsi" w:hAnsiTheme="minorHAnsi" w:cs="David"/>
      <w:b/>
      <w:bCs/>
      <w:color w:val="000000"/>
      <w:sz w:val="32"/>
      <w:szCs w:val="32"/>
    </w:rPr>
  </w:style>
  <w:style w:type="paragraph" w:customStyle="1" w:styleId="af3">
    <w:name w:val="מחליטים"/>
    <w:basedOn w:val="a"/>
    <w:uiPriority w:val="99"/>
    <w:rsid w:val="00087BD3"/>
    <w:pPr>
      <w:autoSpaceDE w:val="0"/>
      <w:autoSpaceDN w:val="0"/>
      <w:adjustRightInd w:val="0"/>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f4">
    <w:name w:val="המשרד לבטחון פנים"/>
    <w:basedOn w:val="a"/>
    <w:next w:val="a"/>
    <w:uiPriority w:val="99"/>
    <w:rsid w:val="00087BD3"/>
    <w:pPr>
      <w:suppressAutoHyphens/>
      <w:autoSpaceDE w:val="0"/>
      <w:autoSpaceDN w:val="0"/>
      <w:adjustRightInd w:val="0"/>
      <w:spacing w:after="113" w:line="288" w:lineRule="auto"/>
      <w:jc w:val="both"/>
      <w:textAlignment w:val="center"/>
    </w:pPr>
    <w:rPr>
      <w:rFonts w:ascii="David" w:eastAsiaTheme="minorHAnsi" w:hAnsiTheme="minorHAnsi" w:cs="David"/>
      <w:b/>
      <w:bCs/>
      <w:color w:val="000000"/>
    </w:rPr>
  </w:style>
</w:styles>
</file>

<file path=word/webSettings.xml><?xml version="1.0" encoding="utf-8"?>
<w:webSettings xmlns:r="http://schemas.openxmlformats.org/officeDocument/2006/relationships" xmlns:w="http://schemas.openxmlformats.org/wordprocessingml/2006/main">
  <w:divs>
    <w:div w:id="8897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בית יציקה">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78318-0F3F-4DF0-A79A-98830975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1691</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2010-10-14T12:03:00Z</cp:lastPrinted>
  <dcterms:created xsi:type="dcterms:W3CDTF">2010-12-09T15:14:00Z</dcterms:created>
  <dcterms:modified xsi:type="dcterms:W3CDTF">2010-12-09T15:14:00Z</dcterms:modified>
</cp:coreProperties>
</file>