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858" w:rsidRDefault="006C3858" w:rsidP="00A407A6">
      <w:pPr>
        <w:jc w:val="center"/>
        <w:rPr>
          <w:rFonts w:hint="cs"/>
          <w:b/>
          <w:bCs/>
          <w:sz w:val="32"/>
          <w:szCs w:val="32"/>
          <w:rtl/>
        </w:rPr>
      </w:pPr>
    </w:p>
    <w:p w:rsidR="002048FE" w:rsidRPr="002048FE" w:rsidRDefault="002048FE" w:rsidP="002048FE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2048FE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משרד האוצר</w:t>
      </w:r>
    </w:p>
    <w:p w:rsidR="002048FE" w:rsidRPr="002048FE" w:rsidRDefault="002048FE" w:rsidP="002048FE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2048FE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טיפול ועדת הפשרות בהסכמי פשרה בהליכים משפטיים נגד משרד האוצר</w:t>
      </w:r>
    </w:p>
    <w:p w:rsidR="002048FE" w:rsidRPr="002048FE" w:rsidRDefault="002048FE" w:rsidP="002048FE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2048FE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האוצר; משרד המשפטים</w:t>
      </w:r>
    </w:p>
    <w:p w:rsidR="002048FE" w:rsidRPr="002048FE" w:rsidRDefault="002048FE" w:rsidP="002048FE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2048FE">
        <w:rPr>
          <w:rFonts w:ascii="David" w:eastAsiaTheme="minorHAnsi" w:hAnsiTheme="minorHAnsi" w:hint="cs"/>
          <w:color w:val="000000"/>
          <w:rtl/>
        </w:rPr>
        <w:t xml:space="preserve">ליקויים 1,3-5 תוקנו. ראה הערות רה"מ </w:t>
      </w:r>
      <w:proofErr w:type="spellStart"/>
      <w:r w:rsidRPr="002048FE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2048FE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2048F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2048FE">
        <w:rPr>
          <w:rFonts w:ascii="David" w:eastAsiaTheme="minorHAnsi" w:hAnsiTheme="minorHAnsi" w:hint="cs"/>
          <w:color w:val="000000"/>
          <w:rtl/>
        </w:rPr>
        <w:t>' 42-43.</w:t>
      </w:r>
    </w:p>
    <w:p w:rsidR="002048FE" w:rsidRPr="002048FE" w:rsidRDefault="002048FE" w:rsidP="002048F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2048FE" w:rsidRPr="002048FE" w:rsidRDefault="002048FE" w:rsidP="002048F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2048F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2048FE" w:rsidRPr="002048FE" w:rsidRDefault="002048FE" w:rsidP="002048FE">
      <w:pPr>
        <w:suppressAutoHyphens/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  <w:rtl/>
        </w:rPr>
      </w:pPr>
      <w:r w:rsidRPr="002048FE">
        <w:rPr>
          <w:rFonts w:ascii="David" w:eastAsiaTheme="minorHAnsi" w:hAnsiTheme="minorHAnsi" w:hint="cs"/>
          <w:color w:val="000000"/>
          <w:rtl/>
        </w:rPr>
        <w:t xml:space="preserve">2. </w:t>
      </w:r>
      <w:r w:rsidRPr="002048FE">
        <w:rPr>
          <w:rFonts w:ascii="David" w:eastAsiaTheme="minorHAnsi" w:hAnsiTheme="minorHAnsi"/>
          <w:color w:val="000000"/>
          <w:rtl/>
        </w:rPr>
        <w:tab/>
      </w:r>
      <w:r w:rsidRPr="002048FE">
        <w:rPr>
          <w:rFonts w:ascii="David" w:eastAsiaTheme="minorHAnsi" w:hAnsiTheme="minorHAnsi" w:hint="cs"/>
          <w:color w:val="000000"/>
          <w:rtl/>
        </w:rPr>
        <w:t>אין בוועדת הפשרות נציג של נציבות שירות המדינה, ואין הנחיה המחייבת את קבלת התייחסותה של הנציבות להסכם הפשרה המובא לאישור במקרים שבהם ההליכים המשפטיים הם סביב עניינים שבתחום עיסוקה.</w:t>
      </w:r>
    </w:p>
    <w:p w:rsidR="002048FE" w:rsidRPr="002048FE" w:rsidRDefault="002048FE" w:rsidP="002048FE">
      <w:pPr>
        <w:autoSpaceDE w:val="0"/>
        <w:autoSpaceDN w:val="0"/>
        <w:adjustRightInd w:val="0"/>
        <w:spacing w:line="288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</w:p>
    <w:p w:rsidR="002048FE" w:rsidRPr="002048FE" w:rsidRDefault="002048FE" w:rsidP="002048F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2048F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2048FE" w:rsidRPr="002048FE" w:rsidRDefault="002048FE" w:rsidP="002048F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2048FE">
        <w:rPr>
          <w:rFonts w:ascii="David" w:eastAsiaTheme="minorHAnsi" w:hAnsiTheme="minorHAnsi" w:hint="cs"/>
          <w:b/>
          <w:bCs/>
          <w:color w:val="000000"/>
          <w:rtl/>
        </w:rPr>
        <w:t>משרד האוצר</w:t>
      </w:r>
    </w:p>
    <w:p w:rsidR="002048FE" w:rsidRPr="002048FE" w:rsidRDefault="002048FE" w:rsidP="002048FE">
      <w:pPr>
        <w:autoSpaceDE w:val="0"/>
        <w:autoSpaceDN w:val="0"/>
        <w:adjustRightInd w:val="0"/>
        <w:spacing w:line="288" w:lineRule="atLeast"/>
        <w:ind w:left="0" w:firstLine="0"/>
        <w:textAlignment w:val="center"/>
        <w:rPr>
          <w:rFonts w:eastAsiaTheme="minorHAnsi" w:cs="Times New Roman"/>
          <w:color w:val="000000"/>
          <w:rtl/>
        </w:rPr>
      </w:pPr>
    </w:p>
    <w:p w:rsidR="002048FE" w:rsidRPr="002048FE" w:rsidRDefault="002048FE" w:rsidP="002048FE">
      <w:pPr>
        <w:autoSpaceDE w:val="0"/>
        <w:autoSpaceDN w:val="0"/>
        <w:adjustRightInd w:val="0"/>
        <w:spacing w:line="288" w:lineRule="atLeast"/>
        <w:ind w:left="1134" w:hanging="1134"/>
        <w:textAlignment w:val="center"/>
        <w:rPr>
          <w:rFonts w:ascii="David" w:eastAsiaTheme="minorHAnsi" w:hAnsiTheme="minorHAnsi"/>
          <w:color w:val="000000"/>
          <w:rtl/>
        </w:rPr>
      </w:pPr>
      <w:r w:rsidRPr="002048FE">
        <w:rPr>
          <w:rFonts w:ascii="David" w:eastAsiaTheme="minorHAnsi" w:hAnsiTheme="minorHAnsi" w:hint="cs"/>
          <w:color w:val="000000"/>
          <w:rtl/>
        </w:rPr>
        <w:t>2.</w:t>
      </w:r>
      <w:r w:rsidRPr="002048FE">
        <w:rPr>
          <w:rFonts w:ascii="David" w:eastAsiaTheme="minorHAnsi" w:hAnsiTheme="minorHAnsi"/>
          <w:color w:val="000000"/>
          <w:rtl/>
        </w:rPr>
        <w:tab/>
      </w:r>
      <w:r w:rsidRPr="002048FE">
        <w:rPr>
          <w:rFonts w:ascii="David" w:eastAsiaTheme="minorHAnsi" w:hAnsiTheme="minorHAnsi" w:hint="cs"/>
          <w:color w:val="000000"/>
          <w:rtl/>
        </w:rPr>
        <w:t xml:space="preserve">לא דווח על התקדמות בתיקון הליקוי. </w:t>
      </w:r>
    </w:p>
    <w:p w:rsidR="002048FE" w:rsidRPr="002048FE" w:rsidRDefault="002048FE" w:rsidP="002048FE">
      <w:pPr>
        <w:autoSpaceDE w:val="0"/>
        <w:autoSpaceDN w:val="0"/>
        <w:adjustRightInd w:val="0"/>
        <w:spacing w:line="288" w:lineRule="atLeast"/>
        <w:ind w:left="1134" w:hanging="1134"/>
        <w:textAlignment w:val="center"/>
        <w:rPr>
          <w:rFonts w:ascii="David" w:eastAsiaTheme="minorHAnsi" w:hAnsiTheme="minorHAnsi"/>
          <w:color w:val="000000"/>
          <w:rtl/>
        </w:rPr>
      </w:pPr>
    </w:p>
    <w:p w:rsidR="002048FE" w:rsidRPr="002048FE" w:rsidRDefault="002048FE" w:rsidP="002048F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2048F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2048FE" w:rsidRPr="002048FE" w:rsidRDefault="002048FE" w:rsidP="002048F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2048FE">
        <w:rPr>
          <w:rFonts w:ascii="David" w:eastAsiaTheme="minorHAnsi" w:hAnsiTheme="minorHAnsi" w:hint="cs"/>
          <w:b/>
          <w:bCs/>
          <w:color w:val="000000"/>
          <w:rtl/>
        </w:rPr>
        <w:t>נציבות שירות המדינה</w:t>
      </w:r>
    </w:p>
    <w:p w:rsidR="002048FE" w:rsidRPr="002048FE" w:rsidRDefault="002048FE" w:rsidP="002048FE">
      <w:pPr>
        <w:autoSpaceDE w:val="0"/>
        <w:autoSpaceDN w:val="0"/>
        <w:adjustRightInd w:val="0"/>
        <w:spacing w:line="288" w:lineRule="atLeast"/>
        <w:ind w:left="0" w:firstLine="0"/>
        <w:textAlignment w:val="center"/>
        <w:rPr>
          <w:rFonts w:eastAsiaTheme="minorHAnsi" w:cs="Times New Roman"/>
          <w:color w:val="000000"/>
          <w:rtl/>
        </w:rPr>
      </w:pPr>
    </w:p>
    <w:p w:rsidR="002048FE" w:rsidRPr="002048FE" w:rsidRDefault="002048FE" w:rsidP="002048FE">
      <w:pPr>
        <w:autoSpaceDE w:val="0"/>
        <w:autoSpaceDN w:val="0"/>
        <w:adjustRightInd w:val="0"/>
        <w:spacing w:line="288" w:lineRule="atLeast"/>
        <w:ind w:left="1134" w:hanging="1134"/>
        <w:textAlignment w:val="center"/>
        <w:rPr>
          <w:rFonts w:ascii="David" w:eastAsiaTheme="minorHAnsi" w:hAnsiTheme="minorHAnsi"/>
          <w:color w:val="000000"/>
          <w:rtl/>
        </w:rPr>
      </w:pPr>
      <w:r w:rsidRPr="002048FE">
        <w:rPr>
          <w:rFonts w:ascii="David" w:eastAsiaTheme="minorHAnsi" w:hAnsiTheme="minorHAnsi" w:hint="cs"/>
          <w:color w:val="000000"/>
          <w:rtl/>
        </w:rPr>
        <w:t>2.</w:t>
      </w:r>
      <w:r w:rsidRPr="002048FE">
        <w:rPr>
          <w:rFonts w:ascii="David" w:eastAsiaTheme="minorHAnsi" w:hAnsiTheme="minorHAnsi"/>
          <w:color w:val="000000"/>
          <w:rtl/>
        </w:rPr>
        <w:tab/>
      </w:r>
      <w:r w:rsidRPr="002048FE">
        <w:rPr>
          <w:rFonts w:ascii="David" w:eastAsiaTheme="minorHAnsi" w:hAnsiTheme="minorHAnsi" w:hint="cs"/>
          <w:color w:val="000000"/>
          <w:rtl/>
        </w:rPr>
        <w:t xml:space="preserve">לא דווח על התקדמות בתיקון הליקוי. </w:t>
      </w:r>
    </w:p>
    <w:p w:rsidR="002048FE" w:rsidRPr="002048FE" w:rsidRDefault="002048FE" w:rsidP="002048FE">
      <w:pPr>
        <w:autoSpaceDE w:val="0"/>
        <w:autoSpaceDN w:val="0"/>
        <w:adjustRightInd w:val="0"/>
        <w:spacing w:line="288" w:lineRule="atLeast"/>
        <w:ind w:left="1134" w:hanging="1134"/>
        <w:textAlignment w:val="center"/>
        <w:rPr>
          <w:rFonts w:ascii="David" w:eastAsiaTheme="minorHAnsi" w:hAnsiTheme="minorHAnsi"/>
          <w:color w:val="000000"/>
          <w:rtl/>
        </w:rPr>
      </w:pPr>
    </w:p>
    <w:p w:rsidR="002048FE" w:rsidRPr="002048FE" w:rsidRDefault="002048FE" w:rsidP="002048F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2048F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2048FE" w:rsidRPr="002048FE" w:rsidRDefault="002048FE" w:rsidP="002048F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2048FE" w:rsidRPr="002048FE" w:rsidRDefault="002048FE" w:rsidP="002048FE">
      <w:pPr>
        <w:suppressAutoHyphens/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  <w:rtl/>
        </w:rPr>
      </w:pPr>
      <w:r w:rsidRPr="002048FE">
        <w:rPr>
          <w:rFonts w:ascii="David" w:eastAsiaTheme="minorHAnsi" w:hAnsiTheme="minorHAnsi" w:hint="cs"/>
          <w:color w:val="000000"/>
          <w:rtl/>
        </w:rPr>
        <w:t>6.</w:t>
      </w:r>
      <w:r w:rsidRPr="002048FE">
        <w:rPr>
          <w:rFonts w:ascii="David" w:eastAsiaTheme="minorHAnsi" w:hAnsiTheme="minorHAnsi"/>
          <w:color w:val="000000"/>
          <w:rtl/>
        </w:rPr>
        <w:tab/>
      </w:r>
      <w:r w:rsidRPr="002048FE">
        <w:rPr>
          <w:rFonts w:ascii="David" w:eastAsiaTheme="minorHAnsi" w:hAnsiTheme="minorHAnsi" w:hint="cs"/>
          <w:color w:val="000000"/>
          <w:rtl/>
        </w:rPr>
        <w:t>לא אותר אישור של מנכ"ל המשרד להסכמי הפשרה כנדרש על פי הנחיות היועץ המשפטי לממשלה.</w:t>
      </w:r>
    </w:p>
    <w:p w:rsidR="002048FE" w:rsidRPr="002048FE" w:rsidRDefault="002048FE" w:rsidP="002048F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2048FE" w:rsidRPr="002048FE" w:rsidRDefault="002048FE" w:rsidP="002048F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2048F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2048FE" w:rsidRPr="002048FE" w:rsidRDefault="002048FE" w:rsidP="002048F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2048FE" w:rsidRPr="002048FE" w:rsidRDefault="002048FE" w:rsidP="002048FE">
      <w:pPr>
        <w:suppressAutoHyphens/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  <w:rtl/>
        </w:rPr>
      </w:pPr>
      <w:r w:rsidRPr="002048FE">
        <w:rPr>
          <w:rFonts w:ascii="David" w:eastAsiaTheme="minorHAnsi" w:hAnsiTheme="minorHAnsi" w:hint="cs"/>
          <w:color w:val="000000"/>
          <w:rtl/>
        </w:rPr>
        <w:t>7.</w:t>
      </w:r>
      <w:r w:rsidRPr="002048FE">
        <w:rPr>
          <w:rFonts w:ascii="David" w:eastAsiaTheme="minorHAnsi" w:hAnsiTheme="minorHAnsi"/>
          <w:color w:val="000000"/>
          <w:rtl/>
        </w:rPr>
        <w:tab/>
      </w:r>
      <w:r w:rsidRPr="002048FE">
        <w:rPr>
          <w:rFonts w:ascii="David" w:eastAsiaTheme="minorHAnsi" w:hAnsiTheme="minorHAnsi" w:hint="cs"/>
          <w:color w:val="000000"/>
          <w:rtl/>
        </w:rPr>
        <w:t xml:space="preserve">במספר מקרים התבקש </w:t>
      </w:r>
      <w:proofErr w:type="spellStart"/>
      <w:r w:rsidRPr="002048FE">
        <w:rPr>
          <w:rFonts w:ascii="David" w:eastAsiaTheme="minorHAnsi" w:hAnsiTheme="minorHAnsi" w:hint="cs"/>
          <w:color w:val="000000"/>
          <w:rtl/>
        </w:rPr>
        <w:t>החשכ"ל</w:t>
      </w:r>
      <w:proofErr w:type="spellEnd"/>
      <w:r w:rsidRPr="002048FE">
        <w:rPr>
          <w:rFonts w:ascii="David" w:eastAsiaTheme="minorHAnsi" w:hAnsiTheme="minorHAnsi" w:hint="cs"/>
          <w:color w:val="000000"/>
          <w:rtl/>
        </w:rPr>
        <w:t xml:space="preserve"> לאשר הסכם פשרה, ברשות המיסים, שכבר נחתם והוגש לבית המשפט.</w:t>
      </w:r>
    </w:p>
    <w:p w:rsidR="002048FE" w:rsidRPr="002048FE" w:rsidRDefault="002048FE" w:rsidP="002048FE">
      <w:pPr>
        <w:autoSpaceDE w:val="0"/>
        <w:autoSpaceDN w:val="0"/>
        <w:adjustRightInd w:val="0"/>
        <w:spacing w:line="288" w:lineRule="atLeast"/>
        <w:ind w:left="1134" w:hanging="1134"/>
        <w:textAlignment w:val="center"/>
        <w:rPr>
          <w:rFonts w:ascii="David" w:eastAsiaTheme="minorHAnsi" w:hAnsiTheme="minorHAnsi"/>
          <w:color w:val="000000"/>
          <w:rtl/>
        </w:rPr>
      </w:pPr>
    </w:p>
    <w:p w:rsidR="002048FE" w:rsidRPr="002048FE" w:rsidRDefault="002048FE" w:rsidP="002048F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2048F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2048FE" w:rsidRPr="002048FE" w:rsidRDefault="002048FE" w:rsidP="002048F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2048FE" w:rsidRPr="002048FE" w:rsidRDefault="002048FE" w:rsidP="002048FE">
      <w:pPr>
        <w:suppressAutoHyphens/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  <w:rtl/>
        </w:rPr>
      </w:pPr>
      <w:r w:rsidRPr="002048FE">
        <w:rPr>
          <w:rFonts w:ascii="David" w:eastAsiaTheme="minorHAnsi" w:hAnsiTheme="minorHAnsi" w:hint="cs"/>
          <w:color w:val="000000"/>
          <w:rtl/>
        </w:rPr>
        <w:t>8.</w:t>
      </w:r>
      <w:r w:rsidRPr="002048FE">
        <w:rPr>
          <w:rFonts w:ascii="David" w:eastAsiaTheme="minorHAnsi" w:hAnsiTheme="minorHAnsi"/>
          <w:color w:val="000000"/>
          <w:rtl/>
        </w:rPr>
        <w:tab/>
      </w:r>
      <w:r w:rsidRPr="002048FE">
        <w:rPr>
          <w:rFonts w:ascii="David" w:eastAsiaTheme="minorHAnsi" w:hAnsiTheme="minorHAnsi" w:hint="cs"/>
          <w:color w:val="000000"/>
          <w:rtl/>
        </w:rPr>
        <w:t xml:space="preserve">בפועל ועדת הפשרות אינה עומדת על קבלת כתב ויתור וסילוקין מתביעות כנדרש בהוראת </w:t>
      </w:r>
      <w:proofErr w:type="spellStart"/>
      <w:r w:rsidRPr="002048FE">
        <w:rPr>
          <w:rFonts w:ascii="David" w:eastAsiaTheme="minorHAnsi" w:hAnsiTheme="minorHAnsi" w:hint="cs"/>
          <w:color w:val="000000"/>
          <w:rtl/>
        </w:rPr>
        <w:t>תכ"ם</w:t>
      </w:r>
      <w:proofErr w:type="spellEnd"/>
      <w:r w:rsidRPr="002048FE">
        <w:rPr>
          <w:rFonts w:ascii="David" w:eastAsiaTheme="minorHAnsi" w:hAnsiTheme="minorHAnsi" w:hint="cs"/>
          <w:color w:val="000000"/>
          <w:rtl/>
        </w:rPr>
        <w:t>.</w:t>
      </w:r>
    </w:p>
    <w:p w:rsidR="002048FE" w:rsidRPr="002048FE" w:rsidRDefault="002048FE" w:rsidP="002048F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2048F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2048FE" w:rsidRPr="002048FE" w:rsidRDefault="002048FE" w:rsidP="002048FE">
      <w:pPr>
        <w:keepNext/>
        <w:tabs>
          <w:tab w:val="left" w:pos="5531"/>
        </w:tabs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2048FE">
        <w:rPr>
          <w:rFonts w:eastAsiaTheme="minorHAnsi" w:cs="Times New Roman"/>
          <w:b/>
          <w:bCs/>
          <w:color w:val="000000"/>
          <w:rtl/>
        </w:rPr>
        <w:t>משרד</w:t>
      </w:r>
      <w:r w:rsidRPr="002048FE">
        <w:rPr>
          <w:rFonts w:eastAsiaTheme="minorHAnsi" w:cs="Times New Roman"/>
          <w:b/>
          <w:bCs/>
          <w:color w:val="000000"/>
        </w:rPr>
        <w:t xml:space="preserve"> </w:t>
      </w:r>
      <w:r w:rsidRPr="002048FE">
        <w:rPr>
          <w:rFonts w:eastAsiaTheme="minorHAnsi" w:cs="Times New Roman"/>
          <w:b/>
          <w:bCs/>
          <w:color w:val="000000"/>
          <w:rtl/>
        </w:rPr>
        <w:t>המשפטים</w:t>
      </w:r>
    </w:p>
    <w:p w:rsidR="002048FE" w:rsidRPr="002048FE" w:rsidRDefault="002048FE" w:rsidP="002048F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2048FE" w:rsidRPr="002048FE" w:rsidRDefault="002048FE" w:rsidP="002048FE">
      <w:pPr>
        <w:suppressAutoHyphens/>
        <w:autoSpaceDE w:val="0"/>
        <w:autoSpaceDN w:val="0"/>
        <w:adjustRightInd w:val="0"/>
        <w:spacing w:line="288" w:lineRule="atLeast"/>
        <w:ind w:left="1134" w:hanging="1134"/>
        <w:textAlignment w:val="center"/>
        <w:rPr>
          <w:rFonts w:ascii="David" w:eastAsiaTheme="minorHAnsi" w:hAnsiTheme="minorHAnsi"/>
          <w:color w:val="000000"/>
          <w:rtl/>
        </w:rPr>
      </w:pPr>
      <w:r w:rsidRPr="002048FE">
        <w:rPr>
          <w:rFonts w:ascii="David" w:eastAsiaTheme="minorHAnsi" w:hAnsiTheme="minorHAnsi" w:hint="cs"/>
          <w:color w:val="000000"/>
          <w:rtl/>
        </w:rPr>
        <w:t>6-8.</w:t>
      </w:r>
      <w:r w:rsidRPr="002048FE">
        <w:rPr>
          <w:rFonts w:ascii="David" w:eastAsiaTheme="minorHAnsi" w:hAnsiTheme="minorHAnsi"/>
          <w:color w:val="000000"/>
          <w:rtl/>
        </w:rPr>
        <w:tab/>
      </w:r>
      <w:r w:rsidRPr="002048FE">
        <w:rPr>
          <w:rFonts w:ascii="David" w:eastAsiaTheme="minorHAnsi" w:hAnsiTheme="minorHAnsi" w:hint="cs"/>
          <w:color w:val="000000"/>
          <w:rtl/>
        </w:rPr>
        <w:t xml:space="preserve">משרד האוצר נערך להוצאת טיוטת הוראת </w:t>
      </w:r>
      <w:proofErr w:type="spellStart"/>
      <w:r w:rsidRPr="002048FE">
        <w:rPr>
          <w:rFonts w:ascii="David" w:eastAsiaTheme="minorHAnsi" w:hAnsiTheme="minorHAnsi" w:hint="cs"/>
          <w:color w:val="000000"/>
          <w:rtl/>
        </w:rPr>
        <w:t>תכ"מ</w:t>
      </w:r>
      <w:proofErr w:type="spellEnd"/>
      <w:r w:rsidRPr="002048FE">
        <w:rPr>
          <w:rFonts w:ascii="David" w:eastAsiaTheme="minorHAnsi" w:hAnsiTheme="minorHAnsi" w:hint="cs"/>
          <w:color w:val="000000"/>
          <w:rtl/>
        </w:rPr>
        <w:t xml:space="preserve"> חדשה בנושא. עם השלמתו של מהלך זה על-ידי החשב הכללי תעודכן הנחיית היועץ המשפטי לממשלה בהתאמה. בנוסף, ישנם ליקויים </w:t>
      </w:r>
    </w:p>
    <w:p w:rsidR="002048FE" w:rsidRPr="002048FE" w:rsidRDefault="002048FE" w:rsidP="002048FE">
      <w:pPr>
        <w:suppressAutoHyphens/>
        <w:autoSpaceDE w:val="0"/>
        <w:autoSpaceDN w:val="0"/>
        <w:adjustRightInd w:val="0"/>
        <w:spacing w:line="288" w:lineRule="atLeast"/>
        <w:ind w:left="1134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2048FE">
        <w:rPr>
          <w:rFonts w:ascii="David" w:eastAsiaTheme="minorHAnsi" w:hAnsiTheme="minorHAnsi" w:hint="cs"/>
          <w:color w:val="000000"/>
          <w:rtl/>
        </w:rPr>
        <w:t xml:space="preserve">שתוקנו מיידית על ידי רענון הנחיות, ובהן </w:t>
      </w:r>
      <w:proofErr w:type="spellStart"/>
      <w:r w:rsidRPr="002048FE">
        <w:rPr>
          <w:rFonts w:ascii="David" w:eastAsiaTheme="minorHAnsi" w:hAnsiTheme="minorHAnsi" w:hint="cs"/>
          <w:color w:val="000000"/>
          <w:rtl/>
        </w:rPr>
        <w:t>ההנחייה</w:t>
      </w:r>
      <w:proofErr w:type="spellEnd"/>
      <w:r w:rsidRPr="002048FE">
        <w:rPr>
          <w:rFonts w:ascii="David" w:eastAsiaTheme="minorHAnsi" w:hAnsiTheme="minorHAnsi" w:hint="cs"/>
          <w:color w:val="000000"/>
          <w:rtl/>
        </w:rPr>
        <w:t xml:space="preserve"> שלא יינתן אישור להסדר פשרה בדיעבד אלא מראש, וכן </w:t>
      </w:r>
      <w:proofErr w:type="spellStart"/>
      <w:r w:rsidRPr="002048FE">
        <w:rPr>
          <w:rFonts w:ascii="David" w:eastAsiaTheme="minorHAnsi" w:hAnsiTheme="minorHAnsi" w:hint="cs"/>
          <w:color w:val="000000"/>
          <w:rtl/>
        </w:rPr>
        <w:t>ההנחייה</w:t>
      </w:r>
      <w:proofErr w:type="spellEnd"/>
      <w:r w:rsidRPr="002048FE">
        <w:rPr>
          <w:rFonts w:ascii="David" w:eastAsiaTheme="minorHAnsi" w:hAnsiTheme="minorHAnsi" w:hint="cs"/>
          <w:color w:val="000000"/>
          <w:rtl/>
        </w:rPr>
        <w:t xml:space="preserve"> שבהליכים בבתי הדין לעבודה יידרש גם אישור הממונה על השכר והנציבות, כל אחד בתחומו, ככל שנושא התביעה נוגע אליהם. הנחייה בעניין זה הוצאה על-ידי מנהלת המחלקה לסכסוכי עבודה במשרד המשפטים.</w:t>
      </w:r>
    </w:p>
    <w:p w:rsidR="009021C2" w:rsidRPr="00A407A6" w:rsidRDefault="009021C2" w:rsidP="002048FE">
      <w:pPr>
        <w:jc w:val="center"/>
      </w:pPr>
    </w:p>
    <w:sectPr w:rsidR="009021C2" w:rsidRPr="00A407A6" w:rsidSect="003135B7">
      <w:headerReference w:type="default" r:id="rId6"/>
      <w:pgSz w:w="11906" w:h="16838"/>
      <w:pgMar w:top="1440" w:right="1800" w:bottom="567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4D9" w:rsidRDefault="00D244D9" w:rsidP="00A407A6">
      <w:r>
        <w:separator/>
      </w:r>
    </w:p>
  </w:endnote>
  <w:endnote w:type="continuationSeparator" w:id="1">
    <w:p w:rsidR="00D244D9" w:rsidRDefault="00D244D9" w:rsidP="00A40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F Narkisim">
    <w:charset w:val="B1"/>
    <w:family w:val="auto"/>
    <w:pitch w:val="variable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4D9" w:rsidRDefault="00D244D9" w:rsidP="00A407A6">
      <w:r>
        <w:separator/>
      </w:r>
    </w:p>
  </w:footnote>
  <w:footnote w:type="continuationSeparator" w:id="1">
    <w:p w:rsidR="00D244D9" w:rsidRDefault="00D244D9" w:rsidP="00A407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4D9" w:rsidRPr="00341824" w:rsidRDefault="0067727A" w:rsidP="00341824">
    <w:pPr>
      <w:tabs>
        <w:tab w:val="right" w:pos="8306"/>
      </w:tabs>
      <w:ind w:hanging="341"/>
      <w:rPr>
        <w:noProof/>
        <w:sz w:val="16"/>
        <w:szCs w:val="16"/>
        <w:rtl/>
      </w:rPr>
    </w:pPr>
    <w:r w:rsidRPr="00341824">
      <w:rPr>
        <w:rFonts w:hint="cs"/>
        <w:sz w:val="16"/>
        <w:szCs w:val="16"/>
        <w:rtl/>
      </w:rPr>
      <w:fldChar w:fldCharType="begin"/>
    </w:r>
    <w:r w:rsidR="00D244D9" w:rsidRPr="00341824">
      <w:rPr>
        <w:rFonts w:hint="cs"/>
        <w:sz w:val="16"/>
        <w:szCs w:val="16"/>
        <w:rtl/>
      </w:rPr>
      <w:instrText xml:space="preserve"> </w:instrText>
    </w:r>
    <w:r w:rsidR="00D244D9" w:rsidRPr="00341824">
      <w:rPr>
        <w:sz w:val="16"/>
        <w:szCs w:val="16"/>
      </w:rPr>
      <w:instrText>TIME  \@ "HH:mm"  \* MERGEFORMAT</w:instrText>
    </w:r>
    <w:r w:rsidR="00D244D9" w:rsidRPr="00341824">
      <w:rPr>
        <w:sz w:val="16"/>
        <w:szCs w:val="16"/>
        <w:rtl/>
      </w:rPr>
      <w:instrText xml:space="preserve"> </w:instrText>
    </w:r>
    <w:r w:rsidRPr="00341824">
      <w:rPr>
        <w:rFonts w:hint="cs"/>
        <w:sz w:val="16"/>
        <w:szCs w:val="16"/>
        <w:rtl/>
      </w:rPr>
      <w:fldChar w:fldCharType="separate"/>
    </w:r>
    <w:r w:rsidR="002048FE">
      <w:rPr>
        <w:rFonts w:hint="cs"/>
        <w:noProof/>
        <w:sz w:val="16"/>
        <w:szCs w:val="16"/>
        <w:rtl/>
      </w:rPr>
      <w:t>‏</w:t>
    </w:r>
    <w:r w:rsidR="002048FE">
      <w:rPr>
        <w:noProof/>
        <w:sz w:val="16"/>
        <w:szCs w:val="16"/>
        <w:rtl/>
      </w:rPr>
      <w:t>15:19</w:t>
    </w:r>
    <w:r w:rsidRPr="00341824">
      <w:rPr>
        <w:rFonts w:hint="cs"/>
        <w:sz w:val="16"/>
        <w:szCs w:val="16"/>
        <w:rtl/>
      </w:rPr>
      <w:fldChar w:fldCharType="end"/>
    </w:r>
    <w:r w:rsidR="00D244D9" w:rsidRPr="00341824">
      <w:rPr>
        <w:rFonts w:hint="cs"/>
        <w:sz w:val="16"/>
        <w:szCs w:val="16"/>
        <w:rtl/>
      </w:rPr>
      <w:t xml:space="preserve">  </w:t>
    </w:r>
    <w:r w:rsidRPr="00341824">
      <w:rPr>
        <w:rFonts w:hint="cs"/>
        <w:sz w:val="16"/>
        <w:szCs w:val="16"/>
        <w:rtl/>
      </w:rPr>
      <w:fldChar w:fldCharType="begin"/>
    </w:r>
    <w:r w:rsidR="00D244D9" w:rsidRPr="00341824">
      <w:rPr>
        <w:rFonts w:hint="cs"/>
        <w:sz w:val="16"/>
        <w:szCs w:val="16"/>
        <w:rtl/>
      </w:rPr>
      <w:instrText xml:space="preserve"> </w:instrText>
    </w:r>
    <w:r w:rsidR="00D244D9" w:rsidRPr="00341824">
      <w:rPr>
        <w:sz w:val="16"/>
        <w:szCs w:val="16"/>
      </w:rPr>
      <w:instrText>DATE  \@ "yyyy-MM-dd"  \* MERGEFORMAT</w:instrText>
    </w:r>
    <w:r w:rsidR="00D244D9" w:rsidRPr="00341824">
      <w:rPr>
        <w:sz w:val="16"/>
        <w:szCs w:val="16"/>
        <w:rtl/>
      </w:rPr>
      <w:instrText xml:space="preserve"> </w:instrText>
    </w:r>
    <w:r w:rsidRPr="00341824">
      <w:rPr>
        <w:rFonts w:hint="cs"/>
        <w:sz w:val="16"/>
        <w:szCs w:val="16"/>
        <w:rtl/>
      </w:rPr>
      <w:fldChar w:fldCharType="separate"/>
    </w:r>
    <w:r w:rsidR="002048FE" w:rsidRPr="002048FE">
      <w:rPr>
        <w:rFonts w:cs="Arial" w:hint="cs"/>
        <w:noProof/>
        <w:sz w:val="16"/>
        <w:szCs w:val="16"/>
        <w:rtl/>
      </w:rPr>
      <w:t>‏</w:t>
    </w:r>
    <w:r w:rsidR="002048FE" w:rsidRPr="002048FE">
      <w:rPr>
        <w:rFonts w:cs="Arial"/>
        <w:noProof/>
        <w:sz w:val="16"/>
        <w:szCs w:val="16"/>
        <w:rtl/>
      </w:rPr>
      <w:t>2010–12–12</w:t>
    </w:r>
    <w:r w:rsidRPr="00341824">
      <w:rPr>
        <w:rFonts w:hint="cs"/>
        <w:sz w:val="16"/>
        <w:szCs w:val="16"/>
        <w:rtl/>
      </w:rPr>
      <w:fldChar w:fldCharType="end"/>
    </w:r>
    <w:r w:rsidR="00D244D9" w:rsidRPr="00341824">
      <w:rPr>
        <w:rFonts w:hint="cs"/>
        <w:sz w:val="16"/>
        <w:szCs w:val="16"/>
        <w:rtl/>
      </w:rPr>
      <w:t xml:space="preserve">   </w:t>
    </w:r>
    <w:fldSimple w:instr=" FILENAME  \p  \* MERGEFORMAT ">
      <w:r w:rsidR="006C3858" w:rsidRPr="006C3858">
        <w:rPr>
          <w:noProof/>
          <w:sz w:val="16"/>
          <w:szCs w:val="16"/>
        </w:rPr>
        <w:t>L:\</w:t>
      </w:r>
      <w:r w:rsidR="006C3858" w:rsidRPr="006C3858">
        <w:rPr>
          <w:noProof/>
          <w:sz w:val="16"/>
          <w:szCs w:val="16"/>
          <w:rtl/>
        </w:rPr>
        <w:t>הספר - מעקבים 60ב\פנינה\59ב\משרד האוצר\טיפול ועדת הפשרות בהסכמי פשרה בהליכים משפטיים נגד משרד האוצר</w:t>
      </w:r>
      <w:r w:rsidR="006C3858" w:rsidRPr="006C3858">
        <w:rPr>
          <w:noProof/>
          <w:sz w:val="16"/>
          <w:szCs w:val="16"/>
        </w:rPr>
        <w:t>.docx</w:t>
      </w:r>
    </w:fldSimple>
    <w:r w:rsidR="00D244D9" w:rsidRPr="00341824">
      <w:rPr>
        <w:rFonts w:hint="cs"/>
        <w:noProof/>
        <w:sz w:val="16"/>
        <w:szCs w:val="16"/>
        <w:rtl/>
      </w:rPr>
      <w:t xml:space="preserve">    -</w:t>
    </w:r>
    <w:r w:rsidRPr="00341824">
      <w:rPr>
        <w:rFonts w:hint="cs"/>
        <w:noProof/>
        <w:sz w:val="16"/>
        <w:szCs w:val="16"/>
        <w:rtl/>
      </w:rPr>
      <w:fldChar w:fldCharType="begin"/>
    </w:r>
    <w:r w:rsidR="00D244D9" w:rsidRPr="00341824">
      <w:rPr>
        <w:rFonts w:hint="cs"/>
        <w:noProof/>
        <w:sz w:val="16"/>
        <w:szCs w:val="16"/>
        <w:rtl/>
      </w:rPr>
      <w:instrText xml:space="preserve"> </w:instrText>
    </w:r>
    <w:r w:rsidR="00D244D9" w:rsidRPr="00341824">
      <w:rPr>
        <w:noProof/>
        <w:sz w:val="16"/>
        <w:szCs w:val="16"/>
      </w:rPr>
      <w:instrText>PAGE   \* MERGEFORMAT</w:instrText>
    </w:r>
    <w:r w:rsidR="00D244D9" w:rsidRPr="00341824">
      <w:rPr>
        <w:noProof/>
        <w:sz w:val="16"/>
        <w:szCs w:val="16"/>
        <w:rtl/>
      </w:rPr>
      <w:instrText xml:space="preserve"> </w:instrText>
    </w:r>
    <w:r w:rsidRPr="00341824">
      <w:rPr>
        <w:rFonts w:hint="cs"/>
        <w:noProof/>
        <w:sz w:val="16"/>
        <w:szCs w:val="16"/>
        <w:rtl/>
      </w:rPr>
      <w:fldChar w:fldCharType="separate"/>
    </w:r>
    <w:r w:rsidR="002048FE" w:rsidRPr="002048FE">
      <w:rPr>
        <w:rFonts w:cs="MF Narkisim"/>
        <w:noProof/>
        <w:sz w:val="16"/>
        <w:szCs w:val="16"/>
        <w:rtl/>
      </w:rPr>
      <w:t>1</w:t>
    </w:r>
    <w:r w:rsidRPr="00341824">
      <w:rPr>
        <w:rFonts w:hint="cs"/>
        <w:noProof/>
        <w:sz w:val="16"/>
        <w:szCs w:val="16"/>
        <w:rtl/>
      </w:rPr>
      <w:fldChar w:fldCharType="end"/>
    </w:r>
    <w:r w:rsidR="00D244D9" w:rsidRPr="00341824">
      <w:rPr>
        <w:rFonts w:hint="cs"/>
        <w:noProof/>
        <w:sz w:val="16"/>
        <w:szCs w:val="16"/>
        <w:rtl/>
      </w:rPr>
      <w:t>-</w:t>
    </w:r>
  </w:p>
  <w:p w:rsidR="00D244D9" w:rsidRPr="00000C8C" w:rsidRDefault="00D244D9" w:rsidP="00A407A6">
    <w:pPr>
      <w:tabs>
        <w:tab w:val="right" w:pos="8306"/>
      </w:tabs>
      <w:rPr>
        <w:noProof/>
        <w:sz w:val="18"/>
        <w:szCs w:val="18"/>
        <w:rtl/>
      </w:rPr>
    </w:pPr>
  </w:p>
  <w:p w:rsidR="00D244D9" w:rsidRPr="00000C8C" w:rsidRDefault="00D244D9" w:rsidP="006C3858">
    <w:pPr>
      <w:pStyle w:val="1"/>
      <w:spacing w:before="0" w:after="0" w:line="240" w:lineRule="auto"/>
      <w:rPr>
        <w:b w:val="0"/>
        <w:bCs w:val="0"/>
        <w:i/>
        <w:iCs/>
        <w:szCs w:val="32"/>
        <w:u w:val="none"/>
        <w:rtl/>
      </w:rPr>
    </w:pPr>
    <w:r w:rsidRPr="00000C8C">
      <w:rPr>
        <w:rFonts w:hint="cs"/>
        <w:b w:val="0"/>
        <w:bCs w:val="0"/>
        <w:sz w:val="18"/>
        <w:szCs w:val="18"/>
        <w:rtl/>
      </w:rPr>
      <w:t xml:space="preserve">מעקב אחר תיקון ליקויים, אגף המפקח הכללי לענייני ביקורת המדינה                                                         </w:t>
    </w:r>
    <w:r w:rsidR="006C3858">
      <w:rPr>
        <w:rFonts w:hint="cs"/>
        <w:b w:val="0"/>
        <w:bCs w:val="0"/>
        <w:sz w:val="18"/>
        <w:szCs w:val="18"/>
        <w:rtl/>
      </w:rPr>
      <w:t>משרד האוצר</w:t>
    </w:r>
    <w:r w:rsidRPr="00000C8C">
      <w:rPr>
        <w:rFonts w:hint="cs"/>
        <w:b w:val="0"/>
        <w:bCs w:val="0"/>
        <w:sz w:val="18"/>
        <w:szCs w:val="18"/>
        <w:rtl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07A6"/>
    <w:rsid w:val="00000243"/>
    <w:rsid w:val="00000739"/>
    <w:rsid w:val="00027667"/>
    <w:rsid w:val="00043D5A"/>
    <w:rsid w:val="00047A29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0E34F0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2048FE"/>
    <w:rsid w:val="00232852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135B7"/>
    <w:rsid w:val="0033198C"/>
    <w:rsid w:val="003344B0"/>
    <w:rsid w:val="00337EC9"/>
    <w:rsid w:val="00341824"/>
    <w:rsid w:val="00346AB7"/>
    <w:rsid w:val="00354067"/>
    <w:rsid w:val="00360A13"/>
    <w:rsid w:val="0037478F"/>
    <w:rsid w:val="00377C35"/>
    <w:rsid w:val="00390A0F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1055"/>
    <w:rsid w:val="004A255F"/>
    <w:rsid w:val="004B0F0E"/>
    <w:rsid w:val="004B1554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578C3"/>
    <w:rsid w:val="00563607"/>
    <w:rsid w:val="005773D0"/>
    <w:rsid w:val="005A1EA8"/>
    <w:rsid w:val="005A548B"/>
    <w:rsid w:val="005A6E05"/>
    <w:rsid w:val="005C4688"/>
    <w:rsid w:val="005D57C1"/>
    <w:rsid w:val="005F0358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27A"/>
    <w:rsid w:val="0067780E"/>
    <w:rsid w:val="006807A6"/>
    <w:rsid w:val="006942D9"/>
    <w:rsid w:val="006A67BA"/>
    <w:rsid w:val="006C3858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A00BB"/>
    <w:rsid w:val="007A22BA"/>
    <w:rsid w:val="007B0C4D"/>
    <w:rsid w:val="007B4AAF"/>
    <w:rsid w:val="007D1079"/>
    <w:rsid w:val="00810E64"/>
    <w:rsid w:val="0081406C"/>
    <w:rsid w:val="00817201"/>
    <w:rsid w:val="00867F44"/>
    <w:rsid w:val="0088076B"/>
    <w:rsid w:val="008A1154"/>
    <w:rsid w:val="008A3C6F"/>
    <w:rsid w:val="008B1C1D"/>
    <w:rsid w:val="008B5AD7"/>
    <w:rsid w:val="008D6336"/>
    <w:rsid w:val="008F0B69"/>
    <w:rsid w:val="008F2398"/>
    <w:rsid w:val="008F498E"/>
    <w:rsid w:val="009021C2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24D18"/>
    <w:rsid w:val="00A407A6"/>
    <w:rsid w:val="00A50ADE"/>
    <w:rsid w:val="00A51DC7"/>
    <w:rsid w:val="00A6715C"/>
    <w:rsid w:val="00A67167"/>
    <w:rsid w:val="00A70A64"/>
    <w:rsid w:val="00A730BC"/>
    <w:rsid w:val="00A73AE3"/>
    <w:rsid w:val="00A811C8"/>
    <w:rsid w:val="00AA1EBD"/>
    <w:rsid w:val="00AB7828"/>
    <w:rsid w:val="00AC02A2"/>
    <w:rsid w:val="00AC3E47"/>
    <w:rsid w:val="00AF66AA"/>
    <w:rsid w:val="00AF7804"/>
    <w:rsid w:val="00B00D9A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BF7A7D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A2206"/>
    <w:rsid w:val="00CB6CA1"/>
    <w:rsid w:val="00CC3E2F"/>
    <w:rsid w:val="00CC683F"/>
    <w:rsid w:val="00CE2D49"/>
    <w:rsid w:val="00CE70A0"/>
    <w:rsid w:val="00D02568"/>
    <w:rsid w:val="00D038BA"/>
    <w:rsid w:val="00D04CE8"/>
    <w:rsid w:val="00D20800"/>
    <w:rsid w:val="00D244D9"/>
    <w:rsid w:val="00D37D9E"/>
    <w:rsid w:val="00D57A3C"/>
    <w:rsid w:val="00D66429"/>
    <w:rsid w:val="00D66554"/>
    <w:rsid w:val="00D8517D"/>
    <w:rsid w:val="00D863F0"/>
    <w:rsid w:val="00DA0DCD"/>
    <w:rsid w:val="00DA74D9"/>
    <w:rsid w:val="00DC0772"/>
    <w:rsid w:val="00DE169C"/>
    <w:rsid w:val="00DF2B24"/>
    <w:rsid w:val="00E12867"/>
    <w:rsid w:val="00E20A2E"/>
    <w:rsid w:val="00E25D97"/>
    <w:rsid w:val="00E314A0"/>
    <w:rsid w:val="00E4475C"/>
    <w:rsid w:val="00E47FEC"/>
    <w:rsid w:val="00E50C14"/>
    <w:rsid w:val="00E54BFD"/>
    <w:rsid w:val="00E64E00"/>
    <w:rsid w:val="00E667E9"/>
    <w:rsid w:val="00E67FFC"/>
    <w:rsid w:val="00E70927"/>
    <w:rsid w:val="00E728AF"/>
    <w:rsid w:val="00E77641"/>
    <w:rsid w:val="00E84B36"/>
    <w:rsid w:val="00E8515A"/>
    <w:rsid w:val="00E92150"/>
    <w:rsid w:val="00E92381"/>
    <w:rsid w:val="00EA14C1"/>
    <w:rsid w:val="00EC33CF"/>
    <w:rsid w:val="00EF3EE3"/>
    <w:rsid w:val="00EF6F1E"/>
    <w:rsid w:val="00F102C1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7757F"/>
    <w:rsid w:val="00F80D9F"/>
    <w:rsid w:val="00F82663"/>
    <w:rsid w:val="00F95696"/>
    <w:rsid w:val="00FA7550"/>
    <w:rsid w:val="00FB27FE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7A6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paragraph" w:styleId="1">
    <w:name w:val="heading 1"/>
    <w:basedOn w:val="a"/>
    <w:next w:val="a"/>
    <w:link w:val="10"/>
    <w:qFormat/>
    <w:rsid w:val="00A407A6"/>
    <w:pPr>
      <w:keepNext/>
      <w:widowControl w:val="0"/>
      <w:spacing w:before="240" w:after="480" w:line="312" w:lineRule="auto"/>
      <w:ind w:left="0" w:firstLine="0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 ליקוי"/>
    <w:basedOn w:val="a"/>
    <w:uiPriority w:val="99"/>
    <w:rsid w:val="00A407A6"/>
    <w:pPr>
      <w:keepNext/>
      <w:ind w:hanging="567"/>
    </w:pPr>
    <w:rPr>
      <w:b/>
    </w:rPr>
  </w:style>
  <w:style w:type="paragraph" w:styleId="a4">
    <w:name w:val="header"/>
    <w:basedOn w:val="a"/>
    <w:link w:val="a5"/>
    <w:uiPriority w:val="99"/>
    <w:unhideWhenUsed/>
    <w:rsid w:val="00A407A6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A407A6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A407A6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A407A6"/>
    <w:rPr>
      <w:rFonts w:ascii="Times New Roman" w:eastAsia="Calibri" w:hAnsi="Times New Roman"/>
    </w:rPr>
  </w:style>
  <w:style w:type="character" w:customStyle="1" w:styleId="10">
    <w:name w:val="כותרת 1 תו"/>
    <w:basedOn w:val="a0"/>
    <w:link w:val="1"/>
    <w:rsid w:val="00A407A6"/>
    <w:rPr>
      <w:rFonts w:ascii="Times New Roman" w:eastAsia="Calibri" w:hAnsi="Times New Roman"/>
      <w:b/>
      <w:bCs/>
      <w:kern w:val="32"/>
      <w:sz w:val="32"/>
      <w:szCs w:val="36"/>
      <w:u w:val="single"/>
      <w:lang w:eastAsia="he-IL"/>
    </w:rPr>
  </w:style>
  <w:style w:type="paragraph" w:styleId="a8">
    <w:name w:val="Balloon Text"/>
    <w:basedOn w:val="a"/>
    <w:link w:val="a9"/>
    <w:uiPriority w:val="99"/>
    <w:semiHidden/>
    <w:unhideWhenUsed/>
    <w:rsid w:val="00A407A6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A407A6"/>
    <w:rPr>
      <w:rFonts w:ascii="Tahoma" w:eastAsia="Calibri" w:hAnsi="Tahoma" w:cs="Tahoma"/>
      <w:sz w:val="16"/>
      <w:szCs w:val="16"/>
    </w:rPr>
  </w:style>
  <w:style w:type="paragraph" w:customStyle="1" w:styleId="-">
    <w:name w:val="כותרת מאמר-נטוי"/>
    <w:basedOn w:val="a"/>
    <w:uiPriority w:val="99"/>
    <w:rsid w:val="002048FE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a">
    <w:name w:val="כותרת מאמר"/>
    <w:basedOn w:val="a"/>
    <w:uiPriority w:val="99"/>
    <w:rsid w:val="002048FE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2048FE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2048FE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2010-10-14T08:49:00Z</cp:lastPrinted>
  <dcterms:created xsi:type="dcterms:W3CDTF">2010-12-12T13:20:00Z</dcterms:created>
  <dcterms:modified xsi:type="dcterms:W3CDTF">2010-12-12T13:20:00Z</dcterms:modified>
</cp:coreProperties>
</file>