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B78" w:rsidRDefault="000B4856" w:rsidP="00B31B78">
      <w:pPr>
        <w:pStyle w:val="af"/>
        <w:rPr>
          <w:rFonts w:hint="cs"/>
          <w:rtl/>
        </w:rPr>
      </w:pPr>
      <w:r>
        <w:rPr>
          <w:rFonts w:hint="cs"/>
          <w:szCs w:val="32"/>
          <w:rtl/>
        </w:rPr>
        <w:t xml:space="preserve"> </w:t>
      </w:r>
      <w:r w:rsidR="00B31B78">
        <w:rPr>
          <w:rFonts w:hint="cs"/>
          <w:sz w:val="32"/>
          <w:szCs w:val="32"/>
          <w:rtl/>
        </w:rPr>
        <w:t>הסדרי תגמול בגופים המוסדיים</w:t>
      </w:r>
    </w:p>
    <w:p w:rsidR="00B31B78" w:rsidRDefault="00B31B78" w:rsidP="00B31B78">
      <w:pPr>
        <w:pStyle w:val="af"/>
        <w:rPr>
          <w:rtl/>
        </w:rPr>
      </w:pPr>
    </w:p>
    <w:p w:rsidR="00B31B78" w:rsidRDefault="00B31B78" w:rsidP="00B31B78">
      <w:pPr>
        <w:jc w:val="both"/>
        <w:rPr>
          <w:rFonts w:ascii="David" w:cs="David"/>
          <w:b/>
          <w:bCs/>
          <w:sz w:val="24"/>
          <w:szCs w:val="24"/>
          <w:rtl/>
        </w:rPr>
      </w:pPr>
      <w:r>
        <w:rPr>
          <w:rStyle w:val="af0"/>
          <w:rFonts w:eastAsia="Calibri" w:hint="cs"/>
          <w:rtl/>
        </w:rPr>
        <w:t>הגוף המבוקר: משרד האוצר – אגף שוק ההון, הביטוח והחיסכון</w:t>
      </w:r>
    </w:p>
    <w:p w:rsidR="00B31B78" w:rsidRDefault="00B31B78" w:rsidP="00B31B78">
      <w:pPr>
        <w:jc w:val="both"/>
        <w:rPr>
          <w:rFonts w:ascii="David" w:cs="David"/>
          <w:b/>
          <w:bCs/>
          <w:sz w:val="24"/>
          <w:szCs w:val="24"/>
          <w:rtl/>
        </w:rPr>
      </w:pPr>
      <w:r>
        <w:rPr>
          <w:rFonts w:ascii="David" w:cs="David" w:hint="cs"/>
          <w:b/>
          <w:bCs/>
          <w:sz w:val="24"/>
          <w:szCs w:val="24"/>
          <w:rtl/>
        </w:rPr>
        <w:t>ליקוי</w:t>
      </w:r>
    </w:p>
    <w:p w:rsidR="00B31B78" w:rsidRDefault="00B31B78" w:rsidP="00B31B78">
      <w:pPr>
        <w:jc w:val="both"/>
        <w:rPr>
          <w:rFonts w:ascii="David" w:cs="David"/>
          <w:b/>
          <w:bCs/>
          <w:sz w:val="24"/>
          <w:szCs w:val="24"/>
          <w:rtl/>
        </w:rPr>
      </w:pPr>
    </w:p>
    <w:p w:rsidR="00B31B78" w:rsidRDefault="00B31B78" w:rsidP="00B31B78">
      <w:pPr>
        <w:suppressAutoHyphens/>
        <w:ind w:left="509" w:hanging="509"/>
        <w:jc w:val="both"/>
        <w:rPr>
          <w:rFonts w:ascii="David" w:cs="David"/>
          <w:sz w:val="24"/>
          <w:szCs w:val="24"/>
          <w:rtl/>
        </w:rPr>
      </w:pPr>
      <w:r>
        <w:rPr>
          <w:rFonts w:ascii="David" w:cs="David" w:hint="cs"/>
          <w:sz w:val="24"/>
          <w:szCs w:val="24"/>
          <w:rtl/>
        </w:rPr>
        <w:t>1.</w:t>
      </w:r>
      <w:r>
        <w:rPr>
          <w:rFonts w:ascii="David" w:cs="David"/>
          <w:sz w:val="24"/>
          <w:szCs w:val="24"/>
          <w:rtl/>
        </w:rPr>
        <w:tab/>
      </w:r>
      <w:r>
        <w:rPr>
          <w:rFonts w:ascii="David" w:cs="David" w:hint="cs"/>
          <w:sz w:val="24"/>
          <w:szCs w:val="24"/>
          <w:rtl/>
        </w:rPr>
        <w:t xml:space="preserve">הצוות הבין-משרדי (ועדת בכר) המליץ כי בד בבד עם יישומם של השינויים המבניים שעליהם המליץ, יימשך התהליך של איתור בעיות נוספות בשוק ההון וחיפוש דרכים לפתרונן. ואולם אגף שוק ההון לא עשה כל פעולה לבחינת הקשר שבין הגברת התחרות בשוק ההון, בין מבנה הסדרי התגמול בגופים המוסדיים ובין מידת הסיכון שבהשקעותיהם. </w:t>
      </w:r>
    </w:p>
    <w:p w:rsidR="00B31B78" w:rsidRDefault="00B31B78" w:rsidP="00B31B78">
      <w:pPr>
        <w:ind w:left="509" w:hanging="509"/>
        <w:jc w:val="both"/>
        <w:rPr>
          <w:rFonts w:ascii="David" w:cs="David"/>
          <w:sz w:val="24"/>
          <w:szCs w:val="24"/>
          <w:rtl/>
        </w:rPr>
      </w:pPr>
    </w:p>
    <w:p w:rsidR="00B31B78" w:rsidRDefault="00B31B78" w:rsidP="00B31B78">
      <w:pPr>
        <w:ind w:left="509" w:hanging="509"/>
        <w:jc w:val="both"/>
        <w:rPr>
          <w:rFonts w:ascii="David" w:cs="David"/>
          <w:b/>
          <w:bCs/>
          <w:sz w:val="24"/>
          <w:szCs w:val="24"/>
          <w:rtl/>
        </w:rPr>
      </w:pPr>
      <w:r>
        <w:rPr>
          <w:rFonts w:ascii="David" w:cs="David" w:hint="cs"/>
          <w:b/>
          <w:bCs/>
          <w:sz w:val="24"/>
          <w:szCs w:val="24"/>
          <w:rtl/>
        </w:rPr>
        <w:t>מעקב</w:t>
      </w:r>
    </w:p>
    <w:p w:rsidR="00B31B78" w:rsidRDefault="00B31B78" w:rsidP="00B31B78">
      <w:pPr>
        <w:ind w:left="509" w:hanging="509"/>
        <w:jc w:val="both"/>
        <w:rPr>
          <w:rFonts w:ascii="David" w:cs="David"/>
          <w:b/>
          <w:bCs/>
          <w:sz w:val="24"/>
          <w:szCs w:val="24"/>
          <w:rtl/>
        </w:rPr>
      </w:pPr>
      <w:r>
        <w:rPr>
          <w:rFonts w:ascii="David" w:cs="David" w:hint="cs"/>
          <w:b/>
          <w:bCs/>
          <w:sz w:val="24"/>
          <w:szCs w:val="24"/>
          <w:rtl/>
        </w:rPr>
        <w:t>משרד האוצר – אגף שוק ההון, הביטוח והחיסכון</w:t>
      </w:r>
    </w:p>
    <w:p w:rsidR="00B31B78" w:rsidRDefault="00B31B78" w:rsidP="00B31B78">
      <w:pPr>
        <w:ind w:left="509" w:hanging="509"/>
        <w:jc w:val="both"/>
        <w:rPr>
          <w:rFonts w:ascii="David" w:cs="David"/>
          <w:b/>
          <w:bCs/>
          <w:sz w:val="24"/>
          <w:szCs w:val="24"/>
          <w:rtl/>
        </w:rPr>
      </w:pPr>
    </w:p>
    <w:p w:rsidR="00B31B78" w:rsidRDefault="00B31B78" w:rsidP="00B31B78">
      <w:pPr>
        <w:suppressAutoHyphens/>
        <w:ind w:left="1076" w:hanging="1076"/>
        <w:jc w:val="both"/>
        <w:rPr>
          <w:rFonts w:ascii="David" w:cs="David"/>
          <w:sz w:val="24"/>
          <w:szCs w:val="24"/>
          <w:rtl/>
        </w:rPr>
      </w:pPr>
      <w:r>
        <w:rPr>
          <w:rFonts w:ascii="David" w:cs="David" w:hint="cs"/>
          <w:sz w:val="24"/>
          <w:szCs w:val="24"/>
          <w:rtl/>
        </w:rPr>
        <w:t>1.</w:t>
      </w:r>
      <w:r>
        <w:rPr>
          <w:rFonts w:ascii="David" w:cs="David"/>
          <w:sz w:val="24"/>
          <w:szCs w:val="24"/>
          <w:rtl/>
        </w:rPr>
        <w:tab/>
      </w:r>
      <w:r>
        <w:rPr>
          <w:rFonts w:ascii="David" w:cs="David" w:hint="cs"/>
          <w:sz w:val="24"/>
          <w:szCs w:val="24"/>
          <w:rtl/>
        </w:rPr>
        <w:t xml:space="preserve">נקבע שרוב חברי ועדת השקעות יהיו דירקטורים חיצוניים ודירקטורים אלו אינם רשאים לקבל גמול משתנה, הנגזר מרמת ביצועיהם. לפיכך, למרבית חברי ועדת השקעות לא ניתן תמריץ כספי לנטילת סיכונים אגב פעילות ההשקעות. </w:t>
      </w:r>
    </w:p>
    <w:p w:rsidR="00B31B78" w:rsidRDefault="00B31B78" w:rsidP="00B31B78">
      <w:pPr>
        <w:suppressAutoHyphens/>
        <w:ind w:left="1076"/>
        <w:jc w:val="both"/>
        <w:rPr>
          <w:rFonts w:ascii="David" w:cs="David"/>
          <w:sz w:val="24"/>
          <w:szCs w:val="24"/>
          <w:rtl/>
        </w:rPr>
      </w:pPr>
      <w:r>
        <w:rPr>
          <w:rFonts w:ascii="David" w:cs="David" w:hint="cs"/>
          <w:sz w:val="24"/>
          <w:szCs w:val="24"/>
          <w:rtl/>
        </w:rPr>
        <w:t>יתרה מזאת, רמת הסיכון שעובדי מערך ההשקעות עשויים ליטול מוגדרת ומוגבלת על ידי ועדת השקעות. ועדת השקעות קובעת מדיניות לעניין שיעורי השקעה באפיקי השקעה שונים, בין היתר בהתאם לרמת הסיכון של אפיקים אלו, ואחראית לפיקוח סדיר על פעילותם של עובדי מערך ההשקעות. זאת ועוד, נקבע כי עובדי מערך ההשקעות לא יכהנו כחברי ועדת השקעות, ולכן מובטחת פעילותה העצמאית. הסדרות אלו, לצד יתר ההסדרות שפורטו, מגבילות את יכולת עובדי מערך ההשקעות ליטול סיכונים מוגברים בהשקעות כספי העמיתים, ובכך מעניקות פתרון מקיף לקשר בין התחרות בשוק ההון, הסדרי התגמול בגופי המוסדיים ונטילת סיכונים אגב ניהול ההשקעות. כצעד משלים לכך, אשר מהותו הפקת לקחים מן הכשלים במערכת הבנקאית העולמית במטרה למנוע היווצרות של כשל באפיק המוסדי בעתיד, הוסדר ביתר פירוט גם מבנה התגמול של נושאי משרה ועובדי מערך ההשקעות.</w:t>
      </w:r>
    </w:p>
    <w:p w:rsidR="00B31B78" w:rsidRDefault="00B31B78" w:rsidP="00B31B78">
      <w:pPr>
        <w:ind w:left="1076" w:hanging="1076"/>
        <w:jc w:val="both"/>
        <w:rPr>
          <w:rFonts w:ascii="David" w:cs="David"/>
          <w:sz w:val="24"/>
          <w:szCs w:val="24"/>
          <w:rtl/>
        </w:rPr>
      </w:pPr>
      <w:r>
        <w:rPr>
          <w:rFonts w:ascii="David" w:cs="David"/>
          <w:sz w:val="24"/>
          <w:szCs w:val="24"/>
          <w:rtl/>
        </w:rPr>
        <w:tab/>
      </w:r>
      <w:r>
        <w:rPr>
          <w:rFonts w:ascii="David" w:cs="David" w:hint="cs"/>
          <w:sz w:val="24"/>
          <w:szCs w:val="24"/>
          <w:rtl/>
        </w:rPr>
        <w:t xml:space="preserve">ראה הערות רה"מ </w:t>
      </w:r>
      <w:proofErr w:type="spellStart"/>
      <w:r>
        <w:rPr>
          <w:rFonts w:ascii="David" w:cs="David" w:hint="cs"/>
          <w:sz w:val="24"/>
          <w:szCs w:val="24"/>
          <w:rtl/>
        </w:rPr>
        <w:t>60ב</w:t>
      </w:r>
      <w:proofErr w:type="spellEnd"/>
      <w:r>
        <w:rPr>
          <w:rFonts w:ascii="David" w:cs="David" w:hint="cs"/>
          <w:sz w:val="24"/>
          <w:szCs w:val="24"/>
          <w:rtl/>
        </w:rPr>
        <w:t xml:space="preserve">' </w:t>
      </w:r>
      <w:proofErr w:type="spellStart"/>
      <w:r>
        <w:rPr>
          <w:rFonts w:ascii="David" w:cs="David" w:hint="cs"/>
          <w:sz w:val="24"/>
          <w:szCs w:val="24"/>
          <w:rtl/>
        </w:rPr>
        <w:t>עמ</w:t>
      </w:r>
      <w:proofErr w:type="spellEnd"/>
      <w:r>
        <w:rPr>
          <w:rFonts w:ascii="David" w:cs="David" w:hint="cs"/>
          <w:sz w:val="24"/>
          <w:szCs w:val="24"/>
          <w:rtl/>
        </w:rPr>
        <w:t>' 49.</w:t>
      </w:r>
    </w:p>
    <w:p w:rsidR="00B31B78" w:rsidRDefault="00B31B78" w:rsidP="00B31B78">
      <w:pPr>
        <w:jc w:val="both"/>
        <w:rPr>
          <w:rFonts w:ascii="David" w:cs="David"/>
          <w:b/>
          <w:bCs/>
          <w:sz w:val="24"/>
          <w:szCs w:val="24"/>
          <w:rtl/>
        </w:rPr>
      </w:pPr>
      <w:r>
        <w:rPr>
          <w:rFonts w:ascii="David" w:cs="David" w:hint="cs"/>
          <w:b/>
          <w:bCs/>
          <w:sz w:val="24"/>
          <w:szCs w:val="24"/>
          <w:rtl/>
        </w:rPr>
        <w:t>ליקוי</w:t>
      </w:r>
    </w:p>
    <w:p w:rsidR="00B31B78" w:rsidRDefault="00B31B78" w:rsidP="00B31B78">
      <w:pPr>
        <w:jc w:val="both"/>
        <w:rPr>
          <w:rFonts w:ascii="David" w:cs="David"/>
          <w:b/>
          <w:bCs/>
          <w:sz w:val="24"/>
          <w:szCs w:val="24"/>
          <w:rtl/>
        </w:rPr>
      </w:pPr>
    </w:p>
    <w:p w:rsidR="00B31B78" w:rsidRDefault="00B31B78" w:rsidP="00B31B78">
      <w:pPr>
        <w:suppressAutoHyphens/>
        <w:ind w:left="509" w:hanging="509"/>
        <w:jc w:val="both"/>
        <w:rPr>
          <w:rFonts w:ascii="David" w:cs="David"/>
          <w:sz w:val="24"/>
          <w:szCs w:val="24"/>
          <w:rtl/>
        </w:rPr>
      </w:pPr>
      <w:r>
        <w:rPr>
          <w:rFonts w:ascii="David" w:cs="David" w:hint="cs"/>
          <w:sz w:val="24"/>
          <w:szCs w:val="24"/>
          <w:rtl/>
        </w:rPr>
        <w:t>2.</w:t>
      </w:r>
      <w:r>
        <w:rPr>
          <w:rFonts w:ascii="David" w:cs="David"/>
          <w:sz w:val="24"/>
          <w:szCs w:val="24"/>
          <w:rtl/>
        </w:rPr>
        <w:tab/>
      </w:r>
      <w:r>
        <w:rPr>
          <w:rFonts w:ascii="David" w:cs="David" w:hint="cs"/>
          <w:sz w:val="24"/>
          <w:szCs w:val="24"/>
          <w:rtl/>
        </w:rPr>
        <w:t xml:space="preserve">אגף שוק ההון לא אסף באופן שיטתי מידע מבוסס על הסדרי התגמול הנהוגים בגופים המוסדיים בארץ, כדי לבדוק אם הם מעודדים נטילת סיכונים בניהול כספי החוסכים, אף שהוא מוסמך לדרוש מהגופים המוסדיים מידע בנושא. הסדרי תגמול מסוימים בגופים מוסדיים עלולים ליצור ניגוד אינטרסים בין עניינם האישי של מנהלי ההשקעות ונושאי משרה אחרים ובין טובתו של הציבור שהם מופקדים על ניהול חסכונותיו. חשש זה מצדיק בדיקה מעמיקה, ועל כן מן הראוי שאגף שוק ההון יעשה עבודת מטה מקיפה, יסודית ומתועדת יותר מזו שנעשתה, לפני שיקבע הנחיות לגופים המוסדיים. יש לדאוג לכך שהנחיות אלה יהיו ברורות, אפקטיביות וישימות, ולהבטיח שאגף שוק ההון יוכל לפקח על </w:t>
      </w:r>
      <w:r>
        <w:rPr>
          <w:rFonts w:ascii="David" w:cs="David" w:hint="cs"/>
          <w:sz w:val="24"/>
          <w:szCs w:val="24"/>
          <w:rtl/>
        </w:rPr>
        <w:lastRenderedPageBreak/>
        <w:t>אופן מילוי ההנחיות. לדעת משרד מבקר המדינה, כל רשות מנהלית העוסקת ברגולציה, לוודא שביכולתה לפקח ביעילות על קיום ההנחיות.</w:t>
      </w:r>
    </w:p>
    <w:p w:rsidR="00B31B78" w:rsidRDefault="00B31B78" w:rsidP="00B31B78">
      <w:pPr>
        <w:ind w:left="509" w:hanging="509"/>
        <w:jc w:val="both"/>
        <w:rPr>
          <w:rFonts w:ascii="David" w:cs="David"/>
          <w:sz w:val="24"/>
          <w:szCs w:val="24"/>
          <w:rtl/>
        </w:rPr>
      </w:pPr>
    </w:p>
    <w:p w:rsidR="00B31B78" w:rsidRDefault="00B31B78" w:rsidP="00B31B78">
      <w:pPr>
        <w:ind w:left="509" w:hanging="509"/>
        <w:jc w:val="both"/>
        <w:rPr>
          <w:rFonts w:ascii="David" w:cs="David"/>
          <w:b/>
          <w:bCs/>
          <w:sz w:val="24"/>
          <w:szCs w:val="24"/>
          <w:rtl/>
        </w:rPr>
      </w:pPr>
      <w:r>
        <w:rPr>
          <w:rFonts w:ascii="David" w:cs="David" w:hint="cs"/>
          <w:b/>
          <w:bCs/>
          <w:sz w:val="24"/>
          <w:szCs w:val="24"/>
          <w:rtl/>
        </w:rPr>
        <w:t>מעקב</w:t>
      </w:r>
    </w:p>
    <w:p w:rsidR="00B31B78" w:rsidRDefault="00B31B78" w:rsidP="00B31B78">
      <w:pPr>
        <w:ind w:left="509" w:hanging="509"/>
        <w:jc w:val="both"/>
        <w:rPr>
          <w:rFonts w:ascii="David" w:cs="David"/>
          <w:b/>
          <w:bCs/>
          <w:sz w:val="24"/>
          <w:szCs w:val="24"/>
          <w:rtl/>
        </w:rPr>
      </w:pPr>
    </w:p>
    <w:p w:rsidR="00B31B78" w:rsidRDefault="00B31B78" w:rsidP="00B31B78">
      <w:pPr>
        <w:suppressAutoHyphens/>
        <w:ind w:left="1076" w:hanging="1076"/>
        <w:jc w:val="both"/>
        <w:rPr>
          <w:rFonts w:ascii="David" w:cs="David"/>
          <w:sz w:val="24"/>
          <w:szCs w:val="24"/>
          <w:rtl/>
        </w:rPr>
      </w:pPr>
      <w:r>
        <w:rPr>
          <w:rFonts w:ascii="David" w:cs="David" w:hint="cs"/>
          <w:sz w:val="24"/>
          <w:szCs w:val="24"/>
          <w:rtl/>
        </w:rPr>
        <w:t xml:space="preserve">2. </w:t>
      </w:r>
      <w:r>
        <w:rPr>
          <w:rFonts w:ascii="David" w:cs="David"/>
          <w:sz w:val="24"/>
          <w:szCs w:val="24"/>
          <w:rtl/>
        </w:rPr>
        <w:tab/>
      </w:r>
      <w:r>
        <w:rPr>
          <w:rFonts w:ascii="David" w:cs="David" w:hint="cs"/>
          <w:sz w:val="24"/>
          <w:szCs w:val="24"/>
          <w:rtl/>
        </w:rPr>
        <w:t xml:space="preserve">אגף שוק ההון ערך עבודת מטה מעמיקה בשלב שקדם לגיבוש הוראות חוזר תגמול נושאי משרה בגופים המוסדיים, שעיקרה בחינת הסדרי התגמול בקרב הגופים המוסדיים בישראל, והתאמת הניסיון העולמי והלקחים שהופקו לפרקטיקה הישראלית ולאפיק המוסדי. ההנחיות לגופים ניתנו במסגרת הוראות חוזר תגמול נושאי משרה בגופים המוסדיים, כפי שנעשה ביחס לכלל חוזרי אגף שוק ההון. הפיקוח על עמידה בהוראות החוזר יבוצע במסגרת ביקורות סדירות על הגופים. תוכנית העבודה של האגף כוללת ביקורת רוחב ייעודית לבחינת עמידת הגופים בחוזר זה. במסגרת זאת, נערכו הכנות ונבנתה תוכנית ביקורת מקיפה, שמטרתה לבחון את הסדרי התגמול בגופים, את גיבוש מדיניות התגמול על ידי הגופים, תוך עמידה בהוראות החוזר, ואת אופן יישומה בפועל. </w:t>
      </w:r>
    </w:p>
    <w:p w:rsidR="00B31B78" w:rsidRDefault="00B31B78" w:rsidP="00B31B78">
      <w:pPr>
        <w:suppressAutoHyphens/>
        <w:ind w:left="1076"/>
        <w:jc w:val="both"/>
        <w:rPr>
          <w:rFonts w:ascii="David" w:cs="David"/>
          <w:sz w:val="24"/>
          <w:szCs w:val="24"/>
          <w:rtl/>
        </w:rPr>
      </w:pPr>
      <w:r>
        <w:rPr>
          <w:rFonts w:ascii="David" w:cs="David" w:hint="cs"/>
          <w:sz w:val="24"/>
          <w:szCs w:val="24"/>
          <w:rtl/>
        </w:rPr>
        <w:t xml:space="preserve">ראה הערות רה"מ </w:t>
      </w:r>
      <w:proofErr w:type="spellStart"/>
      <w:r>
        <w:rPr>
          <w:rFonts w:ascii="David" w:cs="David" w:hint="cs"/>
          <w:sz w:val="24"/>
          <w:szCs w:val="24"/>
          <w:rtl/>
        </w:rPr>
        <w:t>60ב</w:t>
      </w:r>
      <w:proofErr w:type="spellEnd"/>
      <w:r>
        <w:rPr>
          <w:rFonts w:ascii="David" w:cs="David" w:hint="cs"/>
          <w:sz w:val="24"/>
          <w:szCs w:val="24"/>
          <w:rtl/>
        </w:rPr>
        <w:t xml:space="preserve">' </w:t>
      </w:r>
      <w:proofErr w:type="spellStart"/>
      <w:r>
        <w:rPr>
          <w:rFonts w:ascii="David" w:cs="David" w:hint="cs"/>
          <w:sz w:val="24"/>
          <w:szCs w:val="24"/>
          <w:rtl/>
        </w:rPr>
        <w:t>עמ</w:t>
      </w:r>
      <w:proofErr w:type="spellEnd"/>
      <w:r>
        <w:rPr>
          <w:rFonts w:ascii="David" w:cs="David" w:hint="cs"/>
          <w:sz w:val="24"/>
          <w:szCs w:val="24"/>
          <w:rtl/>
        </w:rPr>
        <w:t>' 51.</w:t>
      </w:r>
    </w:p>
    <w:p w:rsidR="00B31B78" w:rsidRDefault="00B31B78" w:rsidP="00B31B78">
      <w:pPr>
        <w:jc w:val="both"/>
        <w:rPr>
          <w:rFonts w:ascii="David" w:cs="David"/>
          <w:sz w:val="24"/>
          <w:szCs w:val="24"/>
          <w:rtl/>
        </w:rPr>
      </w:pPr>
    </w:p>
    <w:p w:rsidR="00B31B78" w:rsidRDefault="00B31B78" w:rsidP="00B31B78">
      <w:pPr>
        <w:jc w:val="both"/>
        <w:rPr>
          <w:rFonts w:ascii="David" w:cs="David"/>
          <w:b/>
          <w:bCs/>
          <w:sz w:val="24"/>
          <w:szCs w:val="24"/>
          <w:rtl/>
        </w:rPr>
      </w:pPr>
      <w:r>
        <w:rPr>
          <w:rFonts w:ascii="David" w:cs="David" w:hint="cs"/>
          <w:b/>
          <w:bCs/>
          <w:sz w:val="24"/>
          <w:szCs w:val="24"/>
          <w:rtl/>
        </w:rPr>
        <w:t>ליקוי</w:t>
      </w:r>
    </w:p>
    <w:p w:rsidR="00B31B78" w:rsidRDefault="00B31B78" w:rsidP="00B31B78">
      <w:pPr>
        <w:jc w:val="both"/>
        <w:rPr>
          <w:rFonts w:ascii="David" w:cs="David"/>
          <w:b/>
          <w:bCs/>
          <w:sz w:val="24"/>
          <w:szCs w:val="24"/>
          <w:rtl/>
        </w:rPr>
      </w:pPr>
    </w:p>
    <w:p w:rsidR="00B31B78" w:rsidRDefault="00B31B78" w:rsidP="00B31B78">
      <w:pPr>
        <w:suppressAutoHyphens/>
        <w:ind w:left="509" w:hanging="509"/>
        <w:jc w:val="both"/>
        <w:rPr>
          <w:rFonts w:ascii="David" w:cs="David"/>
          <w:sz w:val="24"/>
          <w:szCs w:val="24"/>
          <w:rtl/>
        </w:rPr>
      </w:pPr>
      <w:r>
        <w:rPr>
          <w:rFonts w:ascii="David" w:cs="David" w:hint="cs"/>
          <w:sz w:val="24"/>
          <w:szCs w:val="24"/>
          <w:rtl/>
        </w:rPr>
        <w:t>3.</w:t>
      </w:r>
      <w:r>
        <w:rPr>
          <w:rFonts w:ascii="David" w:cs="David"/>
          <w:sz w:val="24"/>
          <w:szCs w:val="24"/>
          <w:rtl/>
        </w:rPr>
        <w:tab/>
      </w:r>
      <w:r>
        <w:rPr>
          <w:rFonts w:ascii="David" w:cs="David" w:hint="cs"/>
          <w:sz w:val="24"/>
          <w:szCs w:val="24"/>
          <w:rtl/>
        </w:rPr>
        <w:t xml:space="preserve">הממונה על שוק ההון פרסם ביוני 2009 טיוטת חוזר בעניין הסדרי התגמול בגופים מוסדיים, אך עבודת המטה שנעשתה לקראת הוצאתה לא תועדה כנדרש ולא נאסף די מידע לשם קבלת החלטה מושכלת בנושא. טיוטת החוזר פורסמה לפני שהתקיימה התייעצות של הממונה על שוק ההון עם ה"וועדה המייעצת" הנדרשת על פי הוראות חוק הפיקוח על שירותים פיננסיים (ביטוח), </w:t>
      </w:r>
      <w:proofErr w:type="spellStart"/>
      <w:r>
        <w:rPr>
          <w:rFonts w:ascii="David" w:cs="David" w:hint="cs"/>
          <w:sz w:val="24"/>
          <w:szCs w:val="24"/>
          <w:rtl/>
        </w:rPr>
        <w:t>התשמ"א</w:t>
      </w:r>
      <w:proofErr w:type="spellEnd"/>
      <w:r>
        <w:rPr>
          <w:rFonts w:ascii="David" w:cs="David" w:hint="cs"/>
          <w:sz w:val="24"/>
          <w:szCs w:val="24"/>
          <w:rtl/>
        </w:rPr>
        <w:t xml:space="preserve">-1981, ועל פי חוק הפיקוח על שירותים פיננסיים (קופות גמל), </w:t>
      </w:r>
      <w:proofErr w:type="spellStart"/>
      <w:r>
        <w:rPr>
          <w:rFonts w:ascii="David" w:cs="David" w:hint="cs"/>
          <w:sz w:val="24"/>
          <w:szCs w:val="24"/>
          <w:rtl/>
        </w:rPr>
        <w:t>התשס"ה</w:t>
      </w:r>
      <w:proofErr w:type="spellEnd"/>
      <w:r>
        <w:rPr>
          <w:rFonts w:ascii="David" w:cs="David" w:hint="cs"/>
          <w:sz w:val="24"/>
          <w:szCs w:val="24"/>
          <w:rtl/>
        </w:rPr>
        <w:t xml:space="preserve">-2005. </w:t>
      </w:r>
    </w:p>
    <w:p w:rsidR="00B31B78" w:rsidRDefault="00B31B78" w:rsidP="00B31B78">
      <w:pPr>
        <w:suppressAutoHyphens/>
        <w:ind w:left="509" w:hanging="509"/>
        <w:jc w:val="both"/>
        <w:rPr>
          <w:rFonts w:ascii="David" w:cs="David"/>
          <w:sz w:val="24"/>
          <w:szCs w:val="24"/>
          <w:rtl/>
        </w:rPr>
      </w:pPr>
    </w:p>
    <w:p w:rsidR="00B31B78" w:rsidRDefault="00B31B78" w:rsidP="00B31B78">
      <w:pPr>
        <w:suppressAutoHyphens/>
        <w:ind w:left="509" w:hanging="509"/>
        <w:jc w:val="both"/>
        <w:rPr>
          <w:rFonts w:ascii="David" w:cs="David"/>
          <w:b/>
          <w:bCs/>
          <w:sz w:val="24"/>
          <w:szCs w:val="24"/>
          <w:rtl/>
        </w:rPr>
      </w:pPr>
      <w:r>
        <w:rPr>
          <w:rFonts w:ascii="David" w:cs="David" w:hint="cs"/>
          <w:b/>
          <w:bCs/>
          <w:sz w:val="24"/>
          <w:szCs w:val="24"/>
          <w:rtl/>
        </w:rPr>
        <w:t>מעקב</w:t>
      </w:r>
    </w:p>
    <w:p w:rsidR="00B31B78" w:rsidRDefault="00B31B78" w:rsidP="00B31B78">
      <w:pPr>
        <w:suppressAutoHyphens/>
        <w:ind w:left="1076" w:hanging="1076"/>
        <w:jc w:val="both"/>
        <w:rPr>
          <w:rFonts w:ascii="David" w:cs="David"/>
          <w:b/>
          <w:bCs/>
          <w:sz w:val="24"/>
          <w:szCs w:val="24"/>
          <w:rtl/>
        </w:rPr>
      </w:pPr>
    </w:p>
    <w:p w:rsidR="00B31B78" w:rsidRDefault="00B31B78" w:rsidP="00B31B78">
      <w:pPr>
        <w:suppressAutoHyphens/>
        <w:ind w:left="1076" w:hanging="1076"/>
        <w:jc w:val="both"/>
        <w:rPr>
          <w:rFonts w:ascii="David" w:cs="David"/>
          <w:sz w:val="24"/>
          <w:szCs w:val="24"/>
          <w:rtl/>
        </w:rPr>
      </w:pPr>
      <w:r>
        <w:rPr>
          <w:rFonts w:ascii="David" w:cs="David" w:hint="cs"/>
          <w:sz w:val="24"/>
          <w:szCs w:val="24"/>
          <w:rtl/>
        </w:rPr>
        <w:t xml:space="preserve">3. </w:t>
      </w:r>
      <w:r>
        <w:rPr>
          <w:rFonts w:ascii="David" w:cs="David"/>
          <w:sz w:val="24"/>
          <w:szCs w:val="24"/>
          <w:rtl/>
        </w:rPr>
        <w:tab/>
      </w:r>
      <w:r>
        <w:rPr>
          <w:rFonts w:ascii="David" w:cs="David" w:hint="cs"/>
          <w:sz w:val="24"/>
          <w:szCs w:val="24"/>
          <w:rtl/>
        </w:rPr>
        <w:t xml:space="preserve">עמידת הגופים המוסדיים בעקרונות החוזר תבוקר על ידי מחלקות הפיקוח של האגף, הן במסגרת עבודה שוטפת והן במסגרת ביקורות אורך ורוחב יזומות, אשר גם הן נערכות באופן שוטף. תוכנית ביקורת כאמור נבנתה, ומטרתה לבחון את עמידת הגופים בהוראות חוזר תגמול נושאי משרה בגופים המוסדיים, הן ההוראות המתייחסות להליך קביעת מדיניות התגמול והן ההוראות המתייחסות למרכיבי התגמול. הביקורת תבחן את הסדרי התגמול בגופים, את גיבוש מדיניות התגמול על ידי הגופים ואת אופן יישום המדיניות בפועל. הוראות החוזר כוללות שני נדבכים משלימים. נדבך ראשון הינו התוויית עקרונות ממשל תאגידי תקין בקרב הגופים, לעניין גיבוש מדיניות תגמול נושאי משרה. אין יסוד סביר להניח כי שיפור הממשל </w:t>
      </w:r>
      <w:proofErr w:type="spellStart"/>
      <w:r>
        <w:rPr>
          <w:rFonts w:ascii="David" w:cs="David" w:hint="cs"/>
          <w:sz w:val="24"/>
          <w:szCs w:val="24"/>
          <w:rtl/>
        </w:rPr>
        <w:t>התאגידי</w:t>
      </w:r>
      <w:proofErr w:type="spellEnd"/>
      <w:r>
        <w:rPr>
          <w:rFonts w:ascii="David" w:cs="David" w:hint="cs"/>
          <w:sz w:val="24"/>
          <w:szCs w:val="24"/>
          <w:rtl/>
        </w:rPr>
        <w:t xml:space="preserve"> בקרב הגופים המוסדיים יביא להגדלת התגמול הכולל. נדבך שני הינו התוויית עקרונות לעניין מבנה התגמול ושיטת חישוב התגמול המשתנה. על מנת לעמוד בהוראות החוזר, הגופים המוסדיים, לעניין תגמול עובדי מערך ההשקעות, יגדילו כנראה את שיעור התגמול הקבוע מתוך סך התגמול, ובהתאמה יקטינו את </w:t>
      </w:r>
      <w:r>
        <w:rPr>
          <w:rFonts w:ascii="David" w:cs="David" w:hint="cs"/>
          <w:sz w:val="24"/>
          <w:szCs w:val="24"/>
          <w:rtl/>
        </w:rPr>
        <w:lastRenderedPageBreak/>
        <w:t xml:space="preserve">שיעור התגמול המשתנה מתוך סך התגמול. כמו כן הגופים ייחשבו את התגמול המשתנה לאורך תקופה של שלוש שנים. אין סיבה שסך התגמול אותו מקבל עובד מערך השקעות יגדל, אלא שהרכב התגמול (תגמול משתנה או תגמול קבוע) ישתנה. שינויים אלו יקטינו את התמריץ ליטול סיכונים מופרזים על מנת להגדיל את היקף הבונוס. חישוב התגמול על פני תקופה בת שלוש שנים יבטיח כי הפסדים שנרשמו בשנה אחת יקוזזו בתשואות גבוהות שנרשמו בשנה עוקבת, כך שגובה הבונוס ישקף ביצועים ארוכי טווח ויעודד שיקולי טווח ארוך בהחלטות ההשקעה.  </w:t>
      </w:r>
    </w:p>
    <w:p w:rsidR="00B31B78" w:rsidRDefault="00B31B78" w:rsidP="00B31B78">
      <w:pPr>
        <w:suppressAutoHyphens/>
        <w:ind w:left="1076"/>
        <w:jc w:val="both"/>
        <w:rPr>
          <w:rFonts w:ascii="David" w:cs="David"/>
          <w:sz w:val="24"/>
          <w:szCs w:val="24"/>
          <w:rtl/>
        </w:rPr>
      </w:pPr>
      <w:r>
        <w:rPr>
          <w:rFonts w:ascii="David" w:cs="David" w:hint="cs"/>
          <w:sz w:val="24"/>
          <w:szCs w:val="24"/>
          <w:rtl/>
        </w:rPr>
        <w:t xml:space="preserve">ראה הערות רה"מ </w:t>
      </w:r>
      <w:proofErr w:type="spellStart"/>
      <w:r>
        <w:rPr>
          <w:rFonts w:ascii="David" w:cs="David" w:hint="cs"/>
          <w:sz w:val="24"/>
          <w:szCs w:val="24"/>
          <w:rtl/>
        </w:rPr>
        <w:t>60ב</w:t>
      </w:r>
      <w:proofErr w:type="spellEnd"/>
      <w:r>
        <w:rPr>
          <w:rFonts w:ascii="David" w:cs="David" w:hint="cs"/>
          <w:sz w:val="24"/>
          <w:szCs w:val="24"/>
          <w:rtl/>
        </w:rPr>
        <w:t xml:space="preserve">' </w:t>
      </w:r>
      <w:proofErr w:type="spellStart"/>
      <w:r>
        <w:rPr>
          <w:rFonts w:ascii="David" w:cs="David" w:hint="cs"/>
          <w:sz w:val="24"/>
          <w:szCs w:val="24"/>
          <w:rtl/>
        </w:rPr>
        <w:t>עמ</w:t>
      </w:r>
      <w:proofErr w:type="spellEnd"/>
      <w:r>
        <w:rPr>
          <w:rFonts w:ascii="David" w:cs="David" w:hint="cs"/>
          <w:sz w:val="24"/>
          <w:szCs w:val="24"/>
          <w:rtl/>
        </w:rPr>
        <w:t>' 53.</w:t>
      </w:r>
    </w:p>
    <w:p w:rsidR="00B31B78" w:rsidRDefault="00B31B78" w:rsidP="00B31B78">
      <w:pPr>
        <w:ind w:left="509" w:hanging="509"/>
        <w:jc w:val="both"/>
        <w:rPr>
          <w:rFonts w:ascii="David" w:cs="David"/>
          <w:sz w:val="24"/>
          <w:szCs w:val="24"/>
          <w:rtl/>
        </w:rPr>
      </w:pPr>
    </w:p>
    <w:p w:rsidR="00B31B78" w:rsidRDefault="00B31B78" w:rsidP="00B31B78">
      <w:pPr>
        <w:ind w:left="509" w:hanging="509"/>
        <w:jc w:val="both"/>
        <w:rPr>
          <w:rFonts w:ascii="David" w:cs="David"/>
          <w:b/>
          <w:bCs/>
          <w:sz w:val="24"/>
          <w:szCs w:val="24"/>
          <w:rtl/>
        </w:rPr>
      </w:pPr>
      <w:r>
        <w:rPr>
          <w:rFonts w:ascii="David" w:cs="David" w:hint="cs"/>
          <w:b/>
          <w:bCs/>
          <w:sz w:val="24"/>
          <w:szCs w:val="24"/>
          <w:rtl/>
        </w:rPr>
        <w:t>ליקוי</w:t>
      </w:r>
    </w:p>
    <w:p w:rsidR="00B31B78" w:rsidRDefault="00B31B78" w:rsidP="00B31B78">
      <w:pPr>
        <w:ind w:left="509" w:hanging="509"/>
        <w:jc w:val="both"/>
        <w:rPr>
          <w:rFonts w:ascii="David" w:cs="David"/>
          <w:b/>
          <w:bCs/>
          <w:sz w:val="24"/>
          <w:szCs w:val="24"/>
          <w:rtl/>
        </w:rPr>
      </w:pPr>
    </w:p>
    <w:p w:rsidR="00B31B78" w:rsidRDefault="00B31B78" w:rsidP="00B31B78">
      <w:pPr>
        <w:suppressAutoHyphens/>
        <w:ind w:left="509" w:hanging="509"/>
        <w:jc w:val="both"/>
        <w:rPr>
          <w:rFonts w:ascii="David" w:cs="David"/>
          <w:sz w:val="24"/>
          <w:szCs w:val="24"/>
          <w:rtl/>
        </w:rPr>
      </w:pPr>
      <w:r>
        <w:rPr>
          <w:rFonts w:ascii="David" w:cs="David" w:hint="cs"/>
          <w:sz w:val="24"/>
          <w:szCs w:val="24"/>
          <w:rtl/>
        </w:rPr>
        <w:t xml:space="preserve">4. </w:t>
      </w:r>
      <w:r>
        <w:rPr>
          <w:rFonts w:ascii="David" w:cs="David"/>
          <w:sz w:val="24"/>
          <w:szCs w:val="24"/>
          <w:rtl/>
        </w:rPr>
        <w:tab/>
      </w:r>
      <w:r>
        <w:rPr>
          <w:rFonts w:ascii="David" w:cs="David" w:hint="cs"/>
          <w:sz w:val="24"/>
          <w:szCs w:val="24"/>
          <w:rtl/>
        </w:rPr>
        <w:t xml:space="preserve">לא נבחנו ההשפעות של פרסום החוזר על פעולות הפיקוח של האגף; לא נמצא כי אגף שוק ההון נתן את דעתו לאפשרות שהוראות החוזר יובילו ליישור הקו של הסדרי התגמול כלפי מעלה, באופן שיביא, בסופו של דבר, לידי הגדלת תשלומי הציבור בעבור דמי הניהול. איתור צרכי ההסדרה צריך להיעשות במהירות כדי למנוע פגיעה בכספי החיסכון של הציבור. </w:t>
      </w:r>
    </w:p>
    <w:p w:rsidR="00B31B78" w:rsidRDefault="00B31B78" w:rsidP="00B31B78">
      <w:pPr>
        <w:suppressAutoHyphens/>
        <w:ind w:left="1076"/>
        <w:jc w:val="both"/>
        <w:rPr>
          <w:rFonts w:ascii="David" w:cs="David"/>
          <w:sz w:val="24"/>
          <w:szCs w:val="24"/>
          <w:rtl/>
        </w:rPr>
      </w:pPr>
    </w:p>
    <w:p w:rsidR="00B31B78" w:rsidRDefault="00B31B78" w:rsidP="00B31B78">
      <w:pPr>
        <w:suppressAutoHyphens/>
        <w:ind w:left="509" w:hanging="509"/>
        <w:jc w:val="both"/>
        <w:rPr>
          <w:rFonts w:ascii="David" w:cs="David"/>
          <w:b/>
          <w:bCs/>
          <w:sz w:val="24"/>
          <w:szCs w:val="24"/>
          <w:rtl/>
        </w:rPr>
      </w:pPr>
      <w:r>
        <w:rPr>
          <w:rFonts w:ascii="David" w:cs="David" w:hint="cs"/>
          <w:b/>
          <w:bCs/>
          <w:sz w:val="24"/>
          <w:szCs w:val="24"/>
          <w:rtl/>
        </w:rPr>
        <w:t>מעקב</w:t>
      </w:r>
    </w:p>
    <w:p w:rsidR="00B31B78" w:rsidRDefault="00B31B78" w:rsidP="00B31B78">
      <w:pPr>
        <w:suppressAutoHyphens/>
        <w:ind w:left="1076" w:hanging="1076"/>
        <w:jc w:val="both"/>
        <w:rPr>
          <w:rFonts w:ascii="David" w:cs="David"/>
          <w:b/>
          <w:bCs/>
          <w:sz w:val="24"/>
          <w:szCs w:val="24"/>
          <w:rtl/>
        </w:rPr>
      </w:pPr>
    </w:p>
    <w:p w:rsidR="00B31B78" w:rsidRDefault="00B31B78" w:rsidP="00B31B78">
      <w:pPr>
        <w:suppressAutoHyphens/>
        <w:ind w:left="1134" w:hanging="1134"/>
        <w:jc w:val="both"/>
        <w:rPr>
          <w:rFonts w:ascii="David" w:cs="David"/>
          <w:sz w:val="24"/>
          <w:szCs w:val="24"/>
          <w:rtl/>
        </w:rPr>
      </w:pPr>
      <w:r>
        <w:rPr>
          <w:rFonts w:ascii="David" w:cs="David" w:hint="cs"/>
          <w:sz w:val="24"/>
          <w:szCs w:val="24"/>
          <w:rtl/>
        </w:rPr>
        <w:t xml:space="preserve">4. </w:t>
      </w:r>
      <w:r>
        <w:rPr>
          <w:rFonts w:ascii="David" w:cs="David"/>
          <w:sz w:val="24"/>
          <w:szCs w:val="24"/>
          <w:rtl/>
        </w:rPr>
        <w:tab/>
      </w:r>
      <w:r>
        <w:rPr>
          <w:rFonts w:ascii="David" w:cs="David" w:hint="cs"/>
          <w:sz w:val="24"/>
          <w:szCs w:val="24"/>
          <w:rtl/>
        </w:rPr>
        <w:t>לעניין הגדלת תשלומי הציבור בעבור דמי ניהול, יש לציין כי נתון דמי הניהול מתפרסם על ידי אגף שוק ההון ומהווה פקטור תחרותי הנתון למשא ומתן בין החוסך לבין החברה המנהלת. יחד עם זאת, אגף שוק ההון לומד ובוחן את נושא דמי הניהול לאור השינויים שחלו בשנים האחרונות.</w:t>
      </w:r>
    </w:p>
    <w:p w:rsidR="001E33C0" w:rsidRPr="00B31B78" w:rsidRDefault="00B31B78" w:rsidP="00B31B78">
      <w:pPr>
        <w:pStyle w:val="1"/>
        <w:spacing w:before="0" w:after="0" w:line="240" w:lineRule="auto"/>
        <w:ind w:firstLine="720"/>
        <w:jc w:val="left"/>
        <w:rPr>
          <w:b w:val="0"/>
          <w:bCs w:val="0"/>
          <w:sz w:val="24"/>
          <w:szCs w:val="24"/>
          <w:u w:val="none"/>
        </w:rPr>
      </w:pPr>
      <w:r>
        <w:rPr>
          <w:rFonts w:ascii="David" w:hint="cs"/>
          <w:b w:val="0"/>
          <w:bCs w:val="0"/>
          <w:sz w:val="24"/>
          <w:szCs w:val="24"/>
          <w:u w:val="none"/>
          <w:rtl/>
        </w:rPr>
        <w:t xml:space="preserve">       </w:t>
      </w:r>
      <w:r w:rsidRPr="00B31B78">
        <w:rPr>
          <w:rFonts w:ascii="David" w:hint="cs"/>
          <w:b w:val="0"/>
          <w:bCs w:val="0"/>
          <w:sz w:val="24"/>
          <w:szCs w:val="24"/>
          <w:u w:val="none"/>
          <w:rtl/>
        </w:rPr>
        <w:t xml:space="preserve">ראה הערות רה"מ </w:t>
      </w:r>
      <w:proofErr w:type="spellStart"/>
      <w:r w:rsidRPr="00B31B78">
        <w:rPr>
          <w:rFonts w:ascii="David" w:hint="cs"/>
          <w:b w:val="0"/>
          <w:bCs w:val="0"/>
          <w:sz w:val="24"/>
          <w:szCs w:val="24"/>
          <w:u w:val="none"/>
          <w:rtl/>
        </w:rPr>
        <w:t>60ב</w:t>
      </w:r>
      <w:proofErr w:type="spellEnd"/>
      <w:r w:rsidRPr="00B31B78">
        <w:rPr>
          <w:rFonts w:ascii="David" w:hint="cs"/>
          <w:b w:val="0"/>
          <w:bCs w:val="0"/>
          <w:sz w:val="24"/>
          <w:szCs w:val="24"/>
          <w:u w:val="none"/>
          <w:rtl/>
        </w:rPr>
        <w:t xml:space="preserve">' </w:t>
      </w:r>
      <w:proofErr w:type="spellStart"/>
      <w:r w:rsidRPr="00B31B78">
        <w:rPr>
          <w:rFonts w:ascii="David" w:hint="cs"/>
          <w:b w:val="0"/>
          <w:bCs w:val="0"/>
          <w:sz w:val="24"/>
          <w:szCs w:val="24"/>
          <w:u w:val="none"/>
          <w:rtl/>
        </w:rPr>
        <w:t>עמ</w:t>
      </w:r>
      <w:proofErr w:type="spellEnd"/>
      <w:r w:rsidRPr="00B31B78">
        <w:rPr>
          <w:rFonts w:ascii="David" w:hint="cs"/>
          <w:b w:val="0"/>
          <w:bCs w:val="0"/>
          <w:sz w:val="24"/>
          <w:szCs w:val="24"/>
          <w:u w:val="none"/>
          <w:rtl/>
        </w:rPr>
        <w:t>' 54.</w:t>
      </w:r>
    </w:p>
    <w:sectPr w:rsidR="001E33C0" w:rsidRPr="00B31B78" w:rsidSect="00533C7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856" w:rsidRDefault="000B4856" w:rsidP="0018696E">
      <w:pPr>
        <w:spacing w:after="0" w:line="240" w:lineRule="auto"/>
      </w:pPr>
      <w:r>
        <w:separator/>
      </w:r>
    </w:p>
  </w:endnote>
  <w:endnote w:type="continuationSeparator" w:id="1">
    <w:p w:rsidR="000B4856" w:rsidRDefault="000B4856" w:rsidP="001869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412" w:rsidRDefault="00271412">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412" w:rsidRDefault="00271412">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412" w:rsidRDefault="0027141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856" w:rsidRDefault="000B4856" w:rsidP="0018696E">
      <w:pPr>
        <w:spacing w:after="0" w:line="240" w:lineRule="auto"/>
      </w:pPr>
      <w:r>
        <w:separator/>
      </w:r>
    </w:p>
  </w:footnote>
  <w:footnote w:type="continuationSeparator" w:id="1">
    <w:p w:rsidR="000B4856" w:rsidRDefault="000B4856" w:rsidP="001869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412" w:rsidRDefault="00271412">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856" w:rsidRPr="00F12E76" w:rsidRDefault="0079378C" w:rsidP="0018696E">
    <w:pPr>
      <w:pStyle w:val="a6"/>
      <w:tabs>
        <w:tab w:val="clear" w:pos="4153"/>
      </w:tabs>
      <w:ind w:left="84" w:hanging="483"/>
      <w:jc w:val="right"/>
      <w:rPr>
        <w:i/>
        <w:iCs w:val="0"/>
        <w:sz w:val="16"/>
        <w:szCs w:val="16"/>
        <w:rtl/>
      </w:rPr>
    </w:pPr>
    <w:r w:rsidRPr="00F12E76">
      <w:rPr>
        <w:i/>
        <w:iCs w:val="0"/>
        <w:sz w:val="16"/>
        <w:szCs w:val="16"/>
        <w:rtl/>
      </w:rPr>
      <w:fldChar w:fldCharType="begin"/>
    </w:r>
    <w:r w:rsidR="000B4856" w:rsidRPr="00F12E76">
      <w:rPr>
        <w:i/>
        <w:iCs w:val="0"/>
        <w:sz w:val="16"/>
        <w:szCs w:val="16"/>
        <w:rtl/>
      </w:rPr>
      <w:instrText xml:space="preserve"> </w:instrText>
    </w:r>
    <w:r w:rsidR="000B4856" w:rsidRPr="00F12E76">
      <w:rPr>
        <w:rFonts w:hint="cs"/>
        <w:i/>
        <w:iCs w:val="0"/>
        <w:sz w:val="16"/>
        <w:szCs w:val="16"/>
      </w:rPr>
      <w:instrText>TIME  \@ "HH:mm"  \* MERGEFORMAT</w:instrText>
    </w:r>
    <w:r w:rsidR="000B4856" w:rsidRPr="00F12E76">
      <w:rPr>
        <w:i/>
        <w:iCs w:val="0"/>
        <w:sz w:val="16"/>
        <w:szCs w:val="16"/>
        <w:rtl/>
      </w:rPr>
      <w:instrText xml:space="preserve"> </w:instrText>
    </w:r>
    <w:r w:rsidRPr="00F12E76">
      <w:rPr>
        <w:i/>
        <w:iCs w:val="0"/>
        <w:sz w:val="16"/>
        <w:szCs w:val="16"/>
        <w:rtl/>
      </w:rPr>
      <w:fldChar w:fldCharType="separate"/>
    </w:r>
    <w:r w:rsidR="00B31B78">
      <w:rPr>
        <w:i/>
        <w:iCs w:val="0"/>
        <w:noProof/>
        <w:sz w:val="16"/>
        <w:szCs w:val="16"/>
        <w:rtl/>
      </w:rPr>
      <w:t>‏10:43</w:t>
    </w:r>
    <w:r w:rsidRPr="00F12E76">
      <w:rPr>
        <w:i/>
        <w:iCs w:val="0"/>
        <w:sz w:val="16"/>
        <w:szCs w:val="16"/>
        <w:rtl/>
      </w:rPr>
      <w:fldChar w:fldCharType="end"/>
    </w:r>
    <w:r w:rsidR="000B4856" w:rsidRPr="00F12E76">
      <w:rPr>
        <w:rFonts w:hint="cs"/>
        <w:i/>
        <w:iCs w:val="0"/>
        <w:sz w:val="16"/>
        <w:szCs w:val="16"/>
        <w:rtl/>
      </w:rPr>
      <w:t xml:space="preserve">  </w:t>
    </w:r>
    <w:r w:rsidRPr="00F12E76">
      <w:rPr>
        <w:i/>
        <w:iCs w:val="0"/>
        <w:sz w:val="16"/>
        <w:szCs w:val="16"/>
        <w:rtl/>
      </w:rPr>
      <w:fldChar w:fldCharType="begin"/>
    </w:r>
    <w:r w:rsidR="000B4856" w:rsidRPr="00F12E76">
      <w:rPr>
        <w:i/>
        <w:iCs w:val="0"/>
        <w:sz w:val="16"/>
        <w:szCs w:val="16"/>
        <w:rtl/>
      </w:rPr>
      <w:instrText xml:space="preserve"> </w:instrText>
    </w:r>
    <w:r w:rsidR="000B4856" w:rsidRPr="00F12E76">
      <w:rPr>
        <w:rFonts w:hint="cs"/>
        <w:i/>
        <w:iCs w:val="0"/>
        <w:sz w:val="16"/>
        <w:szCs w:val="16"/>
      </w:rPr>
      <w:instrText>DATE  \@ "yyyy-MM-dd"  \* MERGEFORMAT</w:instrText>
    </w:r>
    <w:r w:rsidR="000B4856" w:rsidRPr="00F12E76">
      <w:rPr>
        <w:i/>
        <w:iCs w:val="0"/>
        <w:sz w:val="16"/>
        <w:szCs w:val="16"/>
        <w:rtl/>
      </w:rPr>
      <w:instrText xml:space="preserve"> </w:instrText>
    </w:r>
    <w:r w:rsidRPr="00F12E76">
      <w:rPr>
        <w:i/>
        <w:iCs w:val="0"/>
        <w:sz w:val="16"/>
        <w:szCs w:val="16"/>
        <w:rtl/>
      </w:rPr>
      <w:fldChar w:fldCharType="separate"/>
    </w:r>
    <w:r w:rsidR="00B31B78">
      <w:rPr>
        <w:i/>
        <w:iCs w:val="0"/>
        <w:noProof/>
        <w:sz w:val="16"/>
        <w:szCs w:val="16"/>
        <w:rtl/>
      </w:rPr>
      <w:t>‏2010–12–12</w:t>
    </w:r>
    <w:r w:rsidRPr="00F12E76">
      <w:rPr>
        <w:i/>
        <w:iCs w:val="0"/>
        <w:sz w:val="16"/>
        <w:szCs w:val="16"/>
        <w:rtl/>
      </w:rPr>
      <w:fldChar w:fldCharType="end"/>
    </w:r>
    <w:r w:rsidR="000B4856" w:rsidRPr="00F12E76">
      <w:rPr>
        <w:rFonts w:hint="cs"/>
        <w:i/>
        <w:iCs w:val="0"/>
        <w:sz w:val="16"/>
        <w:szCs w:val="16"/>
        <w:rtl/>
      </w:rPr>
      <w:t xml:space="preserve">   </w:t>
    </w:r>
    <w:fldSimple w:instr=" FILENAME  \* FirstCap \p  \* MERGEFORMAT ">
      <w:r w:rsidR="009E58D1" w:rsidRPr="009E58D1">
        <w:rPr>
          <w:i/>
          <w:iCs w:val="0"/>
          <w:noProof/>
          <w:sz w:val="16"/>
          <w:szCs w:val="16"/>
        </w:rPr>
        <w:t>L:\</w:t>
      </w:r>
      <w:r w:rsidR="009E58D1" w:rsidRPr="009E58D1">
        <w:rPr>
          <w:i/>
          <w:iCs w:val="0"/>
          <w:noProof/>
          <w:sz w:val="16"/>
          <w:szCs w:val="16"/>
          <w:rtl/>
        </w:rPr>
        <w:t>הספר - מעקבים 60ב\פנינה\60ב\משרד האוצר\הסדרי תגמול בגופים המוסדיים</w:t>
      </w:r>
      <w:r w:rsidR="009E58D1" w:rsidRPr="009E58D1">
        <w:rPr>
          <w:i/>
          <w:iCs w:val="0"/>
          <w:noProof/>
          <w:sz w:val="16"/>
          <w:szCs w:val="16"/>
        </w:rPr>
        <w:t>.docx</w:t>
      </w:r>
    </w:fldSimple>
    <w:r w:rsidR="000B4856" w:rsidRPr="00F12E76">
      <w:rPr>
        <w:rFonts w:hint="cs"/>
        <w:i/>
        <w:iCs w:val="0"/>
        <w:sz w:val="16"/>
        <w:szCs w:val="16"/>
        <w:rtl/>
      </w:rPr>
      <w:t xml:space="preserve">    -</w:t>
    </w:r>
    <w:r w:rsidRPr="00F12E76">
      <w:rPr>
        <w:i/>
        <w:iCs w:val="0"/>
        <w:sz w:val="16"/>
        <w:szCs w:val="16"/>
        <w:rtl/>
      </w:rPr>
      <w:fldChar w:fldCharType="begin"/>
    </w:r>
    <w:r w:rsidR="000B4856" w:rsidRPr="00F12E76">
      <w:rPr>
        <w:i/>
        <w:iCs w:val="0"/>
        <w:sz w:val="16"/>
        <w:szCs w:val="16"/>
        <w:rtl/>
      </w:rPr>
      <w:instrText xml:space="preserve"> </w:instrText>
    </w:r>
    <w:r w:rsidR="000B4856" w:rsidRPr="00F12E76">
      <w:rPr>
        <w:i/>
        <w:iCs w:val="0"/>
        <w:sz w:val="16"/>
        <w:szCs w:val="16"/>
      </w:rPr>
      <w:instrText>PAGE   \* MERGEFORMAT</w:instrText>
    </w:r>
    <w:r w:rsidR="000B4856" w:rsidRPr="00F12E76">
      <w:rPr>
        <w:i/>
        <w:iCs w:val="0"/>
        <w:sz w:val="16"/>
        <w:szCs w:val="16"/>
        <w:rtl/>
      </w:rPr>
      <w:instrText xml:space="preserve"> </w:instrText>
    </w:r>
    <w:r w:rsidRPr="00F12E76">
      <w:rPr>
        <w:i/>
        <w:iCs w:val="0"/>
        <w:sz w:val="16"/>
        <w:szCs w:val="16"/>
        <w:rtl/>
      </w:rPr>
      <w:fldChar w:fldCharType="separate"/>
    </w:r>
    <w:r w:rsidR="00B31B78">
      <w:rPr>
        <w:i/>
        <w:iCs w:val="0"/>
        <w:noProof/>
        <w:sz w:val="16"/>
        <w:szCs w:val="16"/>
        <w:rtl/>
      </w:rPr>
      <w:t>3</w:t>
    </w:r>
    <w:r w:rsidRPr="00F12E76">
      <w:rPr>
        <w:i/>
        <w:iCs w:val="0"/>
        <w:sz w:val="16"/>
        <w:szCs w:val="16"/>
        <w:rtl/>
      </w:rPr>
      <w:fldChar w:fldCharType="end"/>
    </w:r>
    <w:r w:rsidR="000B4856" w:rsidRPr="00F12E76">
      <w:rPr>
        <w:rFonts w:hint="cs"/>
        <w:i/>
        <w:iCs w:val="0"/>
        <w:sz w:val="16"/>
        <w:szCs w:val="16"/>
        <w:rtl/>
      </w:rPr>
      <w:t>-</w:t>
    </w:r>
  </w:p>
  <w:p w:rsidR="000B4856" w:rsidRPr="004C2E49" w:rsidRDefault="000B4856" w:rsidP="0018696E">
    <w:pPr>
      <w:pStyle w:val="a6"/>
      <w:tabs>
        <w:tab w:val="clear" w:pos="4153"/>
      </w:tabs>
      <w:ind w:left="84" w:hanging="483"/>
      <w:jc w:val="right"/>
      <w:rPr>
        <w:sz w:val="16"/>
        <w:szCs w:val="16"/>
        <w:rtl/>
      </w:rPr>
    </w:pPr>
  </w:p>
  <w:p w:rsidR="000B4856" w:rsidRPr="004C2E49" w:rsidRDefault="000B4856" w:rsidP="0018696E">
    <w:pPr>
      <w:tabs>
        <w:tab w:val="left" w:pos="1316"/>
        <w:tab w:val="center" w:pos="4153"/>
      </w:tabs>
      <w:ind w:hanging="483"/>
      <w:rPr>
        <w:rFonts w:cs="David"/>
        <w:sz w:val="18"/>
        <w:szCs w:val="18"/>
        <w:u w:val="single"/>
        <w:rtl/>
      </w:rPr>
    </w:pPr>
    <w:r w:rsidRPr="004C2E49">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4C2E49">
      <w:rPr>
        <w:rFonts w:cs="David" w:hint="cs"/>
        <w:sz w:val="18"/>
        <w:szCs w:val="18"/>
        <w:u w:val="single"/>
        <w:rtl/>
      </w:rPr>
      <w:t xml:space="preserve">                                                         </w:t>
    </w:r>
    <w:r>
      <w:rPr>
        <w:rFonts w:cs="David" w:hint="cs"/>
        <w:sz w:val="18"/>
        <w:szCs w:val="18"/>
        <w:u w:val="single"/>
        <w:rtl/>
      </w:rPr>
      <w:t xml:space="preserve">    </w:t>
    </w:r>
    <w:r w:rsidRPr="004C2E49">
      <w:rPr>
        <w:rFonts w:cs="David" w:hint="cs"/>
        <w:sz w:val="18"/>
        <w:szCs w:val="18"/>
        <w:u w:val="single"/>
        <w:rtl/>
      </w:rPr>
      <w:t xml:space="preserve">    </w:t>
    </w:r>
    <w:r>
      <w:rPr>
        <w:rFonts w:cs="David" w:hint="cs"/>
        <w:sz w:val="18"/>
        <w:szCs w:val="18"/>
        <w:u w:val="single"/>
        <w:rtl/>
      </w:rPr>
      <w:t xml:space="preserve">משרד האוצר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412" w:rsidRDefault="00271412">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18696E"/>
    <w:rsid w:val="00000243"/>
    <w:rsid w:val="00000739"/>
    <w:rsid w:val="00027667"/>
    <w:rsid w:val="00043D5A"/>
    <w:rsid w:val="000510D6"/>
    <w:rsid w:val="00073FA9"/>
    <w:rsid w:val="00082BAA"/>
    <w:rsid w:val="00087487"/>
    <w:rsid w:val="000A10CD"/>
    <w:rsid w:val="000B2B5D"/>
    <w:rsid w:val="000B4856"/>
    <w:rsid w:val="000C2368"/>
    <w:rsid w:val="000C4E8F"/>
    <w:rsid w:val="000D0FB7"/>
    <w:rsid w:val="000D160F"/>
    <w:rsid w:val="000E34F0"/>
    <w:rsid w:val="001000F7"/>
    <w:rsid w:val="001050B8"/>
    <w:rsid w:val="001057BF"/>
    <w:rsid w:val="00114DC0"/>
    <w:rsid w:val="00117077"/>
    <w:rsid w:val="00121C7C"/>
    <w:rsid w:val="0014223F"/>
    <w:rsid w:val="00146367"/>
    <w:rsid w:val="00150C10"/>
    <w:rsid w:val="001641DB"/>
    <w:rsid w:val="00165F1F"/>
    <w:rsid w:val="0018696E"/>
    <w:rsid w:val="00192663"/>
    <w:rsid w:val="00192F99"/>
    <w:rsid w:val="001C723E"/>
    <w:rsid w:val="001D2CC6"/>
    <w:rsid w:val="001E33C0"/>
    <w:rsid w:val="001E5006"/>
    <w:rsid w:val="001E6A43"/>
    <w:rsid w:val="00232852"/>
    <w:rsid w:val="00237AB5"/>
    <w:rsid w:val="00250C36"/>
    <w:rsid w:val="00271412"/>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37EC9"/>
    <w:rsid w:val="00346AB7"/>
    <w:rsid w:val="00354067"/>
    <w:rsid w:val="00360A13"/>
    <w:rsid w:val="0037478F"/>
    <w:rsid w:val="00377C35"/>
    <w:rsid w:val="003A6D84"/>
    <w:rsid w:val="003A7C4A"/>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859A4"/>
    <w:rsid w:val="004917AA"/>
    <w:rsid w:val="004A1055"/>
    <w:rsid w:val="004A255F"/>
    <w:rsid w:val="004B0F0E"/>
    <w:rsid w:val="004B1C7B"/>
    <w:rsid w:val="004C7217"/>
    <w:rsid w:val="004D427F"/>
    <w:rsid w:val="004E075B"/>
    <w:rsid w:val="004E46A0"/>
    <w:rsid w:val="004F2791"/>
    <w:rsid w:val="00510929"/>
    <w:rsid w:val="005139D8"/>
    <w:rsid w:val="00514843"/>
    <w:rsid w:val="005219B4"/>
    <w:rsid w:val="00533C78"/>
    <w:rsid w:val="00537BD2"/>
    <w:rsid w:val="00547425"/>
    <w:rsid w:val="0055111F"/>
    <w:rsid w:val="005578C3"/>
    <w:rsid w:val="00563607"/>
    <w:rsid w:val="005A548B"/>
    <w:rsid w:val="005A6E05"/>
    <w:rsid w:val="005D57C1"/>
    <w:rsid w:val="0060499E"/>
    <w:rsid w:val="00606B34"/>
    <w:rsid w:val="00606CCF"/>
    <w:rsid w:val="00624861"/>
    <w:rsid w:val="00632551"/>
    <w:rsid w:val="00642830"/>
    <w:rsid w:val="00646F69"/>
    <w:rsid w:val="006643DF"/>
    <w:rsid w:val="006653A5"/>
    <w:rsid w:val="0067780E"/>
    <w:rsid w:val="006807A6"/>
    <w:rsid w:val="006942D9"/>
    <w:rsid w:val="006A67BA"/>
    <w:rsid w:val="006D6414"/>
    <w:rsid w:val="006E0566"/>
    <w:rsid w:val="006E7ED9"/>
    <w:rsid w:val="00700DB0"/>
    <w:rsid w:val="0073050A"/>
    <w:rsid w:val="00733D53"/>
    <w:rsid w:val="00753962"/>
    <w:rsid w:val="007629F8"/>
    <w:rsid w:val="00762B5D"/>
    <w:rsid w:val="0076343A"/>
    <w:rsid w:val="00772A72"/>
    <w:rsid w:val="007736D0"/>
    <w:rsid w:val="007827A7"/>
    <w:rsid w:val="00783E86"/>
    <w:rsid w:val="00787AB8"/>
    <w:rsid w:val="0079378C"/>
    <w:rsid w:val="007A22BA"/>
    <w:rsid w:val="007B0C4D"/>
    <w:rsid w:val="007B4AAF"/>
    <w:rsid w:val="007D1079"/>
    <w:rsid w:val="00810E64"/>
    <w:rsid w:val="0081406C"/>
    <w:rsid w:val="00817201"/>
    <w:rsid w:val="00867F44"/>
    <w:rsid w:val="0087700A"/>
    <w:rsid w:val="0088076B"/>
    <w:rsid w:val="008A1154"/>
    <w:rsid w:val="008A3C6F"/>
    <w:rsid w:val="008B1C1D"/>
    <w:rsid w:val="008B5AD7"/>
    <w:rsid w:val="008D6336"/>
    <w:rsid w:val="008F2398"/>
    <w:rsid w:val="008F498E"/>
    <w:rsid w:val="009021C2"/>
    <w:rsid w:val="00911D45"/>
    <w:rsid w:val="00917859"/>
    <w:rsid w:val="00922D8C"/>
    <w:rsid w:val="009409FE"/>
    <w:rsid w:val="00963FFB"/>
    <w:rsid w:val="00973104"/>
    <w:rsid w:val="00984194"/>
    <w:rsid w:val="00993D03"/>
    <w:rsid w:val="00996DB6"/>
    <w:rsid w:val="009A62C4"/>
    <w:rsid w:val="009B1770"/>
    <w:rsid w:val="009B1EF7"/>
    <w:rsid w:val="009D6F86"/>
    <w:rsid w:val="009E5072"/>
    <w:rsid w:val="009E58D1"/>
    <w:rsid w:val="009E6EFD"/>
    <w:rsid w:val="009E732F"/>
    <w:rsid w:val="00A020E1"/>
    <w:rsid w:val="00A24D18"/>
    <w:rsid w:val="00A50ADE"/>
    <w:rsid w:val="00A51DC7"/>
    <w:rsid w:val="00A56E09"/>
    <w:rsid w:val="00A6715C"/>
    <w:rsid w:val="00A67167"/>
    <w:rsid w:val="00A730BC"/>
    <w:rsid w:val="00A73AE3"/>
    <w:rsid w:val="00A811C8"/>
    <w:rsid w:val="00AA1EBD"/>
    <w:rsid w:val="00AC02A2"/>
    <w:rsid w:val="00AC3E47"/>
    <w:rsid w:val="00AF66AA"/>
    <w:rsid w:val="00AF7804"/>
    <w:rsid w:val="00B00D9A"/>
    <w:rsid w:val="00B16BE4"/>
    <w:rsid w:val="00B24388"/>
    <w:rsid w:val="00B31B78"/>
    <w:rsid w:val="00B3265D"/>
    <w:rsid w:val="00B571BA"/>
    <w:rsid w:val="00B613C7"/>
    <w:rsid w:val="00B669B1"/>
    <w:rsid w:val="00B71422"/>
    <w:rsid w:val="00B82574"/>
    <w:rsid w:val="00B83D24"/>
    <w:rsid w:val="00B90865"/>
    <w:rsid w:val="00B96C6C"/>
    <w:rsid w:val="00BA4815"/>
    <w:rsid w:val="00BA5E48"/>
    <w:rsid w:val="00BA7B4B"/>
    <w:rsid w:val="00BB4131"/>
    <w:rsid w:val="00BC6FA3"/>
    <w:rsid w:val="00BD08C2"/>
    <w:rsid w:val="00BE0D3F"/>
    <w:rsid w:val="00BF7A7D"/>
    <w:rsid w:val="00C038DE"/>
    <w:rsid w:val="00C03A0E"/>
    <w:rsid w:val="00C3301D"/>
    <w:rsid w:val="00C34195"/>
    <w:rsid w:val="00C366AF"/>
    <w:rsid w:val="00C41FFA"/>
    <w:rsid w:val="00C51C1D"/>
    <w:rsid w:val="00C6659C"/>
    <w:rsid w:val="00C7074B"/>
    <w:rsid w:val="00C723C0"/>
    <w:rsid w:val="00CA2206"/>
    <w:rsid w:val="00CB6CA1"/>
    <w:rsid w:val="00CC3E2F"/>
    <w:rsid w:val="00CC683F"/>
    <w:rsid w:val="00CE2D49"/>
    <w:rsid w:val="00D02568"/>
    <w:rsid w:val="00D038BA"/>
    <w:rsid w:val="00D04CE8"/>
    <w:rsid w:val="00D20800"/>
    <w:rsid w:val="00D37D9E"/>
    <w:rsid w:val="00D57A3C"/>
    <w:rsid w:val="00D66429"/>
    <w:rsid w:val="00D8517D"/>
    <w:rsid w:val="00DA0DCD"/>
    <w:rsid w:val="00DA74D9"/>
    <w:rsid w:val="00DC0772"/>
    <w:rsid w:val="00DD5A06"/>
    <w:rsid w:val="00DE169C"/>
    <w:rsid w:val="00DF2B24"/>
    <w:rsid w:val="00E078F9"/>
    <w:rsid w:val="00E12867"/>
    <w:rsid w:val="00E20A2E"/>
    <w:rsid w:val="00E25D97"/>
    <w:rsid w:val="00E314A0"/>
    <w:rsid w:val="00E4475C"/>
    <w:rsid w:val="00E47FEC"/>
    <w:rsid w:val="00E54BFD"/>
    <w:rsid w:val="00E64E00"/>
    <w:rsid w:val="00E667E9"/>
    <w:rsid w:val="00E67FFC"/>
    <w:rsid w:val="00E70927"/>
    <w:rsid w:val="00E728AF"/>
    <w:rsid w:val="00E77641"/>
    <w:rsid w:val="00E84B36"/>
    <w:rsid w:val="00E8515A"/>
    <w:rsid w:val="00E92150"/>
    <w:rsid w:val="00E92381"/>
    <w:rsid w:val="00EA14C1"/>
    <w:rsid w:val="00EC2E19"/>
    <w:rsid w:val="00EC33CF"/>
    <w:rsid w:val="00EF3EE3"/>
    <w:rsid w:val="00EF6F1E"/>
    <w:rsid w:val="00F12E76"/>
    <w:rsid w:val="00F17E20"/>
    <w:rsid w:val="00F24A00"/>
    <w:rsid w:val="00F471BF"/>
    <w:rsid w:val="00F532A4"/>
    <w:rsid w:val="00F53CF2"/>
    <w:rsid w:val="00F61368"/>
    <w:rsid w:val="00F61BE5"/>
    <w:rsid w:val="00F73C50"/>
    <w:rsid w:val="00F76F5F"/>
    <w:rsid w:val="00F7757F"/>
    <w:rsid w:val="00F80D9F"/>
    <w:rsid w:val="00F82663"/>
    <w:rsid w:val="00F95696"/>
    <w:rsid w:val="00FA7550"/>
    <w:rsid w:val="00FB2C23"/>
    <w:rsid w:val="00FB4B1B"/>
    <w:rsid w:val="00FC0EE1"/>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96E"/>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18696E"/>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18696E"/>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18696E"/>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18696E"/>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18696E"/>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18696E"/>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18696E"/>
    <w:rPr>
      <w:rFonts w:ascii="Times New Roman" w:eastAsia="Calibri" w:hAnsi="Times New Roman"/>
      <w:b/>
      <w:bCs/>
      <w:kern w:val="32"/>
      <w:sz w:val="32"/>
      <w:szCs w:val="36"/>
      <w:u w:val="single"/>
      <w:lang w:eastAsia="he-IL"/>
    </w:rPr>
  </w:style>
  <w:style w:type="character" w:customStyle="1" w:styleId="20">
    <w:name w:val="כותרת 2 תו"/>
    <w:basedOn w:val="a0"/>
    <w:link w:val="2"/>
    <w:rsid w:val="0018696E"/>
    <w:rPr>
      <w:rFonts w:ascii="Cambria" w:eastAsia="Calibri" w:hAnsi="Cambria" w:cs="Times New Roman"/>
      <w:b/>
      <w:bCs/>
      <w:color w:val="4F81BD"/>
      <w:sz w:val="26"/>
      <w:szCs w:val="26"/>
    </w:rPr>
  </w:style>
  <w:style w:type="character" w:customStyle="1" w:styleId="30">
    <w:name w:val="כותרת 3 תו"/>
    <w:basedOn w:val="a0"/>
    <w:link w:val="3"/>
    <w:rsid w:val="0018696E"/>
    <w:rPr>
      <w:rFonts w:ascii="Cambria" w:eastAsia="Calibri" w:hAnsi="Cambria" w:cs="Times New Roman"/>
      <w:b/>
      <w:bCs/>
      <w:color w:val="4F81BD"/>
      <w:sz w:val="22"/>
      <w:szCs w:val="22"/>
    </w:rPr>
  </w:style>
  <w:style w:type="character" w:customStyle="1" w:styleId="40">
    <w:name w:val="כותרת 4 תו"/>
    <w:basedOn w:val="a0"/>
    <w:link w:val="4"/>
    <w:rsid w:val="0018696E"/>
    <w:rPr>
      <w:rFonts w:ascii="Cambria" w:eastAsia="Calibri" w:hAnsi="Cambria" w:cs="Times New Roman"/>
      <w:b/>
      <w:bCs/>
      <w:i/>
      <w:iCs/>
      <w:color w:val="4F81BD"/>
      <w:sz w:val="22"/>
      <w:szCs w:val="22"/>
    </w:rPr>
  </w:style>
  <w:style w:type="character" w:customStyle="1" w:styleId="50">
    <w:name w:val="כותרת 5 תו"/>
    <w:basedOn w:val="a0"/>
    <w:link w:val="5"/>
    <w:rsid w:val="0018696E"/>
    <w:rPr>
      <w:rFonts w:ascii="Cambria" w:eastAsia="Calibri" w:hAnsi="Cambria" w:cs="Times New Roman"/>
      <w:color w:val="243F60"/>
      <w:sz w:val="20"/>
      <w:lang w:eastAsia="he-IL"/>
    </w:rPr>
  </w:style>
  <w:style w:type="character" w:customStyle="1" w:styleId="70">
    <w:name w:val="כותרת 7 תו"/>
    <w:basedOn w:val="a0"/>
    <w:link w:val="7"/>
    <w:rsid w:val="0018696E"/>
    <w:rPr>
      <w:rFonts w:ascii="Times New Roman" w:eastAsia="Calibri" w:hAnsi="Times New Roman"/>
      <w:b/>
      <w:bCs/>
      <w:spacing w:val="40"/>
      <w:lang w:eastAsia="he-IL"/>
    </w:rPr>
  </w:style>
  <w:style w:type="paragraph" w:styleId="a3">
    <w:name w:val="caption"/>
    <w:basedOn w:val="a"/>
    <w:next w:val="a"/>
    <w:qFormat/>
    <w:rsid w:val="0018696E"/>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18696E"/>
    <w:pPr>
      <w:spacing w:after="0" w:line="240" w:lineRule="auto"/>
    </w:pPr>
    <w:rPr>
      <w:rFonts w:ascii="Tahoma" w:hAnsi="Tahoma" w:cs="Tahoma"/>
      <w:sz w:val="16"/>
      <w:szCs w:val="16"/>
    </w:rPr>
  </w:style>
  <w:style w:type="character" w:customStyle="1" w:styleId="a5">
    <w:name w:val="טקסט בלונים תו"/>
    <w:basedOn w:val="a0"/>
    <w:link w:val="a4"/>
    <w:semiHidden/>
    <w:rsid w:val="0018696E"/>
    <w:rPr>
      <w:rFonts w:ascii="Tahoma" w:eastAsia="Times New Roman" w:hAnsi="Tahoma" w:cs="Tahoma"/>
      <w:sz w:val="16"/>
      <w:szCs w:val="16"/>
    </w:rPr>
  </w:style>
  <w:style w:type="paragraph" w:customStyle="1" w:styleId="11">
    <w:name w:val="פיסקת רשימה1"/>
    <w:basedOn w:val="a"/>
    <w:rsid w:val="0018696E"/>
    <w:pPr>
      <w:ind w:left="720"/>
      <w:contextualSpacing/>
    </w:pPr>
  </w:style>
  <w:style w:type="paragraph" w:styleId="a6">
    <w:name w:val="header"/>
    <w:basedOn w:val="a"/>
    <w:link w:val="a7"/>
    <w:uiPriority w:val="99"/>
    <w:rsid w:val="0018696E"/>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uiPriority w:val="99"/>
    <w:rsid w:val="0018696E"/>
    <w:rPr>
      <w:rFonts w:ascii="Times New Roman" w:eastAsia="Calibri" w:hAnsi="Times New Roman"/>
      <w:iCs/>
      <w:lang w:eastAsia="he-IL"/>
    </w:rPr>
  </w:style>
  <w:style w:type="paragraph" w:styleId="a8">
    <w:name w:val="footer"/>
    <w:basedOn w:val="a"/>
    <w:link w:val="a9"/>
    <w:semiHidden/>
    <w:rsid w:val="0018696E"/>
    <w:pPr>
      <w:tabs>
        <w:tab w:val="center" w:pos="4153"/>
        <w:tab w:val="right" w:pos="8306"/>
      </w:tabs>
      <w:spacing w:after="0" w:line="240" w:lineRule="auto"/>
    </w:pPr>
  </w:style>
  <w:style w:type="character" w:customStyle="1" w:styleId="a9">
    <w:name w:val="כותרת תחתונה תו"/>
    <w:basedOn w:val="a0"/>
    <w:link w:val="a8"/>
    <w:semiHidden/>
    <w:rsid w:val="0018696E"/>
    <w:rPr>
      <w:rFonts w:ascii="Calibri" w:eastAsia="Times New Roman" w:hAnsi="Calibri" w:cs="Arial"/>
      <w:sz w:val="22"/>
      <w:szCs w:val="22"/>
    </w:rPr>
  </w:style>
  <w:style w:type="character" w:customStyle="1" w:styleId="21">
    <w:name w:val="תו תו2"/>
    <w:basedOn w:val="a0"/>
    <w:rsid w:val="0018696E"/>
    <w:rPr>
      <w:rFonts w:cs="David"/>
      <w:b/>
      <w:bCs/>
      <w:spacing w:val="40"/>
      <w:sz w:val="24"/>
      <w:szCs w:val="24"/>
      <w:lang w:val="en-US" w:eastAsia="he-IL" w:bidi="he-IL"/>
    </w:rPr>
  </w:style>
  <w:style w:type="paragraph" w:customStyle="1" w:styleId="aa">
    <w:name w:val="נבנצלים"/>
    <w:basedOn w:val="a"/>
    <w:next w:val="a"/>
    <w:link w:val="ab"/>
    <w:rsid w:val="0018696E"/>
    <w:pPr>
      <w:widowControl w:val="0"/>
      <w:spacing w:after="0" w:line="312" w:lineRule="auto"/>
      <w:ind w:left="-567"/>
      <w:jc w:val="both"/>
    </w:pPr>
    <w:rPr>
      <w:rFonts w:ascii="Times New Roman" w:eastAsia="Calibri" w:hAnsi="Times New Roman" w:cs="David"/>
      <w:sz w:val="20"/>
      <w:szCs w:val="20"/>
      <w:lang w:eastAsia="he-IL"/>
    </w:rPr>
  </w:style>
  <w:style w:type="character" w:customStyle="1" w:styleId="ab">
    <w:name w:val="נבנצלים תו"/>
    <w:basedOn w:val="a0"/>
    <w:link w:val="aa"/>
    <w:locked/>
    <w:rsid w:val="0018696E"/>
    <w:rPr>
      <w:rFonts w:ascii="Times New Roman" w:eastAsia="Calibri" w:hAnsi="Times New Roman"/>
      <w:sz w:val="20"/>
      <w:szCs w:val="20"/>
      <w:lang w:eastAsia="he-IL"/>
    </w:rPr>
  </w:style>
  <w:style w:type="paragraph" w:customStyle="1" w:styleId="12">
    <w:name w:val="פיסקת רשימה1"/>
    <w:basedOn w:val="a"/>
    <w:rsid w:val="0018696E"/>
    <w:pPr>
      <w:spacing w:after="0" w:line="240" w:lineRule="auto"/>
      <w:ind w:left="720"/>
      <w:contextualSpacing/>
    </w:pPr>
    <w:rPr>
      <w:rFonts w:ascii="Century Gothic" w:eastAsia="Calibri" w:hAnsi="Century Gothic" w:cs="David"/>
      <w:noProof/>
      <w:sz w:val="24"/>
      <w:szCs w:val="24"/>
      <w:lang w:eastAsia="he-IL"/>
    </w:rPr>
  </w:style>
  <w:style w:type="paragraph" w:styleId="NormalWeb">
    <w:name w:val="Normal (Web)"/>
    <w:basedOn w:val="a"/>
    <w:semiHidden/>
    <w:rsid w:val="0018696E"/>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18696E"/>
    <w:rPr>
      <w:rFonts w:ascii="Times New Roman" w:hAnsi="Times New Roman" w:cs="David"/>
      <w:b/>
      <w:bCs/>
      <w:spacing w:val="40"/>
      <w:sz w:val="24"/>
      <w:szCs w:val="24"/>
      <w:lang w:eastAsia="he-IL" w:bidi="he-IL"/>
    </w:rPr>
  </w:style>
  <w:style w:type="paragraph" w:styleId="ac">
    <w:name w:val="footnote text"/>
    <w:basedOn w:val="a"/>
    <w:link w:val="ad"/>
    <w:semiHidden/>
    <w:rsid w:val="0018696E"/>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d">
    <w:name w:val="טקסט הערת שוליים תו"/>
    <w:basedOn w:val="a0"/>
    <w:link w:val="ac"/>
    <w:semiHidden/>
    <w:rsid w:val="0018696E"/>
    <w:rPr>
      <w:rFonts w:ascii="Times New Roman" w:eastAsia="Calibri" w:hAnsi="Times New Roman"/>
      <w:szCs w:val="20"/>
      <w:lang w:eastAsia="he-IL"/>
    </w:rPr>
  </w:style>
  <w:style w:type="table" w:styleId="ae">
    <w:name w:val="Table Grid"/>
    <w:basedOn w:val="a1"/>
    <w:rsid w:val="0018696E"/>
    <w:pPr>
      <w:widowControl w:val="0"/>
      <w:bidi/>
      <w:spacing w:line="312" w:lineRule="auto"/>
      <w:jc w:val="both"/>
    </w:pPr>
    <w:rPr>
      <w:rFonts w:ascii="Calibri" w:eastAsia="Calibri" w:hAnsi="Calibri"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כותרת מאמר"/>
    <w:basedOn w:val="a"/>
    <w:uiPriority w:val="99"/>
    <w:rsid w:val="00B31B78"/>
    <w:pPr>
      <w:suppressAutoHyphens/>
      <w:autoSpaceDE w:val="0"/>
      <w:autoSpaceDN w:val="0"/>
      <w:adjustRightInd w:val="0"/>
      <w:spacing w:after="170" w:line="340" w:lineRule="atLeast"/>
      <w:jc w:val="center"/>
      <w:textAlignment w:val="center"/>
    </w:pPr>
    <w:rPr>
      <w:rFonts w:ascii="David" w:eastAsiaTheme="minorHAnsi" w:hAnsiTheme="minorHAnsi" w:cs="David"/>
      <w:b/>
      <w:bCs/>
      <w:color w:val="000000"/>
      <w:sz w:val="36"/>
      <w:szCs w:val="36"/>
    </w:rPr>
  </w:style>
  <w:style w:type="character" w:customStyle="1" w:styleId="af0">
    <w:name w:val="בולד"/>
    <w:uiPriority w:val="99"/>
    <w:rsid w:val="00B31B78"/>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889</Words>
  <Characters>4446</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2010-10-13T12:25:00Z</cp:lastPrinted>
  <dcterms:created xsi:type="dcterms:W3CDTF">2010-12-12T08:45:00Z</dcterms:created>
  <dcterms:modified xsi:type="dcterms:W3CDTF">2010-12-12T08:45:00Z</dcterms:modified>
</cp:coreProperties>
</file>