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0597" w:rsidRPr="00F10597" w:rsidRDefault="00F10597" w:rsidP="00F10597">
      <w:pPr>
        <w:suppressAutoHyphens/>
        <w:autoSpaceDE w:val="0"/>
        <w:autoSpaceDN w:val="0"/>
        <w:adjustRightInd w:val="0"/>
        <w:spacing w:after="170" w:line="340" w:lineRule="atLeast"/>
        <w:jc w:val="center"/>
        <w:textAlignment w:val="center"/>
        <w:rPr>
          <w:rFonts w:ascii="David" w:cs="David"/>
          <w:b/>
          <w:bCs/>
          <w:color w:val="000000"/>
          <w:sz w:val="32"/>
          <w:szCs w:val="32"/>
          <w:rtl/>
        </w:rPr>
      </w:pPr>
      <w:r w:rsidRPr="00F10597">
        <w:rPr>
          <w:rFonts w:ascii="David" w:cs="David" w:hint="cs"/>
          <w:b/>
          <w:bCs/>
          <w:color w:val="000000"/>
          <w:sz w:val="32"/>
          <w:szCs w:val="32"/>
          <w:rtl/>
        </w:rPr>
        <w:t>הסדרת שוק החיסכון הפנסיוני והפיקוח עליו</w:t>
      </w:r>
    </w:p>
    <w:p w:rsidR="00F10597" w:rsidRPr="00F10597" w:rsidRDefault="00F10597" w:rsidP="00F10597">
      <w:pPr>
        <w:autoSpaceDE w:val="0"/>
        <w:autoSpaceDN w:val="0"/>
        <w:adjustRightInd w:val="0"/>
        <w:spacing w:after="0" w:line="288" w:lineRule="auto"/>
        <w:jc w:val="right"/>
        <w:textAlignment w:val="center"/>
        <w:rPr>
          <w:rFonts w:ascii="Times New Roman" w:hAnsi="Times New Roman" w:cs="Times New Roman"/>
          <w:b/>
          <w:bCs/>
          <w:color w:val="000000"/>
          <w:sz w:val="20"/>
          <w:szCs w:val="20"/>
        </w:rPr>
      </w:pPr>
    </w:p>
    <w:p w:rsidR="00F10597" w:rsidRPr="00F10597" w:rsidRDefault="00F10597" w:rsidP="00F10597">
      <w:pPr>
        <w:autoSpaceDE w:val="0"/>
        <w:autoSpaceDN w:val="0"/>
        <w:adjustRightInd w:val="0"/>
        <w:spacing w:after="0" w:line="288" w:lineRule="auto"/>
        <w:jc w:val="both"/>
        <w:textAlignment w:val="center"/>
        <w:rPr>
          <w:rFonts w:ascii="David" w:hAnsi="Times New Roman" w:cs="David"/>
          <w:b/>
          <w:bCs/>
          <w:color w:val="000000"/>
          <w:sz w:val="24"/>
          <w:szCs w:val="24"/>
          <w:rtl/>
        </w:rPr>
      </w:pPr>
      <w:r w:rsidRPr="00F10597">
        <w:rPr>
          <w:rFonts w:ascii="David" w:hAnsi="Times New Roman" w:cs="David" w:hint="cs"/>
          <w:b/>
          <w:bCs/>
          <w:color w:val="000000"/>
          <w:sz w:val="24"/>
          <w:szCs w:val="24"/>
          <w:rtl/>
        </w:rPr>
        <w:t>הגופים המבוקרים: משרד האוצר – אגף שוק ההון ביטוח וחיסכון; רשות ניירות ערך; בנק ישראל</w:t>
      </w:r>
    </w:p>
    <w:p w:rsidR="00F10597" w:rsidRPr="00F10597" w:rsidRDefault="00F10597" w:rsidP="00F10597">
      <w:pPr>
        <w:autoSpaceDE w:val="0"/>
        <w:autoSpaceDN w:val="0"/>
        <w:adjustRightInd w:val="0"/>
        <w:spacing w:after="0" w:line="288" w:lineRule="auto"/>
        <w:jc w:val="both"/>
        <w:textAlignment w:val="center"/>
        <w:rPr>
          <w:rFonts w:ascii="David" w:hAnsi="Times New Roman" w:cs="David"/>
          <w:b/>
          <w:bCs/>
          <w:color w:val="000000"/>
          <w:sz w:val="24"/>
          <w:szCs w:val="24"/>
          <w:rtl/>
        </w:rPr>
      </w:pPr>
    </w:p>
    <w:p w:rsidR="00F10597" w:rsidRPr="00F10597" w:rsidRDefault="00F10597" w:rsidP="00F10597">
      <w:pPr>
        <w:autoSpaceDE w:val="0"/>
        <w:autoSpaceDN w:val="0"/>
        <w:adjustRightInd w:val="0"/>
        <w:spacing w:after="0" w:line="288" w:lineRule="auto"/>
        <w:ind w:left="509" w:hanging="509"/>
        <w:jc w:val="both"/>
        <w:textAlignment w:val="center"/>
        <w:rPr>
          <w:rFonts w:ascii="David" w:hAnsi="Times New Roman" w:cs="David"/>
          <w:color w:val="000000"/>
          <w:sz w:val="24"/>
          <w:szCs w:val="24"/>
          <w:rtl/>
        </w:rPr>
      </w:pPr>
      <w:r w:rsidRPr="00F10597">
        <w:rPr>
          <w:rFonts w:ascii="David" w:hAnsi="Times New Roman" w:cs="David" w:hint="cs"/>
          <w:color w:val="000000"/>
          <w:sz w:val="24"/>
          <w:szCs w:val="24"/>
          <w:rtl/>
        </w:rPr>
        <w:t xml:space="preserve">ליקוי 1 תוקן. ראה הערות רה"מ </w:t>
      </w:r>
      <w:proofErr w:type="spellStart"/>
      <w:r w:rsidRPr="00F10597">
        <w:rPr>
          <w:rFonts w:ascii="David" w:hAnsi="Times New Roman" w:cs="David" w:hint="cs"/>
          <w:color w:val="000000"/>
          <w:sz w:val="24"/>
          <w:szCs w:val="24"/>
          <w:rtl/>
        </w:rPr>
        <w:t>60ב</w:t>
      </w:r>
      <w:proofErr w:type="spellEnd"/>
      <w:r w:rsidRPr="00F10597">
        <w:rPr>
          <w:rFonts w:ascii="David" w:hAnsi="Times New Roman" w:cs="David" w:hint="cs"/>
          <w:color w:val="000000"/>
          <w:sz w:val="24"/>
          <w:szCs w:val="24"/>
          <w:rtl/>
        </w:rPr>
        <w:t xml:space="preserve">' </w:t>
      </w:r>
      <w:proofErr w:type="spellStart"/>
      <w:r w:rsidRPr="00F10597">
        <w:rPr>
          <w:rFonts w:ascii="David" w:hAnsi="Times New Roman" w:cs="David" w:hint="cs"/>
          <w:color w:val="000000"/>
          <w:sz w:val="24"/>
          <w:szCs w:val="24"/>
          <w:rtl/>
        </w:rPr>
        <w:t>עמ</w:t>
      </w:r>
      <w:proofErr w:type="spellEnd"/>
      <w:r w:rsidRPr="00F10597">
        <w:rPr>
          <w:rFonts w:ascii="David" w:hAnsi="Times New Roman" w:cs="David" w:hint="cs"/>
          <w:color w:val="000000"/>
          <w:sz w:val="24"/>
          <w:szCs w:val="24"/>
          <w:rtl/>
        </w:rPr>
        <w:t>' 45.</w:t>
      </w:r>
    </w:p>
    <w:p w:rsidR="00F10597" w:rsidRPr="00F10597" w:rsidRDefault="00F10597" w:rsidP="00F10597">
      <w:pPr>
        <w:autoSpaceDE w:val="0"/>
        <w:autoSpaceDN w:val="0"/>
        <w:adjustRightInd w:val="0"/>
        <w:spacing w:after="0" w:line="288" w:lineRule="auto"/>
        <w:ind w:left="509" w:hanging="509"/>
        <w:jc w:val="both"/>
        <w:textAlignment w:val="center"/>
        <w:rPr>
          <w:rFonts w:ascii="David" w:hAnsi="Times New Roman" w:cs="David"/>
          <w:color w:val="000000"/>
          <w:sz w:val="24"/>
          <w:szCs w:val="24"/>
          <w:rtl/>
        </w:rPr>
      </w:pPr>
    </w:p>
    <w:p w:rsidR="00F10597" w:rsidRPr="00F10597" w:rsidRDefault="00F10597" w:rsidP="00F10597">
      <w:pPr>
        <w:autoSpaceDE w:val="0"/>
        <w:autoSpaceDN w:val="0"/>
        <w:adjustRightInd w:val="0"/>
        <w:spacing w:after="0" w:line="288" w:lineRule="auto"/>
        <w:jc w:val="both"/>
        <w:textAlignment w:val="center"/>
        <w:rPr>
          <w:rFonts w:ascii="David" w:hAnsi="Times New Roman" w:cs="David"/>
          <w:b/>
          <w:bCs/>
          <w:color w:val="000000"/>
          <w:sz w:val="24"/>
          <w:szCs w:val="24"/>
          <w:rtl/>
        </w:rPr>
      </w:pPr>
      <w:r w:rsidRPr="00F10597">
        <w:rPr>
          <w:rFonts w:ascii="David" w:hAnsi="Times New Roman" w:cs="David" w:hint="cs"/>
          <w:b/>
          <w:bCs/>
          <w:color w:val="000000"/>
          <w:sz w:val="24"/>
          <w:szCs w:val="24"/>
          <w:rtl/>
        </w:rPr>
        <w:t>ליקוי</w:t>
      </w:r>
    </w:p>
    <w:p w:rsidR="00F10597" w:rsidRPr="00F10597" w:rsidRDefault="00F10597" w:rsidP="00F10597">
      <w:pPr>
        <w:autoSpaceDE w:val="0"/>
        <w:autoSpaceDN w:val="0"/>
        <w:adjustRightInd w:val="0"/>
        <w:spacing w:after="0" w:line="288" w:lineRule="auto"/>
        <w:jc w:val="both"/>
        <w:textAlignment w:val="center"/>
        <w:rPr>
          <w:rFonts w:ascii="David" w:hAnsi="Times New Roman" w:cs="David"/>
          <w:b/>
          <w:bCs/>
          <w:color w:val="000000"/>
          <w:sz w:val="24"/>
          <w:szCs w:val="24"/>
          <w:rtl/>
        </w:rPr>
      </w:pPr>
    </w:p>
    <w:p w:rsidR="00F10597" w:rsidRPr="00F10597" w:rsidRDefault="00F10597" w:rsidP="00F10597">
      <w:pPr>
        <w:autoSpaceDE w:val="0"/>
        <w:autoSpaceDN w:val="0"/>
        <w:adjustRightInd w:val="0"/>
        <w:spacing w:after="0" w:line="288" w:lineRule="auto"/>
        <w:ind w:left="509" w:hanging="509"/>
        <w:jc w:val="both"/>
        <w:textAlignment w:val="center"/>
        <w:rPr>
          <w:rFonts w:ascii="David" w:hAnsi="Times New Roman" w:cs="David"/>
          <w:color w:val="000000"/>
          <w:sz w:val="24"/>
          <w:szCs w:val="24"/>
          <w:rtl/>
        </w:rPr>
      </w:pPr>
      <w:r w:rsidRPr="00F10597">
        <w:rPr>
          <w:rFonts w:ascii="David" w:hAnsi="Times New Roman" w:cs="David" w:hint="cs"/>
          <w:color w:val="000000"/>
          <w:sz w:val="24"/>
          <w:szCs w:val="24"/>
          <w:rtl/>
        </w:rPr>
        <w:t>2.</w:t>
      </w:r>
      <w:r w:rsidRPr="00F10597">
        <w:rPr>
          <w:rFonts w:ascii="David" w:hAnsi="Times New Roman" w:cs="David"/>
          <w:color w:val="000000"/>
          <w:sz w:val="24"/>
          <w:szCs w:val="24"/>
          <w:rtl/>
        </w:rPr>
        <w:tab/>
      </w:r>
      <w:r w:rsidRPr="00F10597">
        <w:rPr>
          <w:rFonts w:ascii="David" w:hAnsi="Times New Roman" w:cs="David" w:hint="cs"/>
          <w:color w:val="000000"/>
          <w:sz w:val="24"/>
          <w:szCs w:val="24"/>
          <w:rtl/>
        </w:rPr>
        <w:t>אגף שוק ההון לא טיפל במידה מספקת, עד לפרוץ המשבר בשוק ההון, בריכוזם הגבוה של כספי חיסכון במסלולים ה"כלליים", ובבעייתיות הקיימת בהגדרת מסלולי ההשקעה ומדיניות ההשקעה, וטיפולו היה רק בשלבים התחלתיים.</w:t>
      </w:r>
    </w:p>
    <w:p w:rsidR="00F10597" w:rsidRPr="00F10597" w:rsidRDefault="00F10597" w:rsidP="00F10597">
      <w:pPr>
        <w:autoSpaceDE w:val="0"/>
        <w:autoSpaceDN w:val="0"/>
        <w:adjustRightInd w:val="0"/>
        <w:spacing w:after="0" w:line="288" w:lineRule="auto"/>
        <w:ind w:left="509" w:hanging="509"/>
        <w:jc w:val="both"/>
        <w:textAlignment w:val="center"/>
        <w:rPr>
          <w:rFonts w:ascii="David" w:hAnsi="Times New Roman" w:cs="David"/>
          <w:color w:val="000000"/>
          <w:sz w:val="24"/>
          <w:szCs w:val="24"/>
          <w:rtl/>
        </w:rPr>
      </w:pPr>
    </w:p>
    <w:p w:rsidR="00F10597" w:rsidRPr="00F10597" w:rsidRDefault="00F10597" w:rsidP="00F10597">
      <w:pPr>
        <w:autoSpaceDE w:val="0"/>
        <w:autoSpaceDN w:val="0"/>
        <w:adjustRightInd w:val="0"/>
        <w:spacing w:after="0" w:line="288" w:lineRule="auto"/>
        <w:ind w:left="509" w:hanging="509"/>
        <w:jc w:val="both"/>
        <w:textAlignment w:val="center"/>
        <w:rPr>
          <w:rFonts w:ascii="David" w:hAnsi="Times New Roman" w:cs="David"/>
          <w:b/>
          <w:bCs/>
          <w:color w:val="000000"/>
          <w:sz w:val="24"/>
          <w:szCs w:val="24"/>
          <w:rtl/>
        </w:rPr>
      </w:pPr>
      <w:r w:rsidRPr="00F10597">
        <w:rPr>
          <w:rFonts w:ascii="David" w:hAnsi="Times New Roman" w:cs="David" w:hint="cs"/>
          <w:b/>
          <w:bCs/>
          <w:color w:val="000000"/>
          <w:sz w:val="24"/>
          <w:szCs w:val="24"/>
          <w:rtl/>
        </w:rPr>
        <w:t>מעקב</w:t>
      </w:r>
    </w:p>
    <w:p w:rsidR="00F10597" w:rsidRPr="00F10597" w:rsidRDefault="00F10597" w:rsidP="00F10597">
      <w:pPr>
        <w:autoSpaceDE w:val="0"/>
        <w:autoSpaceDN w:val="0"/>
        <w:adjustRightInd w:val="0"/>
        <w:spacing w:after="0" w:line="288" w:lineRule="auto"/>
        <w:ind w:left="509" w:hanging="509"/>
        <w:jc w:val="both"/>
        <w:textAlignment w:val="center"/>
        <w:rPr>
          <w:rFonts w:ascii="David" w:hAnsi="Times New Roman" w:cs="David"/>
          <w:b/>
          <w:bCs/>
          <w:color w:val="000000"/>
          <w:sz w:val="24"/>
          <w:szCs w:val="24"/>
          <w:rtl/>
        </w:rPr>
      </w:pPr>
      <w:r w:rsidRPr="00F10597">
        <w:rPr>
          <w:rFonts w:ascii="David" w:hAnsi="Times New Roman" w:cs="David" w:hint="cs"/>
          <w:b/>
          <w:bCs/>
          <w:color w:val="000000"/>
          <w:sz w:val="24"/>
          <w:szCs w:val="24"/>
          <w:rtl/>
        </w:rPr>
        <w:t>משרד האוצר – אגף שוק ההון, ביטוח וחיסכון</w:t>
      </w:r>
    </w:p>
    <w:p w:rsidR="00F10597" w:rsidRPr="00F10597" w:rsidRDefault="00F10597" w:rsidP="00F10597">
      <w:pPr>
        <w:suppressAutoHyphens/>
        <w:autoSpaceDE w:val="0"/>
        <w:autoSpaceDN w:val="0"/>
        <w:adjustRightInd w:val="0"/>
        <w:spacing w:after="0" w:line="288" w:lineRule="auto"/>
        <w:ind w:left="1076" w:hanging="1076"/>
        <w:jc w:val="both"/>
        <w:textAlignment w:val="center"/>
        <w:rPr>
          <w:rFonts w:ascii="David" w:hAnsi="Times New Roman" w:cs="David"/>
          <w:color w:val="000000"/>
          <w:sz w:val="24"/>
          <w:szCs w:val="24"/>
          <w:rtl/>
        </w:rPr>
      </w:pPr>
    </w:p>
    <w:p w:rsidR="00F10597" w:rsidRPr="00F10597" w:rsidRDefault="00F10597" w:rsidP="00F10597">
      <w:pPr>
        <w:suppressAutoHyphens/>
        <w:autoSpaceDE w:val="0"/>
        <w:autoSpaceDN w:val="0"/>
        <w:adjustRightInd w:val="0"/>
        <w:spacing w:after="0" w:line="288" w:lineRule="auto"/>
        <w:ind w:left="1076" w:hanging="1076"/>
        <w:jc w:val="both"/>
        <w:textAlignment w:val="center"/>
        <w:rPr>
          <w:rFonts w:ascii="David" w:hAnsi="Times New Roman" w:cs="David"/>
          <w:color w:val="000000"/>
          <w:sz w:val="24"/>
          <w:szCs w:val="24"/>
          <w:rtl/>
        </w:rPr>
      </w:pPr>
      <w:r w:rsidRPr="00F10597">
        <w:rPr>
          <w:rFonts w:ascii="David" w:hAnsi="Times New Roman" w:cs="David" w:hint="cs"/>
          <w:color w:val="000000"/>
          <w:sz w:val="24"/>
          <w:szCs w:val="24"/>
          <w:rtl/>
        </w:rPr>
        <w:t xml:space="preserve">2. </w:t>
      </w:r>
      <w:r w:rsidRPr="00F10597">
        <w:rPr>
          <w:rFonts w:ascii="David" w:hAnsi="Times New Roman" w:cs="David"/>
          <w:color w:val="000000"/>
          <w:sz w:val="24"/>
          <w:szCs w:val="24"/>
          <w:rtl/>
        </w:rPr>
        <w:tab/>
      </w:r>
      <w:r w:rsidRPr="00F10597">
        <w:rPr>
          <w:rFonts w:ascii="David" w:hAnsi="Times New Roman" w:cs="David" w:hint="cs"/>
          <w:color w:val="000000"/>
          <w:sz w:val="24"/>
          <w:szCs w:val="24"/>
          <w:rtl/>
        </w:rPr>
        <w:t xml:space="preserve">בהמשך להחלטת הממשלה שמספרה 4323 מיום 14 בדצמבר 2008, ולאחר עבודת מטה נרחבת באגף שוק ההון, פורסמו ב-8 ביולי 2009 טיוטת תקנות הפיקוח על שירותים פיננסיים (קופות גמל), הקמת מסלולי ברירת מחדל, </w:t>
      </w:r>
      <w:proofErr w:type="spellStart"/>
      <w:r w:rsidRPr="00F10597">
        <w:rPr>
          <w:rFonts w:ascii="David" w:hAnsi="Times New Roman" w:cs="David" w:hint="cs"/>
          <w:color w:val="000000"/>
          <w:sz w:val="24"/>
          <w:szCs w:val="24"/>
          <w:rtl/>
        </w:rPr>
        <w:t>התשס"ט</w:t>
      </w:r>
      <w:proofErr w:type="spellEnd"/>
      <w:r w:rsidRPr="00F10597">
        <w:rPr>
          <w:rFonts w:ascii="David" w:hAnsi="Times New Roman" w:cs="David" w:hint="cs"/>
          <w:color w:val="000000"/>
          <w:sz w:val="24"/>
          <w:szCs w:val="24"/>
          <w:rtl/>
        </w:rPr>
        <w:t>-2009 וטיוטת חוזר "התאמת מסלול החיסכון למאפייני העמית". מטרת הטיוטות הינה לקבוע את אופן הצטרפות העמיתים למוצרי החיסכון הפנסיוני השונים בהתבסס על המאפיינים הייחודיים שלהם, ואת האופן בו הגופים המוסדיים צריכים לנהוג על מנת להתאים את החיסכון לצרכי העמיתים, לאורך כל תקופת החיסכון. מאז פרסום הטיוטות קיבל האגף את הערות הגופים המוסדיים וגורמים אחרים לטיוטות, וקיים סדרת פגישות והתייעצויות נרחבות עם הגורמים השונים. סבב טיוטות נוסף בנדון פורסם ביום 6 ביולי 2010.</w:t>
      </w:r>
    </w:p>
    <w:p w:rsidR="00F10597" w:rsidRPr="00F10597" w:rsidRDefault="00F10597" w:rsidP="00F10597">
      <w:pPr>
        <w:suppressAutoHyphens/>
        <w:autoSpaceDE w:val="0"/>
        <w:autoSpaceDN w:val="0"/>
        <w:adjustRightInd w:val="0"/>
        <w:spacing w:after="0" w:line="288" w:lineRule="auto"/>
        <w:ind w:left="1076" w:hanging="1076"/>
        <w:jc w:val="both"/>
        <w:textAlignment w:val="center"/>
        <w:rPr>
          <w:rFonts w:ascii="David" w:hAnsi="Times New Roman" w:cs="David"/>
          <w:color w:val="000000"/>
          <w:sz w:val="24"/>
          <w:szCs w:val="24"/>
          <w:rtl/>
        </w:rPr>
      </w:pPr>
      <w:r w:rsidRPr="00F10597">
        <w:rPr>
          <w:rFonts w:ascii="David" w:hAnsi="Times New Roman" w:cs="David"/>
          <w:color w:val="000000"/>
          <w:sz w:val="24"/>
          <w:szCs w:val="24"/>
          <w:rtl/>
        </w:rPr>
        <w:tab/>
      </w:r>
      <w:r w:rsidRPr="00F10597">
        <w:rPr>
          <w:rFonts w:ascii="David" w:hAnsi="Times New Roman" w:cs="David" w:hint="cs"/>
          <w:color w:val="000000"/>
          <w:sz w:val="24"/>
          <w:szCs w:val="24"/>
          <w:rtl/>
        </w:rPr>
        <w:t xml:space="preserve">ראה הערות רה"מ </w:t>
      </w:r>
      <w:proofErr w:type="spellStart"/>
      <w:r w:rsidRPr="00F10597">
        <w:rPr>
          <w:rFonts w:ascii="David" w:hAnsi="Times New Roman" w:cs="David" w:hint="cs"/>
          <w:color w:val="000000"/>
          <w:sz w:val="24"/>
          <w:szCs w:val="24"/>
          <w:rtl/>
        </w:rPr>
        <w:t>60ב</w:t>
      </w:r>
      <w:proofErr w:type="spellEnd"/>
      <w:r w:rsidRPr="00F10597">
        <w:rPr>
          <w:rFonts w:ascii="David" w:hAnsi="Times New Roman" w:cs="David" w:hint="cs"/>
          <w:color w:val="000000"/>
          <w:sz w:val="24"/>
          <w:szCs w:val="24"/>
          <w:rtl/>
        </w:rPr>
        <w:t xml:space="preserve">' </w:t>
      </w:r>
      <w:proofErr w:type="spellStart"/>
      <w:r w:rsidRPr="00F10597">
        <w:rPr>
          <w:rFonts w:ascii="David" w:hAnsi="Times New Roman" w:cs="David" w:hint="cs"/>
          <w:color w:val="000000"/>
          <w:sz w:val="24"/>
          <w:szCs w:val="24"/>
          <w:rtl/>
        </w:rPr>
        <w:t>עמ</w:t>
      </w:r>
      <w:proofErr w:type="spellEnd"/>
      <w:r w:rsidRPr="00F10597">
        <w:rPr>
          <w:rFonts w:ascii="David" w:hAnsi="Times New Roman" w:cs="David" w:hint="cs"/>
          <w:color w:val="000000"/>
          <w:sz w:val="24"/>
          <w:szCs w:val="24"/>
          <w:rtl/>
        </w:rPr>
        <w:t>' 45.</w:t>
      </w:r>
    </w:p>
    <w:p w:rsidR="00F10597" w:rsidRPr="00F10597" w:rsidRDefault="00F10597" w:rsidP="00F10597">
      <w:pPr>
        <w:autoSpaceDE w:val="0"/>
        <w:autoSpaceDN w:val="0"/>
        <w:adjustRightInd w:val="0"/>
        <w:spacing w:after="0" w:line="288" w:lineRule="auto"/>
        <w:ind w:left="1076" w:hanging="1076"/>
        <w:jc w:val="both"/>
        <w:textAlignment w:val="center"/>
        <w:rPr>
          <w:rFonts w:ascii="David" w:hAnsi="Times New Roman" w:cs="David"/>
          <w:color w:val="000000"/>
          <w:sz w:val="24"/>
          <w:szCs w:val="24"/>
          <w:rtl/>
        </w:rPr>
      </w:pPr>
    </w:p>
    <w:p w:rsidR="00F10597" w:rsidRPr="00F10597" w:rsidRDefault="00F10597" w:rsidP="00F10597">
      <w:pPr>
        <w:autoSpaceDE w:val="0"/>
        <w:autoSpaceDN w:val="0"/>
        <w:adjustRightInd w:val="0"/>
        <w:spacing w:after="0" w:line="288" w:lineRule="auto"/>
        <w:jc w:val="both"/>
        <w:textAlignment w:val="center"/>
        <w:rPr>
          <w:rFonts w:ascii="David" w:hAnsi="Times New Roman" w:cs="David"/>
          <w:b/>
          <w:bCs/>
          <w:color w:val="000000"/>
          <w:sz w:val="24"/>
          <w:szCs w:val="24"/>
          <w:rtl/>
        </w:rPr>
      </w:pPr>
      <w:r w:rsidRPr="00F10597">
        <w:rPr>
          <w:rFonts w:ascii="David" w:hAnsi="Times New Roman" w:cs="David" w:hint="cs"/>
          <w:b/>
          <w:bCs/>
          <w:color w:val="000000"/>
          <w:sz w:val="24"/>
          <w:szCs w:val="24"/>
          <w:rtl/>
        </w:rPr>
        <w:t>ליקוי</w:t>
      </w:r>
    </w:p>
    <w:p w:rsidR="00F10597" w:rsidRPr="00F10597" w:rsidRDefault="00F10597" w:rsidP="00F10597">
      <w:pPr>
        <w:autoSpaceDE w:val="0"/>
        <w:autoSpaceDN w:val="0"/>
        <w:adjustRightInd w:val="0"/>
        <w:spacing w:after="0" w:line="288" w:lineRule="auto"/>
        <w:jc w:val="both"/>
        <w:textAlignment w:val="center"/>
        <w:rPr>
          <w:rFonts w:ascii="David" w:hAnsi="Times New Roman" w:cs="David"/>
          <w:b/>
          <w:bCs/>
          <w:color w:val="000000"/>
          <w:sz w:val="24"/>
          <w:szCs w:val="24"/>
          <w:rtl/>
        </w:rPr>
      </w:pPr>
    </w:p>
    <w:p w:rsidR="00F10597" w:rsidRPr="00F10597" w:rsidRDefault="00F10597" w:rsidP="00F10597">
      <w:pPr>
        <w:suppressAutoHyphens/>
        <w:autoSpaceDE w:val="0"/>
        <w:autoSpaceDN w:val="0"/>
        <w:adjustRightInd w:val="0"/>
        <w:spacing w:after="0" w:line="288" w:lineRule="auto"/>
        <w:ind w:left="509" w:hanging="509"/>
        <w:jc w:val="both"/>
        <w:textAlignment w:val="center"/>
        <w:rPr>
          <w:rFonts w:ascii="David" w:hAnsi="Times New Roman" w:cs="David"/>
          <w:color w:val="000000"/>
          <w:sz w:val="24"/>
          <w:szCs w:val="24"/>
          <w:rtl/>
        </w:rPr>
      </w:pPr>
      <w:r w:rsidRPr="00F10597">
        <w:rPr>
          <w:rFonts w:ascii="David" w:hAnsi="Times New Roman" w:cs="David" w:hint="cs"/>
          <w:color w:val="000000"/>
          <w:sz w:val="24"/>
          <w:szCs w:val="24"/>
          <w:rtl/>
        </w:rPr>
        <w:t>3.</w:t>
      </w:r>
      <w:r w:rsidRPr="00F10597">
        <w:rPr>
          <w:rFonts w:ascii="David" w:hAnsi="Times New Roman" w:cs="David"/>
          <w:color w:val="000000"/>
          <w:sz w:val="24"/>
          <w:szCs w:val="24"/>
          <w:rtl/>
        </w:rPr>
        <w:tab/>
      </w:r>
      <w:r w:rsidRPr="00F10597">
        <w:rPr>
          <w:rFonts w:ascii="David" w:hAnsi="Times New Roman" w:cs="David" w:hint="cs"/>
          <w:color w:val="000000"/>
          <w:sz w:val="24"/>
          <w:szCs w:val="24"/>
          <w:rtl/>
        </w:rPr>
        <w:t xml:space="preserve">אגף שוק ההון בודק רק באופן חלקי את עמידת הגופים המוסדיים במגבלות ההשקעה הקבועות בחוקים ובתקנות, ואת עמידת קופות וקרנות שהגדירו מראש מסלולי השקעה במדיניות ההשקעה שעליה הצהירו. במצב הקיים, מתקבלים הנתונים המדווחים אחת לחודש או לרבעון בלבד. למעשה, אין בקרה על המתרחש בתדירות העולה על אחת לחודש, דבר שנדרש על מנת לאתר ככל האפשר בזמן אמת סיכונים לחסכונות הציבור. </w:t>
      </w:r>
    </w:p>
    <w:p w:rsidR="00F10597" w:rsidRPr="00F10597" w:rsidRDefault="00F10597" w:rsidP="00F10597">
      <w:pPr>
        <w:autoSpaceDE w:val="0"/>
        <w:autoSpaceDN w:val="0"/>
        <w:adjustRightInd w:val="0"/>
        <w:spacing w:after="0" w:line="288" w:lineRule="auto"/>
        <w:ind w:left="509" w:hanging="509"/>
        <w:jc w:val="both"/>
        <w:textAlignment w:val="center"/>
        <w:rPr>
          <w:rFonts w:ascii="David" w:hAnsi="Times New Roman" w:cs="David"/>
          <w:color w:val="000000"/>
          <w:sz w:val="24"/>
          <w:szCs w:val="24"/>
          <w:rtl/>
        </w:rPr>
      </w:pPr>
    </w:p>
    <w:p w:rsidR="00F10597" w:rsidRPr="00F10597" w:rsidRDefault="00F10597" w:rsidP="00F10597">
      <w:pPr>
        <w:autoSpaceDE w:val="0"/>
        <w:autoSpaceDN w:val="0"/>
        <w:adjustRightInd w:val="0"/>
        <w:spacing w:after="0" w:line="288" w:lineRule="auto"/>
        <w:ind w:left="509" w:hanging="509"/>
        <w:jc w:val="both"/>
        <w:textAlignment w:val="center"/>
        <w:rPr>
          <w:rFonts w:ascii="David" w:hAnsi="Times New Roman" w:cs="David"/>
          <w:b/>
          <w:bCs/>
          <w:color w:val="000000"/>
          <w:sz w:val="24"/>
          <w:szCs w:val="24"/>
          <w:rtl/>
        </w:rPr>
      </w:pPr>
      <w:r w:rsidRPr="00F10597">
        <w:rPr>
          <w:rFonts w:ascii="David" w:hAnsi="Times New Roman" w:cs="David" w:hint="cs"/>
          <w:b/>
          <w:bCs/>
          <w:color w:val="000000"/>
          <w:sz w:val="24"/>
          <w:szCs w:val="24"/>
          <w:rtl/>
        </w:rPr>
        <w:t>מעקב</w:t>
      </w:r>
    </w:p>
    <w:p w:rsidR="00F10597" w:rsidRPr="00F10597" w:rsidRDefault="00F10597" w:rsidP="00F10597">
      <w:pPr>
        <w:autoSpaceDE w:val="0"/>
        <w:autoSpaceDN w:val="0"/>
        <w:adjustRightInd w:val="0"/>
        <w:spacing w:after="0" w:line="288" w:lineRule="auto"/>
        <w:ind w:left="509" w:hanging="509"/>
        <w:jc w:val="both"/>
        <w:textAlignment w:val="center"/>
        <w:rPr>
          <w:rFonts w:ascii="David" w:hAnsi="Times New Roman" w:cs="David"/>
          <w:b/>
          <w:bCs/>
          <w:color w:val="000000"/>
          <w:sz w:val="24"/>
          <w:szCs w:val="24"/>
          <w:rtl/>
        </w:rPr>
      </w:pPr>
    </w:p>
    <w:p w:rsidR="00F10597" w:rsidRPr="00F10597" w:rsidRDefault="00F10597" w:rsidP="00F10597">
      <w:pPr>
        <w:suppressAutoHyphens/>
        <w:autoSpaceDE w:val="0"/>
        <w:autoSpaceDN w:val="0"/>
        <w:adjustRightInd w:val="0"/>
        <w:spacing w:after="0" w:line="288" w:lineRule="auto"/>
        <w:ind w:left="1076" w:hanging="1076"/>
        <w:jc w:val="both"/>
        <w:textAlignment w:val="center"/>
        <w:rPr>
          <w:rFonts w:ascii="David" w:hAnsi="Times New Roman" w:cs="David"/>
          <w:color w:val="000000"/>
          <w:sz w:val="24"/>
          <w:szCs w:val="24"/>
          <w:rtl/>
        </w:rPr>
      </w:pPr>
      <w:r w:rsidRPr="00F10597">
        <w:rPr>
          <w:rFonts w:ascii="David" w:hAnsi="Times New Roman" w:cs="David" w:hint="cs"/>
          <w:color w:val="000000"/>
          <w:sz w:val="24"/>
          <w:szCs w:val="24"/>
          <w:rtl/>
        </w:rPr>
        <w:t>3.</w:t>
      </w:r>
      <w:r w:rsidRPr="00F10597">
        <w:rPr>
          <w:rFonts w:ascii="David" w:hAnsi="Times New Roman" w:cs="David"/>
          <w:color w:val="000000"/>
          <w:sz w:val="24"/>
          <w:szCs w:val="24"/>
          <w:rtl/>
        </w:rPr>
        <w:tab/>
      </w:r>
      <w:r w:rsidRPr="00F10597">
        <w:rPr>
          <w:rFonts w:ascii="David" w:hAnsi="Times New Roman" w:cs="David" w:hint="cs"/>
          <w:color w:val="000000"/>
          <w:sz w:val="24"/>
          <w:szCs w:val="24"/>
          <w:rtl/>
        </w:rPr>
        <w:t>שליטה בסיכונים להם חשופים חסכונות הציבור מובטחת על ידי ביסוס אחריותם של האורגנים השונים, בגופים לביצוע פיקוח על עמידתם בהוראות הדין ביסוס תשתית ארגונית לזיהוי וטיפול בסיכונים בגופים המוסדיים עצמם, קביעת תנאים לממשל תאגידי נאות, חיזוקם של מנגנוני הבקרה והפיקוח הפנימיים בגופים והבטחת מעורבותם בפיקוח על ניהול ההשקעות, כמו גם הבטחת מנגנוני הדיווח הפנימיים לגורמים אלה.</w:t>
      </w:r>
    </w:p>
    <w:p w:rsidR="00F10597" w:rsidRPr="00F10597" w:rsidRDefault="00F10597" w:rsidP="00F10597">
      <w:pPr>
        <w:suppressAutoHyphens/>
        <w:autoSpaceDE w:val="0"/>
        <w:autoSpaceDN w:val="0"/>
        <w:adjustRightInd w:val="0"/>
        <w:spacing w:after="0" w:line="288" w:lineRule="auto"/>
        <w:ind w:left="1076" w:hanging="1076"/>
        <w:jc w:val="both"/>
        <w:textAlignment w:val="center"/>
        <w:rPr>
          <w:rFonts w:ascii="David" w:hAnsi="Times New Roman" w:cs="David"/>
          <w:color w:val="000000"/>
          <w:sz w:val="24"/>
          <w:szCs w:val="24"/>
          <w:rtl/>
        </w:rPr>
      </w:pPr>
      <w:r w:rsidRPr="00F10597">
        <w:rPr>
          <w:rFonts w:ascii="David" w:hAnsi="Times New Roman" w:cs="David"/>
          <w:color w:val="000000"/>
          <w:sz w:val="24"/>
          <w:szCs w:val="24"/>
          <w:rtl/>
        </w:rPr>
        <w:tab/>
      </w:r>
      <w:r w:rsidRPr="00F10597">
        <w:rPr>
          <w:rFonts w:ascii="David" w:hAnsi="Times New Roman" w:cs="David" w:hint="cs"/>
          <w:color w:val="000000"/>
          <w:sz w:val="24"/>
          <w:szCs w:val="24"/>
          <w:rtl/>
        </w:rPr>
        <w:t>לעניין היכולת הטכנולוגית באגף לטיפול במידע המדווח - הוחלט על אימוץ מערכת התחקור של חברת "</w:t>
      </w:r>
      <w:proofErr w:type="spellStart"/>
      <w:r w:rsidRPr="00F10597">
        <w:rPr>
          <w:rFonts w:ascii="David" w:hAnsi="Times New Roman" w:cs="David" w:hint="cs"/>
          <w:color w:val="000000"/>
          <w:sz w:val="24"/>
          <w:szCs w:val="24"/>
          <w:rtl/>
        </w:rPr>
        <w:t>פרדיקטה</w:t>
      </w:r>
      <w:proofErr w:type="spellEnd"/>
      <w:r w:rsidRPr="00F10597">
        <w:rPr>
          <w:rFonts w:ascii="David" w:hAnsi="Times New Roman" w:cs="David" w:hint="cs"/>
          <w:color w:val="000000"/>
          <w:sz w:val="24"/>
          <w:szCs w:val="24"/>
          <w:rtl/>
        </w:rPr>
        <w:t xml:space="preserve">" המספקת מידע באשר לנתוני האחזקות של כל גוף מוסדי ברמת הנכס הבודד, הנגזרים מהדיווח הרבעוני לציבור אודות נכסי תיקי </w:t>
      </w:r>
      <w:r w:rsidRPr="00F10597">
        <w:rPr>
          <w:rFonts w:ascii="David" w:hAnsi="Times New Roman" w:cs="David" w:hint="cs"/>
          <w:color w:val="000000"/>
          <w:sz w:val="24"/>
          <w:szCs w:val="24"/>
          <w:rtl/>
        </w:rPr>
        <w:lastRenderedPageBreak/>
        <w:t>המשתתף, הפנסיה והגמל, המפורסם על פי הוראות הממונה באתרי האינטרנט של הגופים המוסדיים. מערכת "</w:t>
      </w:r>
      <w:proofErr w:type="spellStart"/>
      <w:r w:rsidRPr="00F10597">
        <w:rPr>
          <w:rFonts w:ascii="David" w:hAnsi="Times New Roman" w:cs="David" w:hint="cs"/>
          <w:color w:val="000000"/>
          <w:sz w:val="24"/>
          <w:szCs w:val="24"/>
          <w:rtl/>
        </w:rPr>
        <w:t>פרדיקטה</w:t>
      </w:r>
      <w:proofErr w:type="spellEnd"/>
      <w:r w:rsidRPr="00F10597">
        <w:rPr>
          <w:rFonts w:ascii="David" w:hAnsi="Times New Roman" w:cs="David" w:hint="cs"/>
          <w:color w:val="000000"/>
          <w:sz w:val="24"/>
          <w:szCs w:val="24"/>
          <w:rtl/>
        </w:rPr>
        <w:t xml:space="preserve">" מאפשרת לבצע תחקור של אחזקות הגופים המוסדיים לפי נייר ערך בודד, קבוצות שליטה, מנפיקים, מדדים, ענפים, וחשיפה לבנקים. בתקופה הקרובה תורחב יכולת התחקור באמצעות המערכת גם לפרמטרים נוספים כגון חשיפה למטבעות. </w:t>
      </w:r>
    </w:p>
    <w:p w:rsidR="00F10597" w:rsidRPr="00F10597" w:rsidRDefault="00F10597" w:rsidP="00F10597">
      <w:pPr>
        <w:suppressAutoHyphens/>
        <w:autoSpaceDE w:val="0"/>
        <w:autoSpaceDN w:val="0"/>
        <w:adjustRightInd w:val="0"/>
        <w:spacing w:after="0" w:line="288" w:lineRule="auto"/>
        <w:ind w:left="1076"/>
        <w:jc w:val="both"/>
        <w:textAlignment w:val="center"/>
        <w:rPr>
          <w:rFonts w:ascii="David" w:hAnsi="Times New Roman" w:cs="David"/>
          <w:color w:val="000000"/>
          <w:sz w:val="24"/>
          <w:szCs w:val="24"/>
          <w:rtl/>
        </w:rPr>
      </w:pPr>
      <w:r w:rsidRPr="00F10597">
        <w:rPr>
          <w:rFonts w:ascii="David" w:hAnsi="Times New Roman" w:cs="David" w:hint="cs"/>
          <w:color w:val="000000"/>
          <w:sz w:val="24"/>
          <w:szCs w:val="24"/>
          <w:rtl/>
        </w:rPr>
        <w:t>יחד עם הבקרה הרבעונית ברמת הנכס הבודד, הגופים המוסדיים מעבירים לאגף דיווחים חודשיים אודות השקעותיהם לפי קבוצות נכסים שונות, ועל דיווחים אלו מתבססות גם מערכות הגמל-</w:t>
      </w:r>
      <w:proofErr w:type="spellStart"/>
      <w:r w:rsidRPr="00F10597">
        <w:rPr>
          <w:rFonts w:ascii="David" w:hAnsi="Times New Roman" w:cs="David" w:hint="cs"/>
          <w:color w:val="000000"/>
          <w:sz w:val="24"/>
          <w:szCs w:val="24"/>
          <w:rtl/>
        </w:rPr>
        <w:t>נט</w:t>
      </w:r>
      <w:proofErr w:type="spellEnd"/>
      <w:r w:rsidRPr="00F10597">
        <w:rPr>
          <w:rFonts w:ascii="David" w:hAnsi="Times New Roman" w:cs="David" w:hint="cs"/>
          <w:color w:val="000000"/>
          <w:sz w:val="24"/>
          <w:szCs w:val="24"/>
          <w:rtl/>
        </w:rPr>
        <w:t>, פנסיה-</w:t>
      </w:r>
      <w:proofErr w:type="spellStart"/>
      <w:r w:rsidRPr="00F10597">
        <w:rPr>
          <w:rFonts w:ascii="David" w:hAnsi="Times New Roman" w:cs="David" w:hint="cs"/>
          <w:color w:val="000000"/>
          <w:sz w:val="24"/>
          <w:szCs w:val="24"/>
          <w:rtl/>
        </w:rPr>
        <w:t>נט</w:t>
      </w:r>
      <w:proofErr w:type="spellEnd"/>
      <w:r w:rsidRPr="00F10597">
        <w:rPr>
          <w:rFonts w:ascii="David" w:hAnsi="Times New Roman" w:cs="David" w:hint="cs"/>
          <w:color w:val="000000"/>
          <w:sz w:val="24"/>
          <w:szCs w:val="24"/>
          <w:rtl/>
        </w:rPr>
        <w:t>, וביטוח-</w:t>
      </w:r>
      <w:proofErr w:type="spellStart"/>
      <w:r w:rsidRPr="00F10597">
        <w:rPr>
          <w:rFonts w:ascii="David" w:hAnsi="Times New Roman" w:cs="David" w:hint="cs"/>
          <w:color w:val="000000"/>
          <w:sz w:val="24"/>
          <w:szCs w:val="24"/>
          <w:rtl/>
        </w:rPr>
        <w:t>נט</w:t>
      </w:r>
      <w:proofErr w:type="spellEnd"/>
      <w:r w:rsidRPr="00F10597">
        <w:rPr>
          <w:rFonts w:ascii="David" w:hAnsi="Times New Roman" w:cs="David" w:hint="cs"/>
          <w:color w:val="000000"/>
          <w:sz w:val="24"/>
          <w:szCs w:val="24"/>
          <w:rtl/>
        </w:rPr>
        <w:t xml:space="preserve">. הדיווחים מאפשרים לאגף לבחון חלק ממגבלות ההשקעה ברמת הגבלת אפיק ההשקעה וכד'. כמו כן, במסגרת הדיווח הרבעוני בטופס דיווח של קופ"ג ח.ק. 15 – נדרשת הנהלת הגוף להצהיר כי לא היו לה חריגות מתקנות ההשקעה. </w:t>
      </w:r>
    </w:p>
    <w:p w:rsidR="00F10597" w:rsidRPr="00F10597" w:rsidRDefault="00F10597" w:rsidP="00F10597">
      <w:pPr>
        <w:suppressAutoHyphens/>
        <w:autoSpaceDE w:val="0"/>
        <w:autoSpaceDN w:val="0"/>
        <w:adjustRightInd w:val="0"/>
        <w:spacing w:after="0" w:line="288" w:lineRule="auto"/>
        <w:ind w:left="1076"/>
        <w:jc w:val="both"/>
        <w:textAlignment w:val="center"/>
        <w:rPr>
          <w:rFonts w:ascii="David" w:hAnsi="Times New Roman" w:cs="David"/>
          <w:color w:val="000000"/>
          <w:sz w:val="24"/>
          <w:szCs w:val="24"/>
          <w:rtl/>
        </w:rPr>
      </w:pPr>
      <w:r w:rsidRPr="00F10597">
        <w:rPr>
          <w:rFonts w:ascii="David" w:hAnsi="Times New Roman" w:cs="David" w:hint="cs"/>
          <w:color w:val="000000"/>
          <w:sz w:val="24"/>
          <w:szCs w:val="24"/>
          <w:rtl/>
        </w:rPr>
        <w:t xml:space="preserve">האגף סיים תהליך של איחוד מערכות הנתונים הנפרדות של הביטוח, הגמל והפנסיה, ויכולת תחקור הנתונים של האגף שודרגה כך שניתן לבצע תחקור רוחבי של נתוני הפנסיה, הגמל והביטוח, באמצעות אותה מערכת. האגף גם החל בבחינת שילוב יישומים מתקדמים כגון מנוע לבחינה אוטומטית של חריגה מתקנות ההשקעה (על בסיס הדיווח הרבעוני) ומערכת </w:t>
      </w:r>
      <w:r w:rsidRPr="00F10597">
        <w:rPr>
          <w:rFonts w:ascii="Times New Roman" w:hAnsi="Times New Roman" w:cs="Times New Roman"/>
          <w:color w:val="000000"/>
          <w:sz w:val="24"/>
          <w:szCs w:val="24"/>
        </w:rPr>
        <w:t>BI</w:t>
      </w:r>
      <w:r w:rsidRPr="00F10597">
        <w:rPr>
          <w:rFonts w:ascii="David" w:hAnsi="Times New Roman" w:cs="David" w:hint="cs"/>
          <w:color w:val="000000"/>
          <w:sz w:val="24"/>
          <w:szCs w:val="24"/>
          <w:rtl/>
        </w:rPr>
        <w:t xml:space="preserve"> לתחקור הנתונים המתקבלים באגף. האגף בוחן את השקעות הגופים גם במסגרת ביקורות נקודתיות שונות המתרחשות הן באתר המפוקח (</w:t>
      </w:r>
      <w:r w:rsidRPr="00F10597">
        <w:rPr>
          <w:rFonts w:ascii="Times New Roman" w:hAnsi="Times New Roman" w:cs="Times New Roman"/>
          <w:color w:val="000000"/>
          <w:sz w:val="24"/>
          <w:szCs w:val="24"/>
        </w:rPr>
        <w:t>on-site</w:t>
      </w:r>
      <w:r w:rsidRPr="00F10597">
        <w:rPr>
          <w:rFonts w:ascii="David" w:hAnsi="Times New Roman" w:cs="David" w:hint="cs"/>
          <w:color w:val="000000"/>
          <w:sz w:val="24"/>
          <w:szCs w:val="24"/>
          <w:rtl/>
        </w:rPr>
        <w:t>) והן באמצעות דרישת נתונים ספציפית מהחברות. הדבר מתבצע בשגרה במסגרת ביקורת, שבמסגרתה נבדקת חריגה מתקנות השקעה על ידי בדיקה מדגמית של תיק ההשקעות במועד חתך נתון, ונבדקת גם איכות מנגנוני הבקרה הקיימים בגוף, שאמורים להבטיח אי חריגה מתקנות ההשקעה הללו.</w:t>
      </w:r>
    </w:p>
    <w:p w:rsidR="00F10597" w:rsidRPr="00F10597" w:rsidRDefault="00F10597" w:rsidP="00F10597">
      <w:pPr>
        <w:suppressAutoHyphens/>
        <w:autoSpaceDE w:val="0"/>
        <w:autoSpaceDN w:val="0"/>
        <w:adjustRightInd w:val="0"/>
        <w:spacing w:after="0" w:line="288" w:lineRule="auto"/>
        <w:ind w:left="1076"/>
        <w:jc w:val="both"/>
        <w:textAlignment w:val="center"/>
        <w:rPr>
          <w:rFonts w:ascii="David" w:hAnsi="Times New Roman" w:cs="David"/>
          <w:color w:val="000000"/>
          <w:sz w:val="24"/>
          <w:szCs w:val="24"/>
          <w:rtl/>
        </w:rPr>
      </w:pPr>
      <w:r w:rsidRPr="00F10597">
        <w:rPr>
          <w:rFonts w:ascii="David" w:hAnsi="Times New Roman" w:cs="David" w:hint="cs"/>
          <w:color w:val="000000"/>
          <w:sz w:val="24"/>
          <w:szCs w:val="24"/>
          <w:rtl/>
        </w:rPr>
        <w:t>האגף מציין כי על-פי הוראות הדין, גופים מוסדיים מחויבים לדווח לממונה על חריגות ממגבלות ההשקעה וחל עליהם איסור לגבות דמי ניהול בגין הנכסים בהם חרגו במשך תקופת החריגה. במספר מקרים חויבו גופים מוסדיים להשיב לחוסכים דמי ניהול שנגבו מהם במקרים של חריגות, אולם אין ממצאים רבים המעידים על ניצול לרעה של העדר ניטור שוטף בנושא זה.</w:t>
      </w:r>
    </w:p>
    <w:p w:rsidR="00F10597" w:rsidRPr="00F10597" w:rsidRDefault="00F10597" w:rsidP="00F10597">
      <w:pPr>
        <w:suppressAutoHyphens/>
        <w:autoSpaceDE w:val="0"/>
        <w:autoSpaceDN w:val="0"/>
        <w:adjustRightInd w:val="0"/>
        <w:spacing w:after="0" w:line="288" w:lineRule="auto"/>
        <w:ind w:left="1076"/>
        <w:jc w:val="both"/>
        <w:textAlignment w:val="center"/>
        <w:rPr>
          <w:rFonts w:ascii="David" w:hAnsi="Times New Roman" w:cs="David"/>
          <w:color w:val="000000"/>
          <w:sz w:val="24"/>
          <w:szCs w:val="24"/>
          <w:rtl/>
        </w:rPr>
      </w:pPr>
      <w:r w:rsidRPr="00F10597">
        <w:rPr>
          <w:rFonts w:ascii="David" w:hAnsi="Times New Roman" w:cs="David" w:hint="cs"/>
          <w:color w:val="000000"/>
          <w:sz w:val="24"/>
          <w:szCs w:val="24"/>
          <w:rtl/>
        </w:rPr>
        <w:t xml:space="preserve">יודגש כי במסגרת שינוי ארגוני שבוצע במבנה האגף, מספר מחלקות הפיקוח על גופים מוסדיים וכוח האדם המשויך אליהן הוגדל, כאשר אחת מהמחלקות החדשות מיועדת לביצוע ביקורות ממוקדות בתחומי ההשקעות והאשראי תוך התמקצעות עובדיה בתחום, והסתייעות במומחים חיצוניים. במהלך שנת 2010 האגף מתכנן לבצע באמצעות המחלקה 56 ביקורות בתחום זה, המשקפות גידול של כ-50% בהיקף הביקורות. </w:t>
      </w:r>
    </w:p>
    <w:p w:rsidR="00F10597" w:rsidRPr="00F10597" w:rsidRDefault="00F10597" w:rsidP="00F10597">
      <w:pPr>
        <w:autoSpaceDE w:val="0"/>
        <w:autoSpaceDN w:val="0"/>
        <w:adjustRightInd w:val="0"/>
        <w:spacing w:after="0" w:line="288" w:lineRule="auto"/>
        <w:ind w:left="1076" w:hanging="1076"/>
        <w:jc w:val="both"/>
        <w:textAlignment w:val="center"/>
        <w:rPr>
          <w:rFonts w:ascii="David" w:hAnsi="Times New Roman" w:cs="David"/>
          <w:color w:val="000000"/>
          <w:sz w:val="24"/>
          <w:szCs w:val="24"/>
          <w:rtl/>
        </w:rPr>
      </w:pPr>
      <w:r w:rsidRPr="00F10597">
        <w:rPr>
          <w:rFonts w:ascii="David" w:hAnsi="Times New Roman" w:cs="David"/>
          <w:color w:val="000000"/>
          <w:sz w:val="24"/>
          <w:szCs w:val="24"/>
          <w:rtl/>
        </w:rPr>
        <w:tab/>
      </w:r>
      <w:r w:rsidRPr="00F10597">
        <w:rPr>
          <w:rFonts w:ascii="David" w:hAnsi="Times New Roman" w:cs="David" w:hint="cs"/>
          <w:color w:val="000000"/>
          <w:sz w:val="24"/>
          <w:szCs w:val="24"/>
          <w:rtl/>
        </w:rPr>
        <w:t xml:space="preserve">ראה הערות רה"מ </w:t>
      </w:r>
      <w:proofErr w:type="spellStart"/>
      <w:r w:rsidRPr="00F10597">
        <w:rPr>
          <w:rFonts w:ascii="David" w:hAnsi="Times New Roman" w:cs="David" w:hint="cs"/>
          <w:color w:val="000000"/>
          <w:sz w:val="24"/>
          <w:szCs w:val="24"/>
          <w:rtl/>
        </w:rPr>
        <w:t>60ב</w:t>
      </w:r>
      <w:proofErr w:type="spellEnd"/>
      <w:r w:rsidRPr="00F10597">
        <w:rPr>
          <w:rFonts w:ascii="David" w:hAnsi="Times New Roman" w:cs="David" w:hint="cs"/>
          <w:color w:val="000000"/>
          <w:sz w:val="24"/>
          <w:szCs w:val="24"/>
          <w:rtl/>
        </w:rPr>
        <w:t xml:space="preserve">' </w:t>
      </w:r>
      <w:proofErr w:type="spellStart"/>
      <w:r w:rsidRPr="00F10597">
        <w:rPr>
          <w:rFonts w:ascii="David" w:hAnsi="Times New Roman" w:cs="David" w:hint="cs"/>
          <w:color w:val="000000"/>
          <w:sz w:val="24"/>
          <w:szCs w:val="24"/>
          <w:rtl/>
        </w:rPr>
        <w:t>עמ</w:t>
      </w:r>
      <w:proofErr w:type="spellEnd"/>
      <w:r w:rsidRPr="00F10597">
        <w:rPr>
          <w:rFonts w:ascii="David" w:hAnsi="Times New Roman" w:cs="David" w:hint="cs"/>
          <w:color w:val="000000"/>
          <w:sz w:val="24"/>
          <w:szCs w:val="24"/>
          <w:rtl/>
        </w:rPr>
        <w:t>' 46.</w:t>
      </w:r>
    </w:p>
    <w:p w:rsidR="00F10597" w:rsidRPr="00F10597" w:rsidRDefault="00F10597" w:rsidP="00F10597">
      <w:pPr>
        <w:autoSpaceDE w:val="0"/>
        <w:autoSpaceDN w:val="0"/>
        <w:adjustRightInd w:val="0"/>
        <w:spacing w:after="0" w:line="288" w:lineRule="auto"/>
        <w:jc w:val="both"/>
        <w:textAlignment w:val="center"/>
        <w:rPr>
          <w:rFonts w:ascii="David" w:hAnsi="Times New Roman" w:cs="David"/>
          <w:b/>
          <w:bCs/>
          <w:color w:val="000000"/>
          <w:sz w:val="24"/>
          <w:szCs w:val="24"/>
          <w:rtl/>
        </w:rPr>
      </w:pPr>
    </w:p>
    <w:p w:rsidR="00F10597" w:rsidRPr="00F10597" w:rsidRDefault="00F10597" w:rsidP="00F10597">
      <w:pPr>
        <w:autoSpaceDE w:val="0"/>
        <w:autoSpaceDN w:val="0"/>
        <w:adjustRightInd w:val="0"/>
        <w:spacing w:after="0" w:line="288" w:lineRule="auto"/>
        <w:jc w:val="both"/>
        <w:textAlignment w:val="center"/>
        <w:rPr>
          <w:rFonts w:ascii="David" w:hAnsi="Times New Roman" w:cs="David"/>
          <w:b/>
          <w:bCs/>
          <w:color w:val="000000"/>
          <w:sz w:val="24"/>
          <w:szCs w:val="24"/>
          <w:rtl/>
        </w:rPr>
      </w:pPr>
      <w:r w:rsidRPr="00F10597">
        <w:rPr>
          <w:rFonts w:ascii="David" w:hAnsi="Times New Roman" w:cs="David" w:hint="cs"/>
          <w:b/>
          <w:bCs/>
          <w:color w:val="000000"/>
          <w:sz w:val="24"/>
          <w:szCs w:val="24"/>
          <w:rtl/>
        </w:rPr>
        <w:t>ליקוי</w:t>
      </w:r>
    </w:p>
    <w:p w:rsidR="00F10597" w:rsidRPr="00F10597" w:rsidRDefault="00F10597" w:rsidP="00F10597">
      <w:pPr>
        <w:autoSpaceDE w:val="0"/>
        <w:autoSpaceDN w:val="0"/>
        <w:adjustRightInd w:val="0"/>
        <w:spacing w:after="0" w:line="288" w:lineRule="auto"/>
        <w:ind w:left="509" w:hanging="509"/>
        <w:jc w:val="both"/>
        <w:textAlignment w:val="center"/>
        <w:rPr>
          <w:rFonts w:ascii="David" w:hAnsi="Times New Roman" w:cs="David"/>
          <w:b/>
          <w:bCs/>
          <w:color w:val="000000"/>
          <w:sz w:val="24"/>
          <w:szCs w:val="24"/>
          <w:rtl/>
        </w:rPr>
      </w:pPr>
    </w:p>
    <w:p w:rsidR="00F10597" w:rsidRPr="00F10597" w:rsidRDefault="00F10597" w:rsidP="00F10597">
      <w:pPr>
        <w:suppressAutoHyphens/>
        <w:autoSpaceDE w:val="0"/>
        <w:autoSpaceDN w:val="0"/>
        <w:adjustRightInd w:val="0"/>
        <w:spacing w:after="0" w:line="288" w:lineRule="auto"/>
        <w:ind w:left="509" w:hanging="509"/>
        <w:jc w:val="both"/>
        <w:textAlignment w:val="center"/>
        <w:rPr>
          <w:rFonts w:ascii="David" w:hAnsi="Times New Roman" w:cs="David"/>
          <w:color w:val="000000"/>
          <w:sz w:val="24"/>
          <w:szCs w:val="24"/>
          <w:rtl/>
        </w:rPr>
      </w:pPr>
      <w:r w:rsidRPr="00F10597">
        <w:rPr>
          <w:rFonts w:ascii="David" w:hAnsi="Times New Roman" w:cs="David" w:hint="cs"/>
          <w:color w:val="000000"/>
          <w:sz w:val="24"/>
          <w:szCs w:val="24"/>
          <w:rtl/>
        </w:rPr>
        <w:t>4.</w:t>
      </w:r>
      <w:r w:rsidRPr="00F10597">
        <w:rPr>
          <w:rFonts w:ascii="David" w:hAnsi="Times New Roman" w:cs="David"/>
          <w:color w:val="000000"/>
          <w:sz w:val="24"/>
          <w:szCs w:val="24"/>
          <w:rtl/>
        </w:rPr>
        <w:tab/>
      </w:r>
      <w:r w:rsidRPr="00F10597">
        <w:rPr>
          <w:rFonts w:ascii="David" w:hAnsi="Times New Roman" w:cs="David" w:hint="cs"/>
          <w:color w:val="000000"/>
          <w:sz w:val="24"/>
          <w:szCs w:val="24"/>
          <w:rtl/>
        </w:rPr>
        <w:t xml:space="preserve">הנחיות אגף שוק ההון בנושאי מתן אשראי, טיפול בחובות בעיתיים וגביית חובות על ידי גופים מוסדיים, לא היו מקיפות ומפורטות במידה מספקת. קיום רמות מינוף גבוהות עלול לחשוף את הגופים המוסדיים לסיכונים חריגים בהשקעה באג"ח </w:t>
      </w:r>
      <w:proofErr w:type="spellStart"/>
      <w:r w:rsidRPr="00F10597">
        <w:rPr>
          <w:rFonts w:ascii="David" w:hAnsi="Times New Roman" w:cs="David" w:hint="cs"/>
          <w:color w:val="000000"/>
          <w:sz w:val="24"/>
          <w:szCs w:val="24"/>
          <w:rtl/>
        </w:rPr>
        <w:t>קונצרני</w:t>
      </w:r>
      <w:proofErr w:type="spellEnd"/>
      <w:r w:rsidRPr="00F10597">
        <w:rPr>
          <w:rFonts w:ascii="David" w:hAnsi="Times New Roman" w:cs="David" w:hint="cs"/>
          <w:color w:val="000000"/>
          <w:sz w:val="24"/>
          <w:szCs w:val="24"/>
          <w:rtl/>
        </w:rPr>
        <w:t xml:space="preserve">. </w:t>
      </w:r>
    </w:p>
    <w:p w:rsidR="00F10597" w:rsidRPr="00F10597" w:rsidRDefault="00F10597" w:rsidP="00F10597">
      <w:pPr>
        <w:autoSpaceDE w:val="0"/>
        <w:autoSpaceDN w:val="0"/>
        <w:adjustRightInd w:val="0"/>
        <w:spacing w:after="0" w:line="288" w:lineRule="auto"/>
        <w:ind w:left="509" w:hanging="509"/>
        <w:jc w:val="both"/>
        <w:textAlignment w:val="center"/>
        <w:rPr>
          <w:rFonts w:ascii="David" w:hAnsi="Times New Roman" w:cs="David"/>
          <w:color w:val="000000"/>
          <w:sz w:val="24"/>
          <w:szCs w:val="24"/>
          <w:rtl/>
        </w:rPr>
      </w:pPr>
    </w:p>
    <w:p w:rsidR="00F10597" w:rsidRPr="00F10597" w:rsidRDefault="00F10597" w:rsidP="00F10597">
      <w:pPr>
        <w:autoSpaceDE w:val="0"/>
        <w:autoSpaceDN w:val="0"/>
        <w:adjustRightInd w:val="0"/>
        <w:spacing w:after="0" w:line="288" w:lineRule="auto"/>
        <w:jc w:val="both"/>
        <w:textAlignment w:val="center"/>
        <w:rPr>
          <w:rFonts w:ascii="David" w:hAnsi="Times New Roman" w:cs="David"/>
          <w:b/>
          <w:bCs/>
          <w:color w:val="000000"/>
          <w:sz w:val="24"/>
          <w:szCs w:val="24"/>
          <w:rtl/>
        </w:rPr>
      </w:pPr>
      <w:r w:rsidRPr="00F10597">
        <w:rPr>
          <w:rFonts w:ascii="David" w:hAnsi="Times New Roman" w:cs="David" w:hint="cs"/>
          <w:b/>
          <w:bCs/>
          <w:color w:val="000000"/>
          <w:sz w:val="24"/>
          <w:szCs w:val="24"/>
          <w:rtl/>
        </w:rPr>
        <w:t>ליקוי</w:t>
      </w:r>
    </w:p>
    <w:p w:rsidR="00F10597" w:rsidRPr="00F10597" w:rsidRDefault="00F10597" w:rsidP="00F10597">
      <w:pPr>
        <w:autoSpaceDE w:val="0"/>
        <w:autoSpaceDN w:val="0"/>
        <w:adjustRightInd w:val="0"/>
        <w:spacing w:after="0" w:line="288" w:lineRule="auto"/>
        <w:jc w:val="both"/>
        <w:textAlignment w:val="center"/>
        <w:rPr>
          <w:rFonts w:ascii="David" w:hAnsi="Times New Roman" w:cs="David"/>
          <w:b/>
          <w:bCs/>
          <w:color w:val="000000"/>
          <w:sz w:val="24"/>
          <w:szCs w:val="24"/>
          <w:rtl/>
        </w:rPr>
      </w:pPr>
    </w:p>
    <w:p w:rsidR="00F10597" w:rsidRPr="00F10597" w:rsidRDefault="00F10597" w:rsidP="00F10597">
      <w:pPr>
        <w:suppressAutoHyphens/>
        <w:autoSpaceDE w:val="0"/>
        <w:autoSpaceDN w:val="0"/>
        <w:adjustRightInd w:val="0"/>
        <w:spacing w:after="0" w:line="288" w:lineRule="auto"/>
        <w:ind w:left="509" w:hanging="509"/>
        <w:jc w:val="both"/>
        <w:textAlignment w:val="center"/>
        <w:rPr>
          <w:rFonts w:ascii="David" w:hAnsi="Times New Roman" w:cs="David"/>
          <w:color w:val="000000"/>
          <w:sz w:val="24"/>
          <w:szCs w:val="24"/>
          <w:rtl/>
        </w:rPr>
      </w:pPr>
      <w:r w:rsidRPr="00F10597">
        <w:rPr>
          <w:rFonts w:ascii="David" w:hAnsi="Times New Roman" w:cs="David" w:hint="cs"/>
          <w:color w:val="000000"/>
          <w:sz w:val="24"/>
          <w:szCs w:val="24"/>
          <w:rtl/>
        </w:rPr>
        <w:t>5.</w:t>
      </w:r>
      <w:r w:rsidRPr="00F10597">
        <w:rPr>
          <w:rFonts w:ascii="David" w:hAnsi="Times New Roman" w:cs="David"/>
          <w:color w:val="000000"/>
          <w:sz w:val="24"/>
          <w:szCs w:val="24"/>
          <w:rtl/>
        </w:rPr>
        <w:tab/>
      </w:r>
      <w:r w:rsidRPr="00F10597">
        <w:rPr>
          <w:rFonts w:ascii="David" w:hAnsi="Times New Roman" w:cs="David" w:hint="cs"/>
          <w:color w:val="000000"/>
          <w:sz w:val="24"/>
          <w:szCs w:val="24"/>
          <w:rtl/>
        </w:rPr>
        <w:t xml:space="preserve">הביקורת העלתה, כי במהלך יישום הרפורמות בשוק ההון חסרו מנגנוני הסדרה ופיקוח שיאזנו בין שיקולים של פיתוח וליברליזציה של השווקים לבין סדרי פיקוח ושיקולים של הגנה על כספי החוסכים. רמת ההסדרה, הפיקוח והבקרה של אגף שוק ההון על פעילות הגופים המוסדיים הייתה חלקית בתחומים מסוימים, והמשבר בשוק ההון האיץ את תהליכי הרגולציה שמבצע האגף. אגף שוק ההון נדרש לפקח על ניהולן התקין של הקופות והקרנות ועל הבטחת יציבותן, ולוודא שהן פועלות לטובת העמיתים. על האגף להבטיח </w:t>
      </w:r>
      <w:r w:rsidRPr="00F10597">
        <w:rPr>
          <w:rFonts w:ascii="David" w:hAnsi="Times New Roman" w:cs="David" w:hint="cs"/>
          <w:color w:val="000000"/>
          <w:sz w:val="24"/>
          <w:szCs w:val="24"/>
          <w:rtl/>
        </w:rPr>
        <w:lastRenderedPageBreak/>
        <w:t xml:space="preserve">שכספי החוסכים ינוהלו בצורה אחראית, בהתאם לרמת הסיכון שמתאימה למאפייני העמית. עליו לקיים תהליך מסודר ומבוסס של איסוף נתונים, פיקוח ובקרה על השימוש שעושים הגופים המוסדיים בכספי החוסכים ולעמוד על הסיכונים שהם לוקחים. תהליך כזה יכול לאפשר זיהוי הבעיות ושיפור ההסדרה בכל הנוגע להשקעות הגופים המוסדיים. על אגף שוק ההון לנקוט את כל הצעדים הנדרשים כדי לוודא שהגופים המוסדיים אינם נוקטים פעולות שאינן עולות בקנה אחד עם האינטרסים של ציבור החוסכים. </w:t>
      </w:r>
    </w:p>
    <w:p w:rsidR="00F10597" w:rsidRPr="00F10597" w:rsidRDefault="00F10597" w:rsidP="00F10597">
      <w:pPr>
        <w:autoSpaceDE w:val="0"/>
        <w:autoSpaceDN w:val="0"/>
        <w:adjustRightInd w:val="0"/>
        <w:spacing w:after="0" w:line="288" w:lineRule="auto"/>
        <w:jc w:val="both"/>
        <w:textAlignment w:val="center"/>
        <w:rPr>
          <w:rFonts w:ascii="David" w:hAnsi="Times New Roman" w:cs="David"/>
          <w:color w:val="000000"/>
          <w:sz w:val="24"/>
          <w:szCs w:val="24"/>
          <w:rtl/>
        </w:rPr>
      </w:pPr>
    </w:p>
    <w:p w:rsidR="00F10597" w:rsidRPr="00F10597" w:rsidRDefault="00F10597" w:rsidP="00F10597">
      <w:pPr>
        <w:autoSpaceDE w:val="0"/>
        <w:autoSpaceDN w:val="0"/>
        <w:adjustRightInd w:val="0"/>
        <w:spacing w:after="0" w:line="288" w:lineRule="auto"/>
        <w:ind w:left="509" w:hanging="509"/>
        <w:jc w:val="both"/>
        <w:textAlignment w:val="center"/>
        <w:rPr>
          <w:rFonts w:ascii="David" w:hAnsi="Times New Roman" w:cs="David"/>
          <w:b/>
          <w:bCs/>
          <w:color w:val="000000"/>
          <w:sz w:val="24"/>
          <w:szCs w:val="24"/>
          <w:rtl/>
        </w:rPr>
      </w:pPr>
      <w:r w:rsidRPr="00F10597">
        <w:rPr>
          <w:rFonts w:ascii="David" w:hAnsi="Times New Roman" w:cs="David" w:hint="cs"/>
          <w:b/>
          <w:bCs/>
          <w:color w:val="000000"/>
          <w:sz w:val="24"/>
          <w:szCs w:val="24"/>
          <w:rtl/>
        </w:rPr>
        <w:t>מעקב</w:t>
      </w:r>
    </w:p>
    <w:p w:rsidR="00F10597" w:rsidRPr="00F10597" w:rsidRDefault="00F10597" w:rsidP="00F10597">
      <w:pPr>
        <w:autoSpaceDE w:val="0"/>
        <w:autoSpaceDN w:val="0"/>
        <w:adjustRightInd w:val="0"/>
        <w:spacing w:after="0" w:line="288" w:lineRule="auto"/>
        <w:jc w:val="both"/>
        <w:textAlignment w:val="center"/>
        <w:rPr>
          <w:rFonts w:ascii="David" w:hAnsi="Times New Roman" w:cs="David"/>
          <w:b/>
          <w:bCs/>
          <w:color w:val="000000"/>
          <w:sz w:val="24"/>
          <w:szCs w:val="24"/>
          <w:rtl/>
        </w:rPr>
      </w:pPr>
    </w:p>
    <w:p w:rsidR="00F10597" w:rsidRPr="00F10597" w:rsidRDefault="00F10597" w:rsidP="00F10597">
      <w:pPr>
        <w:suppressAutoHyphens/>
        <w:autoSpaceDE w:val="0"/>
        <w:autoSpaceDN w:val="0"/>
        <w:adjustRightInd w:val="0"/>
        <w:spacing w:after="0" w:line="288" w:lineRule="auto"/>
        <w:ind w:left="1076" w:hanging="1076"/>
        <w:jc w:val="both"/>
        <w:textAlignment w:val="center"/>
        <w:rPr>
          <w:rFonts w:ascii="David" w:hAnsi="Times New Roman" w:cs="David"/>
          <w:color w:val="000000"/>
          <w:sz w:val="24"/>
          <w:szCs w:val="24"/>
          <w:rtl/>
        </w:rPr>
      </w:pPr>
      <w:r w:rsidRPr="00F10597">
        <w:rPr>
          <w:rFonts w:ascii="David" w:hAnsi="Times New Roman" w:cs="David" w:hint="cs"/>
          <w:color w:val="000000"/>
          <w:sz w:val="24"/>
          <w:szCs w:val="24"/>
          <w:rtl/>
        </w:rPr>
        <w:t>4-5.</w:t>
      </w:r>
      <w:r w:rsidRPr="00F10597">
        <w:rPr>
          <w:rFonts w:ascii="David" w:hAnsi="Times New Roman" w:cs="David"/>
          <w:color w:val="000000"/>
          <w:sz w:val="24"/>
          <w:szCs w:val="24"/>
          <w:rtl/>
        </w:rPr>
        <w:tab/>
      </w:r>
      <w:r w:rsidRPr="00F10597">
        <w:rPr>
          <w:rFonts w:ascii="David" w:hAnsi="Times New Roman" w:cs="David" w:hint="cs"/>
          <w:color w:val="000000"/>
          <w:sz w:val="24"/>
          <w:szCs w:val="24"/>
          <w:rtl/>
        </w:rPr>
        <w:t xml:space="preserve">בחוזר "העמדת אשראי לא סחיר על ידי גופים מוסדיים - תשתית לתמיכה ניהולית, מקצועית ותפעולית", מיום 27 ביוני 2007 נקבע באופן מפורש כי על גופים מוסדיים לקבוע כלים מקצועיים לצורך הבטחת איכות הערכת האשראי הלא סחיר, ובכלל זה שימוש במודל דירוג פנימי, אשר יאפשר להעריך הסתברות לחדלות פירעון של לווים ולהעריך את ההפסדים הצפויים בהינתן חדלות פירעון. </w:t>
      </w:r>
    </w:p>
    <w:p w:rsidR="00F10597" w:rsidRPr="00F10597" w:rsidRDefault="00F10597" w:rsidP="00F10597">
      <w:pPr>
        <w:suppressAutoHyphens/>
        <w:autoSpaceDE w:val="0"/>
        <w:autoSpaceDN w:val="0"/>
        <w:adjustRightInd w:val="0"/>
        <w:spacing w:after="0" w:line="288" w:lineRule="auto"/>
        <w:ind w:left="1076"/>
        <w:jc w:val="both"/>
        <w:textAlignment w:val="center"/>
        <w:rPr>
          <w:rFonts w:ascii="David" w:hAnsi="Times New Roman" w:cs="David"/>
          <w:color w:val="000000"/>
          <w:sz w:val="24"/>
          <w:szCs w:val="24"/>
          <w:rtl/>
        </w:rPr>
      </w:pPr>
      <w:r w:rsidRPr="00F10597">
        <w:rPr>
          <w:rFonts w:ascii="David" w:hAnsi="Times New Roman" w:cs="David" w:hint="cs"/>
          <w:color w:val="000000"/>
          <w:sz w:val="24"/>
          <w:szCs w:val="24"/>
          <w:rtl/>
        </w:rPr>
        <w:t xml:space="preserve">בחוזר "ניהול סיכוני אשראי אגב פעילות השקעות", מיום 27 באוגוסט 2007, נקבע כי על ועדת ההשקעות לקבוע מדיניות וכללים להערכה ואישור של קבלת בטוחות, בקרה שוטפת על איכות בטוחות שהועמדו, הערכה עדכנית של ערכן וכן שמירת מידע הנוגע לכל אלה. </w:t>
      </w:r>
    </w:p>
    <w:p w:rsidR="00F10597" w:rsidRPr="00F10597" w:rsidRDefault="00F10597" w:rsidP="00F10597">
      <w:pPr>
        <w:suppressAutoHyphens/>
        <w:autoSpaceDE w:val="0"/>
        <w:autoSpaceDN w:val="0"/>
        <w:adjustRightInd w:val="0"/>
        <w:spacing w:after="0" w:line="288" w:lineRule="auto"/>
        <w:ind w:left="1076"/>
        <w:jc w:val="both"/>
        <w:textAlignment w:val="center"/>
        <w:rPr>
          <w:rFonts w:ascii="David" w:hAnsi="Times New Roman" w:cs="David"/>
          <w:color w:val="000000"/>
          <w:sz w:val="24"/>
          <w:szCs w:val="24"/>
          <w:rtl/>
        </w:rPr>
      </w:pPr>
      <w:r w:rsidRPr="00F10597">
        <w:rPr>
          <w:rFonts w:ascii="David" w:hAnsi="Times New Roman" w:cs="David" w:hint="cs"/>
          <w:color w:val="000000"/>
          <w:sz w:val="24"/>
          <w:szCs w:val="24"/>
          <w:rtl/>
        </w:rPr>
        <w:t xml:space="preserve">בעקבות המשבר ולצורך טיפול מיידי בבעיה בשוק האג"ח </w:t>
      </w:r>
      <w:proofErr w:type="spellStart"/>
      <w:r w:rsidRPr="00F10597">
        <w:rPr>
          <w:rFonts w:ascii="David" w:hAnsi="Times New Roman" w:cs="David" w:hint="cs"/>
          <w:color w:val="000000"/>
          <w:sz w:val="24"/>
          <w:szCs w:val="24"/>
          <w:rtl/>
        </w:rPr>
        <w:t>הקונצרני</w:t>
      </w:r>
      <w:proofErr w:type="spellEnd"/>
      <w:r w:rsidRPr="00F10597">
        <w:rPr>
          <w:rFonts w:ascii="David" w:hAnsi="Times New Roman" w:cs="David" w:hint="cs"/>
          <w:color w:val="000000"/>
          <w:sz w:val="24"/>
          <w:szCs w:val="24"/>
          <w:rtl/>
        </w:rPr>
        <w:t xml:space="preserve"> פעל האגף במהירות לטיפול בחסרים במסגרת הרגולציה הקיימת ופרסם ב-6 לאפריל 2009 חוזר שעניינו "טיפול בחובות בעייתיים ופעולות גופים מוסדיים לגביית חוב". החוזר קובע הוראות מרחיבות ומפורטות לגבי התהליך הארגוני באשר לאופן איתור, זיהוי, סיווג, טיפול וניהול חובות בעייתיים. בעניין זה בוצע באגף מחקר רוחבי לזיהוי החובות הבעייתיים מהאשראים שניתנו, ולכימות היקף החובות הבעייתיים בשוק אגרות החוב </w:t>
      </w:r>
      <w:proofErr w:type="spellStart"/>
      <w:r w:rsidRPr="00F10597">
        <w:rPr>
          <w:rFonts w:ascii="David" w:hAnsi="Times New Roman" w:cs="David" w:hint="cs"/>
          <w:color w:val="000000"/>
          <w:sz w:val="24"/>
          <w:szCs w:val="24"/>
          <w:rtl/>
        </w:rPr>
        <w:t>הקונצרניות</w:t>
      </w:r>
      <w:proofErr w:type="spellEnd"/>
      <w:r w:rsidRPr="00F10597">
        <w:rPr>
          <w:rFonts w:ascii="David" w:hAnsi="Times New Roman" w:cs="David" w:hint="cs"/>
          <w:color w:val="000000"/>
          <w:sz w:val="24"/>
          <w:szCs w:val="24"/>
          <w:rtl/>
        </w:rPr>
        <w:t xml:space="preserve"> בכלל, ובתיק הנכסים של הגופים המוסדיים בפרט, זאת בהשוואה למדדים מקובלים במערכת הבנקאית. במסגרת המחקר נאמד היקף האשראי העומד, הטומן בחובו סיכון גבוה לחדלות פירעון, זאת ביחס לסך האשראי שניתן בשוק האג"ח </w:t>
      </w:r>
      <w:proofErr w:type="spellStart"/>
      <w:r w:rsidRPr="00F10597">
        <w:rPr>
          <w:rFonts w:ascii="David" w:hAnsi="Times New Roman" w:cs="David" w:hint="cs"/>
          <w:color w:val="000000"/>
          <w:sz w:val="24"/>
          <w:szCs w:val="24"/>
          <w:rtl/>
        </w:rPr>
        <w:t>הקונצרני</w:t>
      </w:r>
      <w:proofErr w:type="spellEnd"/>
      <w:r w:rsidRPr="00F10597">
        <w:rPr>
          <w:rFonts w:ascii="David" w:hAnsi="Times New Roman" w:cs="David" w:hint="cs"/>
          <w:color w:val="000000"/>
          <w:sz w:val="24"/>
          <w:szCs w:val="24"/>
          <w:rtl/>
        </w:rPr>
        <w:t xml:space="preserve">, ונאמדו ההפסדים הגלומים במחירי השוק הנוכחיים, שנגרמו כתוצאה מהחזקת אגרות חוב שהוגדרו כבעייתיות בתיק הנכסים של שמונת הגופים המוסדיים הגדולים. בנוסף לאלה הושלמו ומבוצעים תהליכי הערכה יסודיים של מודלים לדירוג אשראי פנימי (בהתאם לחוזר מס' 2007-9-16) אצל מספר גופים. התהליך כולל בחינה מקיפה של מערכי האשראי בגופים המוסדיים מבחינת המבנה הארגוני שלהם, נהלי עבודה, מתודולוגית העבודה, תיעוד ועמידה בהוראות הדין. בתהליך הערכת מודל הדירוג עצמו מסתייעים במומחים חיצוניים, ונבחנת לעומק מתודולוגית הדירוג, התאמת המודל לשוק הישראלי, בחינת תיקוף המודל ועוד, וככל שהדבר נדרש, תיקון המודל (לרבות מרכיבים שונים במבנה והתנהלות מערך האשראי). אושר מודל דירוג של שני גופים מוסדיים, ותהליך ההערכה מתבצע במספר גופים נוספים. במקביל, האגף מבצע ביקורות בכל הנושאים הקשורים להשקעות החל מבדיקה מדגמית של </w:t>
      </w:r>
      <w:proofErr w:type="spellStart"/>
      <w:r w:rsidRPr="00F10597">
        <w:rPr>
          <w:rFonts w:ascii="David" w:hAnsi="Times New Roman" w:cs="David" w:hint="cs"/>
          <w:color w:val="000000"/>
          <w:sz w:val="24"/>
          <w:szCs w:val="24"/>
          <w:rtl/>
        </w:rPr>
        <w:t>שיערוכים</w:t>
      </w:r>
      <w:proofErr w:type="spellEnd"/>
      <w:r w:rsidRPr="00F10597">
        <w:rPr>
          <w:rFonts w:ascii="David" w:hAnsi="Times New Roman" w:cs="David" w:hint="cs"/>
          <w:color w:val="000000"/>
          <w:sz w:val="24"/>
          <w:szCs w:val="24"/>
          <w:rtl/>
        </w:rPr>
        <w:t xml:space="preserve"> ועמידה בתקנות השקעה וכלה בבחינת התנהלות הגוף ברמת הממשל </w:t>
      </w:r>
      <w:proofErr w:type="spellStart"/>
      <w:r w:rsidRPr="00F10597">
        <w:rPr>
          <w:rFonts w:ascii="David" w:hAnsi="Times New Roman" w:cs="David" w:hint="cs"/>
          <w:color w:val="000000"/>
          <w:sz w:val="24"/>
          <w:szCs w:val="24"/>
          <w:rtl/>
        </w:rPr>
        <w:t>התאגידי</w:t>
      </w:r>
      <w:proofErr w:type="spellEnd"/>
      <w:r w:rsidRPr="00F10597">
        <w:rPr>
          <w:rFonts w:ascii="David" w:hAnsi="Times New Roman" w:cs="David" w:hint="cs"/>
          <w:color w:val="000000"/>
          <w:sz w:val="24"/>
          <w:szCs w:val="24"/>
          <w:rtl/>
        </w:rPr>
        <w:t>, לרבות בחינת איכות מנגנוני קבלת החלטות ההשקעה, מנגנוני הבקרה והנהלים הקיימים בכל גוף מוסדי ואופן יישומם.</w:t>
      </w:r>
    </w:p>
    <w:p w:rsidR="00F10597" w:rsidRPr="00F10597" w:rsidRDefault="00F10597" w:rsidP="00F10597">
      <w:pPr>
        <w:suppressAutoHyphens/>
        <w:autoSpaceDE w:val="0"/>
        <w:autoSpaceDN w:val="0"/>
        <w:adjustRightInd w:val="0"/>
        <w:spacing w:after="0" w:line="288" w:lineRule="auto"/>
        <w:ind w:left="1076"/>
        <w:jc w:val="both"/>
        <w:textAlignment w:val="center"/>
        <w:rPr>
          <w:rFonts w:ascii="David" w:hAnsi="Times New Roman" w:cs="David"/>
          <w:color w:val="000000"/>
          <w:sz w:val="24"/>
          <w:szCs w:val="24"/>
          <w:rtl/>
        </w:rPr>
      </w:pPr>
      <w:r w:rsidRPr="00F10597">
        <w:rPr>
          <w:rFonts w:ascii="David" w:hAnsi="Times New Roman" w:cs="David" w:hint="cs"/>
          <w:color w:val="000000"/>
          <w:sz w:val="24"/>
          <w:szCs w:val="24"/>
          <w:rtl/>
        </w:rPr>
        <w:t xml:space="preserve">לעניין התאמת מסגרת הרגולציה להמלצות "ועדת </w:t>
      </w:r>
      <w:proofErr w:type="spellStart"/>
      <w:r w:rsidRPr="00F10597">
        <w:rPr>
          <w:rFonts w:ascii="David" w:hAnsi="Times New Roman" w:cs="David" w:hint="cs"/>
          <w:color w:val="000000"/>
          <w:sz w:val="24"/>
          <w:szCs w:val="24"/>
          <w:rtl/>
        </w:rPr>
        <w:t>חודק</w:t>
      </w:r>
      <w:proofErr w:type="spellEnd"/>
      <w:r w:rsidRPr="00F10597">
        <w:rPr>
          <w:rFonts w:ascii="David" w:hAnsi="Times New Roman" w:cs="David" w:hint="cs"/>
          <w:color w:val="000000"/>
          <w:sz w:val="24"/>
          <w:szCs w:val="24"/>
          <w:rtl/>
        </w:rPr>
        <w:t xml:space="preserve">" - לאחר עבודת מטה נרחבת, פורסמה ביום 4 באפריל 2010 טיוטה שנייה לחוזר "הוראות לעניין השקעת גופים מוסדיים באיגרות חוב לא ממשלתיות", המתבססת על המלצות דוח הוועדה. הטיוטה קובעת הוראות שיחולו על גופים מוסדיים בעת רכישת איגרות חוב, החל מקבלת מסמכי הנפקה בפרק זמן מספק לפני ההנפקה, דרך הכנת אנליזה, וכלה בקבלת הערות משקיעים אחרים למסמכי ההנפקה. בנוסף הטיוטה קובעת את סוג המידע שגוף מוסדי יקבל ממנפיק שהוא תאגיד שאינו מדווח, הן בעת ההנפקה והן </w:t>
      </w:r>
      <w:r w:rsidRPr="00F10597">
        <w:rPr>
          <w:rFonts w:ascii="David" w:hAnsi="Times New Roman" w:cs="David" w:hint="cs"/>
          <w:color w:val="000000"/>
          <w:sz w:val="24"/>
          <w:szCs w:val="24"/>
          <w:rtl/>
        </w:rPr>
        <w:lastRenderedPageBreak/>
        <w:t>לאורך כל חיי החוב, ומורה לגופים המוסדיים לקבוע מדיניות השקעות באיגרות חוב, המתייחסת למאפייניהן של איגרות חוב שונות. האגף קיבל את הערות הגופים המוסדיים וגורמים אחרים לטיוטות, וקיים סדרת פגישות והתייעצויות נרחבות עם הגורמים השונים, ובכללם שאר הרגולטורים הפיננסים בישראל. חוזר סופי בנדון</w:t>
      </w:r>
      <w:r w:rsidRPr="00F10597">
        <w:rPr>
          <w:rFonts w:ascii="David" w:hAnsi="Times New Roman" w:cs="David"/>
          <w:color w:val="000000"/>
          <w:sz w:val="24"/>
          <w:szCs w:val="24"/>
          <w:rtl/>
        </w:rPr>
        <w:br/>
      </w:r>
      <w:r w:rsidRPr="00F10597">
        <w:rPr>
          <w:rFonts w:ascii="David" w:hAnsi="Times New Roman" w:cs="David" w:hint="cs"/>
          <w:color w:val="000000"/>
          <w:sz w:val="24"/>
          <w:szCs w:val="24"/>
          <w:rtl/>
        </w:rPr>
        <w:t xml:space="preserve">יפורסם. מעבר לאמור לעיל, האגף נערך ליישום הדירקטיבה האירופאית </w:t>
      </w:r>
      <w:r w:rsidRPr="00F10597">
        <w:rPr>
          <w:rFonts w:ascii="Times New Roman" w:hAnsi="Times New Roman" w:cs="Times New Roman"/>
          <w:color w:val="000000"/>
          <w:sz w:val="24"/>
          <w:szCs w:val="24"/>
        </w:rPr>
        <w:t>Solvency II</w:t>
      </w:r>
      <w:r w:rsidRPr="00F10597">
        <w:rPr>
          <w:rFonts w:ascii="David" w:hAnsi="Times New Roman" w:cs="David" w:hint="cs"/>
          <w:color w:val="000000"/>
          <w:sz w:val="24"/>
          <w:szCs w:val="24"/>
          <w:rtl/>
        </w:rPr>
        <w:t xml:space="preserve"> בישראל בסמוך ליישומה באירופה בראשית 2013. הדירקטיבה מתמקדת בסטנדרטים לניהול סיכונים להם חשופים מבטחים ובכלל זה סיכוני אשראי וביטויים בהון העצמי הנדרש מהחברות. לאחר ביצוע סקר פערים יותאמו הסטנדרטים בישראל ל-</w:t>
      </w:r>
      <w:r w:rsidRPr="00F10597">
        <w:rPr>
          <w:rFonts w:ascii="Times New Roman" w:hAnsi="Times New Roman" w:cs="Times New Roman"/>
          <w:color w:val="000000"/>
          <w:sz w:val="24"/>
          <w:szCs w:val="24"/>
        </w:rPr>
        <w:t>Best Practices</w:t>
      </w:r>
      <w:r w:rsidRPr="00F10597">
        <w:rPr>
          <w:rFonts w:ascii="David" w:hAnsi="Times New Roman" w:cs="David" w:hint="cs"/>
          <w:color w:val="000000"/>
          <w:sz w:val="24"/>
          <w:szCs w:val="24"/>
          <w:rtl/>
        </w:rPr>
        <w:t xml:space="preserve">  על פי הדירקטיבה וככל שיידרש יוחלו גם לגבי גופים אחרים המנהלים חסכון פנסיוני, זולת חברות ביטוח – חברות מנהלות של קופות גמל וקרנות פנסיה. </w:t>
      </w:r>
    </w:p>
    <w:p w:rsidR="00F10597" w:rsidRPr="00F10597" w:rsidRDefault="00F10597" w:rsidP="00F10597">
      <w:pPr>
        <w:autoSpaceDE w:val="0"/>
        <w:autoSpaceDN w:val="0"/>
        <w:adjustRightInd w:val="0"/>
        <w:spacing w:after="227" w:line="288" w:lineRule="auto"/>
        <w:ind w:left="1076"/>
        <w:jc w:val="both"/>
        <w:textAlignment w:val="center"/>
        <w:rPr>
          <w:rFonts w:ascii="David" w:hAnsi="Times New Roman" w:cs="David"/>
          <w:color w:val="000000"/>
          <w:sz w:val="24"/>
          <w:szCs w:val="24"/>
          <w:rtl/>
        </w:rPr>
      </w:pPr>
      <w:r w:rsidRPr="00F10597">
        <w:rPr>
          <w:rFonts w:ascii="David" w:hAnsi="Times New Roman" w:cs="David" w:hint="cs"/>
          <w:color w:val="000000"/>
          <w:sz w:val="24"/>
          <w:szCs w:val="24"/>
          <w:rtl/>
        </w:rPr>
        <w:t xml:space="preserve">ראה הערות רה"מ </w:t>
      </w:r>
      <w:proofErr w:type="spellStart"/>
      <w:r w:rsidRPr="00F10597">
        <w:rPr>
          <w:rFonts w:ascii="David" w:hAnsi="Times New Roman" w:cs="David" w:hint="cs"/>
          <w:color w:val="000000"/>
          <w:sz w:val="24"/>
          <w:szCs w:val="24"/>
          <w:rtl/>
        </w:rPr>
        <w:t>60ב</w:t>
      </w:r>
      <w:proofErr w:type="spellEnd"/>
      <w:r w:rsidRPr="00F10597">
        <w:rPr>
          <w:rFonts w:ascii="David" w:hAnsi="Times New Roman" w:cs="David" w:hint="cs"/>
          <w:color w:val="000000"/>
          <w:sz w:val="24"/>
          <w:szCs w:val="24"/>
          <w:rtl/>
        </w:rPr>
        <w:t xml:space="preserve">' </w:t>
      </w:r>
      <w:proofErr w:type="spellStart"/>
      <w:r w:rsidRPr="00F10597">
        <w:rPr>
          <w:rFonts w:ascii="David" w:hAnsi="Times New Roman" w:cs="David" w:hint="cs"/>
          <w:color w:val="000000"/>
          <w:sz w:val="24"/>
          <w:szCs w:val="24"/>
          <w:rtl/>
        </w:rPr>
        <w:t>עמ</w:t>
      </w:r>
      <w:proofErr w:type="spellEnd"/>
      <w:r w:rsidRPr="00F10597">
        <w:rPr>
          <w:rFonts w:ascii="David" w:hAnsi="Times New Roman" w:cs="David" w:hint="cs"/>
          <w:color w:val="000000"/>
          <w:sz w:val="24"/>
          <w:szCs w:val="24"/>
          <w:rtl/>
        </w:rPr>
        <w:t>' 47-48.</w:t>
      </w:r>
    </w:p>
    <w:p w:rsidR="00F10597" w:rsidRPr="00F10597" w:rsidRDefault="00F10597" w:rsidP="00F10597">
      <w:pPr>
        <w:autoSpaceDE w:val="0"/>
        <w:autoSpaceDN w:val="0"/>
        <w:adjustRightInd w:val="0"/>
        <w:spacing w:after="0" w:line="288" w:lineRule="auto"/>
        <w:ind w:left="509" w:hanging="509"/>
        <w:jc w:val="both"/>
        <w:textAlignment w:val="center"/>
        <w:rPr>
          <w:rFonts w:ascii="David" w:hAnsi="Times New Roman" w:cs="David"/>
          <w:b/>
          <w:bCs/>
          <w:color w:val="000000"/>
          <w:sz w:val="24"/>
          <w:szCs w:val="24"/>
          <w:rtl/>
        </w:rPr>
      </w:pPr>
      <w:r w:rsidRPr="00F10597">
        <w:rPr>
          <w:rFonts w:ascii="David" w:hAnsi="Times New Roman" w:cs="David" w:hint="cs"/>
          <w:b/>
          <w:bCs/>
          <w:color w:val="000000"/>
          <w:sz w:val="24"/>
          <w:szCs w:val="24"/>
          <w:rtl/>
        </w:rPr>
        <w:t>מעקב</w:t>
      </w:r>
    </w:p>
    <w:p w:rsidR="00F10597" w:rsidRPr="00F10597" w:rsidRDefault="00F10597" w:rsidP="00F10597">
      <w:pPr>
        <w:autoSpaceDE w:val="0"/>
        <w:autoSpaceDN w:val="0"/>
        <w:adjustRightInd w:val="0"/>
        <w:spacing w:after="0" w:line="288" w:lineRule="auto"/>
        <w:ind w:left="509" w:hanging="509"/>
        <w:jc w:val="both"/>
        <w:textAlignment w:val="center"/>
        <w:rPr>
          <w:rFonts w:ascii="David" w:hAnsi="Times New Roman" w:cs="David"/>
          <w:b/>
          <w:bCs/>
          <w:color w:val="000000"/>
          <w:sz w:val="24"/>
          <w:szCs w:val="24"/>
          <w:rtl/>
        </w:rPr>
      </w:pPr>
      <w:r w:rsidRPr="00F10597">
        <w:rPr>
          <w:rFonts w:ascii="David" w:hAnsi="Times New Roman" w:cs="David" w:hint="cs"/>
          <w:b/>
          <w:bCs/>
          <w:color w:val="000000"/>
          <w:sz w:val="24"/>
          <w:szCs w:val="24"/>
          <w:rtl/>
        </w:rPr>
        <w:t>רשות ניירות ערך</w:t>
      </w:r>
    </w:p>
    <w:p w:rsidR="00F10597" w:rsidRPr="00F10597" w:rsidRDefault="00F10597" w:rsidP="00F10597">
      <w:pPr>
        <w:autoSpaceDE w:val="0"/>
        <w:autoSpaceDN w:val="0"/>
        <w:adjustRightInd w:val="0"/>
        <w:spacing w:after="0" w:line="288" w:lineRule="auto"/>
        <w:jc w:val="both"/>
        <w:textAlignment w:val="center"/>
        <w:rPr>
          <w:rFonts w:ascii="David" w:hAnsi="Times New Roman" w:cs="David"/>
          <w:b/>
          <w:bCs/>
          <w:color w:val="000000"/>
          <w:sz w:val="24"/>
          <w:szCs w:val="24"/>
          <w:rtl/>
        </w:rPr>
      </w:pPr>
    </w:p>
    <w:p w:rsidR="009021C2" w:rsidRPr="00F10597" w:rsidRDefault="00F10597" w:rsidP="00F10597">
      <w:pPr>
        <w:rPr>
          <w:szCs w:val="24"/>
        </w:rPr>
      </w:pPr>
      <w:r w:rsidRPr="00F10597">
        <w:rPr>
          <w:rFonts w:ascii="David" w:hAnsi="Times New Roman" w:cs="David" w:hint="cs"/>
          <w:color w:val="000000"/>
          <w:sz w:val="24"/>
          <w:szCs w:val="24"/>
          <w:rtl/>
        </w:rPr>
        <w:t>4-5.</w:t>
      </w:r>
      <w:r w:rsidRPr="00F10597">
        <w:rPr>
          <w:rFonts w:ascii="David" w:hAnsi="Times New Roman" w:cs="David"/>
          <w:color w:val="000000"/>
          <w:sz w:val="24"/>
          <w:szCs w:val="24"/>
          <w:rtl/>
        </w:rPr>
        <w:tab/>
      </w:r>
      <w:r w:rsidRPr="00F10597">
        <w:rPr>
          <w:rFonts w:ascii="David" w:hAnsi="Times New Roman" w:cs="David"/>
          <w:color w:val="000000"/>
          <w:sz w:val="24"/>
          <w:szCs w:val="24"/>
          <w:rtl/>
        </w:rPr>
        <w:tab/>
      </w:r>
      <w:r w:rsidRPr="00F10597">
        <w:rPr>
          <w:rFonts w:ascii="David" w:hAnsi="Times New Roman" w:cs="David" w:hint="cs"/>
          <w:color w:val="000000"/>
          <w:sz w:val="24"/>
          <w:szCs w:val="24"/>
          <w:rtl/>
        </w:rPr>
        <w:t>לא דווח על התקדמות בתיקון הליקוי.</w:t>
      </w:r>
    </w:p>
    <w:sectPr w:rsidR="009021C2" w:rsidRPr="00F10597" w:rsidSect="004C2E49">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77F8" w:rsidRDefault="005A77F8" w:rsidP="004C2E49">
      <w:pPr>
        <w:spacing w:after="0" w:line="240" w:lineRule="auto"/>
      </w:pPr>
      <w:r>
        <w:separator/>
      </w:r>
    </w:p>
  </w:endnote>
  <w:endnote w:type="continuationSeparator" w:id="1">
    <w:p w:rsidR="005A77F8" w:rsidRDefault="005A77F8" w:rsidP="004C2E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avid">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B1"/>
    <w:family w:val="swiss"/>
    <w:notTrueType/>
    <w:pitch w:val="variable"/>
    <w:sig w:usb0="00000801" w:usb1="00000000" w:usb2="00000000" w:usb3="00000000" w:csb0="0000002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77F8" w:rsidRDefault="005A77F8">
    <w:pPr>
      <w:pStyle w:val="a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77F8" w:rsidRDefault="005A77F8">
    <w:pPr>
      <w:pStyle w:val="a8"/>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77F8" w:rsidRDefault="005A77F8">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77F8" w:rsidRDefault="005A77F8" w:rsidP="004C2E49">
      <w:pPr>
        <w:spacing w:after="0" w:line="240" w:lineRule="auto"/>
      </w:pPr>
      <w:r>
        <w:separator/>
      </w:r>
    </w:p>
  </w:footnote>
  <w:footnote w:type="continuationSeparator" w:id="1">
    <w:p w:rsidR="005A77F8" w:rsidRDefault="005A77F8" w:rsidP="004C2E4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77F8" w:rsidRDefault="005A77F8">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77F8" w:rsidRDefault="00BA708B" w:rsidP="004C2E49">
    <w:pPr>
      <w:pStyle w:val="a3"/>
      <w:tabs>
        <w:tab w:val="clear" w:pos="4153"/>
      </w:tabs>
      <w:ind w:left="84" w:hanging="483"/>
      <w:jc w:val="right"/>
      <w:rPr>
        <w:rFonts w:cs="David"/>
        <w:sz w:val="16"/>
        <w:szCs w:val="16"/>
        <w:rtl/>
      </w:rPr>
    </w:pPr>
    <w:r w:rsidRPr="004C2E49">
      <w:rPr>
        <w:rFonts w:cs="David"/>
        <w:sz w:val="16"/>
        <w:szCs w:val="16"/>
        <w:rtl/>
      </w:rPr>
      <w:fldChar w:fldCharType="begin"/>
    </w:r>
    <w:r w:rsidR="005A77F8" w:rsidRPr="004C2E49">
      <w:rPr>
        <w:rFonts w:cs="David"/>
        <w:sz w:val="16"/>
        <w:szCs w:val="16"/>
        <w:rtl/>
      </w:rPr>
      <w:instrText xml:space="preserve"> </w:instrText>
    </w:r>
    <w:r w:rsidR="005A77F8" w:rsidRPr="004C2E49">
      <w:rPr>
        <w:rFonts w:cs="David" w:hint="cs"/>
        <w:sz w:val="16"/>
        <w:szCs w:val="16"/>
      </w:rPr>
      <w:instrText>TIME  \@ "HH:mm"  \* MERGEFORMAT</w:instrText>
    </w:r>
    <w:r w:rsidR="005A77F8" w:rsidRPr="004C2E49">
      <w:rPr>
        <w:rFonts w:cs="David"/>
        <w:sz w:val="16"/>
        <w:szCs w:val="16"/>
        <w:rtl/>
      </w:rPr>
      <w:instrText xml:space="preserve"> </w:instrText>
    </w:r>
    <w:r w:rsidRPr="004C2E49">
      <w:rPr>
        <w:rFonts w:cs="David"/>
        <w:sz w:val="16"/>
        <w:szCs w:val="16"/>
        <w:rtl/>
      </w:rPr>
      <w:fldChar w:fldCharType="separate"/>
    </w:r>
    <w:r w:rsidR="00F10597">
      <w:rPr>
        <w:rFonts w:cs="David" w:hint="cs"/>
        <w:noProof/>
        <w:sz w:val="16"/>
        <w:szCs w:val="16"/>
        <w:rtl/>
      </w:rPr>
      <w:t>‏</w:t>
    </w:r>
    <w:r w:rsidR="00F10597">
      <w:rPr>
        <w:rFonts w:cs="David"/>
        <w:noProof/>
        <w:sz w:val="16"/>
        <w:szCs w:val="16"/>
        <w:rtl/>
      </w:rPr>
      <w:t>10:39</w:t>
    </w:r>
    <w:r w:rsidRPr="004C2E49">
      <w:rPr>
        <w:rFonts w:cs="David"/>
        <w:sz w:val="16"/>
        <w:szCs w:val="16"/>
        <w:rtl/>
      </w:rPr>
      <w:fldChar w:fldCharType="end"/>
    </w:r>
    <w:r w:rsidR="005A77F8" w:rsidRPr="004C2E49">
      <w:rPr>
        <w:rFonts w:cs="David" w:hint="cs"/>
        <w:sz w:val="16"/>
        <w:szCs w:val="16"/>
        <w:rtl/>
      </w:rPr>
      <w:t xml:space="preserve">  </w:t>
    </w:r>
    <w:r w:rsidRPr="004C2E49">
      <w:rPr>
        <w:rFonts w:cs="David"/>
        <w:sz w:val="16"/>
        <w:szCs w:val="16"/>
        <w:rtl/>
      </w:rPr>
      <w:fldChar w:fldCharType="begin"/>
    </w:r>
    <w:r w:rsidR="005A77F8" w:rsidRPr="004C2E49">
      <w:rPr>
        <w:rFonts w:cs="David"/>
        <w:sz w:val="16"/>
        <w:szCs w:val="16"/>
        <w:rtl/>
      </w:rPr>
      <w:instrText xml:space="preserve"> </w:instrText>
    </w:r>
    <w:r w:rsidR="005A77F8" w:rsidRPr="004C2E49">
      <w:rPr>
        <w:rFonts w:cs="David" w:hint="cs"/>
        <w:sz w:val="16"/>
        <w:szCs w:val="16"/>
      </w:rPr>
      <w:instrText>DATE  \@ "yyyy-MM-dd"  \* MERGEFORMAT</w:instrText>
    </w:r>
    <w:r w:rsidR="005A77F8" w:rsidRPr="004C2E49">
      <w:rPr>
        <w:rFonts w:cs="David"/>
        <w:sz w:val="16"/>
        <w:szCs w:val="16"/>
        <w:rtl/>
      </w:rPr>
      <w:instrText xml:space="preserve"> </w:instrText>
    </w:r>
    <w:r w:rsidRPr="004C2E49">
      <w:rPr>
        <w:rFonts w:cs="David"/>
        <w:sz w:val="16"/>
        <w:szCs w:val="16"/>
        <w:rtl/>
      </w:rPr>
      <w:fldChar w:fldCharType="separate"/>
    </w:r>
    <w:r w:rsidR="00F10597">
      <w:rPr>
        <w:rFonts w:cs="David" w:hint="cs"/>
        <w:noProof/>
        <w:sz w:val="16"/>
        <w:szCs w:val="16"/>
        <w:rtl/>
      </w:rPr>
      <w:t>‏</w:t>
    </w:r>
    <w:r w:rsidR="00F10597">
      <w:rPr>
        <w:rFonts w:cs="David"/>
        <w:noProof/>
        <w:sz w:val="16"/>
        <w:szCs w:val="16"/>
        <w:rtl/>
      </w:rPr>
      <w:t>2010–12–12</w:t>
    </w:r>
    <w:r w:rsidRPr="004C2E49">
      <w:rPr>
        <w:rFonts w:cs="David"/>
        <w:sz w:val="16"/>
        <w:szCs w:val="16"/>
        <w:rtl/>
      </w:rPr>
      <w:fldChar w:fldCharType="end"/>
    </w:r>
    <w:r w:rsidR="005A77F8" w:rsidRPr="004C2E49">
      <w:rPr>
        <w:rFonts w:cs="David" w:hint="cs"/>
        <w:sz w:val="16"/>
        <w:szCs w:val="16"/>
        <w:rtl/>
      </w:rPr>
      <w:t xml:space="preserve">   </w:t>
    </w:r>
    <w:fldSimple w:instr=" FILENAME  \* FirstCap \p  \* MERGEFORMAT ">
      <w:r w:rsidR="002B0FD0" w:rsidRPr="002B0FD0">
        <w:rPr>
          <w:rFonts w:cs="David"/>
          <w:noProof/>
          <w:sz w:val="16"/>
          <w:szCs w:val="16"/>
        </w:rPr>
        <w:t>L:\</w:t>
      </w:r>
      <w:r w:rsidR="002B0FD0" w:rsidRPr="002B0FD0">
        <w:rPr>
          <w:rFonts w:cs="David" w:hint="cs"/>
          <w:noProof/>
          <w:sz w:val="16"/>
          <w:szCs w:val="16"/>
          <w:rtl/>
        </w:rPr>
        <w:t>הספר</w:t>
      </w:r>
      <w:r w:rsidR="002B0FD0" w:rsidRPr="002B0FD0">
        <w:rPr>
          <w:rFonts w:cs="David"/>
          <w:noProof/>
          <w:sz w:val="16"/>
          <w:szCs w:val="16"/>
          <w:rtl/>
        </w:rPr>
        <w:t xml:space="preserve"> - </w:t>
      </w:r>
      <w:r w:rsidR="002B0FD0" w:rsidRPr="002B0FD0">
        <w:rPr>
          <w:rFonts w:cs="David" w:hint="cs"/>
          <w:noProof/>
          <w:sz w:val="16"/>
          <w:szCs w:val="16"/>
          <w:rtl/>
        </w:rPr>
        <w:t>מעקבים</w:t>
      </w:r>
      <w:r w:rsidR="002B0FD0" w:rsidRPr="002B0FD0">
        <w:rPr>
          <w:rFonts w:cs="David"/>
          <w:noProof/>
          <w:sz w:val="16"/>
          <w:szCs w:val="16"/>
          <w:rtl/>
        </w:rPr>
        <w:t xml:space="preserve"> 60</w:t>
      </w:r>
      <w:r w:rsidR="002B0FD0" w:rsidRPr="002B0FD0">
        <w:rPr>
          <w:rFonts w:cs="David" w:hint="cs"/>
          <w:noProof/>
          <w:sz w:val="16"/>
          <w:szCs w:val="16"/>
          <w:rtl/>
        </w:rPr>
        <w:t>ב</w:t>
      </w:r>
      <w:r w:rsidR="002B0FD0" w:rsidRPr="002B0FD0">
        <w:rPr>
          <w:rFonts w:cs="David"/>
          <w:noProof/>
          <w:sz w:val="16"/>
          <w:szCs w:val="16"/>
          <w:rtl/>
        </w:rPr>
        <w:t>\</w:t>
      </w:r>
      <w:r w:rsidR="002B0FD0" w:rsidRPr="002B0FD0">
        <w:rPr>
          <w:rFonts w:cs="David" w:hint="cs"/>
          <w:noProof/>
          <w:sz w:val="16"/>
          <w:szCs w:val="16"/>
          <w:rtl/>
        </w:rPr>
        <w:t>פנינה</w:t>
      </w:r>
      <w:r w:rsidR="002B0FD0" w:rsidRPr="002B0FD0">
        <w:rPr>
          <w:rFonts w:cs="David"/>
          <w:noProof/>
          <w:sz w:val="16"/>
          <w:szCs w:val="16"/>
          <w:rtl/>
        </w:rPr>
        <w:t>\60</w:t>
      </w:r>
      <w:r w:rsidR="002B0FD0" w:rsidRPr="002B0FD0">
        <w:rPr>
          <w:rFonts w:cs="David" w:hint="cs"/>
          <w:noProof/>
          <w:sz w:val="16"/>
          <w:szCs w:val="16"/>
          <w:rtl/>
        </w:rPr>
        <w:t>ב</w:t>
      </w:r>
      <w:r w:rsidR="002B0FD0" w:rsidRPr="002B0FD0">
        <w:rPr>
          <w:rFonts w:cs="David"/>
          <w:noProof/>
          <w:sz w:val="16"/>
          <w:szCs w:val="16"/>
          <w:rtl/>
        </w:rPr>
        <w:t>\</w:t>
      </w:r>
      <w:r w:rsidR="002B0FD0" w:rsidRPr="002B0FD0">
        <w:rPr>
          <w:rFonts w:cs="David" w:hint="cs"/>
          <w:noProof/>
          <w:sz w:val="16"/>
          <w:szCs w:val="16"/>
          <w:rtl/>
        </w:rPr>
        <w:t>משרד</w:t>
      </w:r>
      <w:r w:rsidR="002B0FD0" w:rsidRPr="002B0FD0">
        <w:rPr>
          <w:rFonts w:cs="David"/>
          <w:noProof/>
          <w:sz w:val="16"/>
          <w:szCs w:val="16"/>
          <w:rtl/>
        </w:rPr>
        <w:t xml:space="preserve"> </w:t>
      </w:r>
      <w:r w:rsidR="002B0FD0" w:rsidRPr="002B0FD0">
        <w:rPr>
          <w:rFonts w:cs="David" w:hint="cs"/>
          <w:noProof/>
          <w:sz w:val="16"/>
          <w:szCs w:val="16"/>
          <w:rtl/>
        </w:rPr>
        <w:t>האוצר</w:t>
      </w:r>
      <w:r w:rsidR="002B0FD0" w:rsidRPr="002B0FD0">
        <w:rPr>
          <w:rFonts w:cs="David"/>
          <w:noProof/>
          <w:sz w:val="16"/>
          <w:szCs w:val="16"/>
          <w:rtl/>
        </w:rPr>
        <w:t>\</w:t>
      </w:r>
      <w:r w:rsidR="002B0FD0" w:rsidRPr="002B0FD0">
        <w:rPr>
          <w:rFonts w:cs="David" w:hint="cs"/>
          <w:noProof/>
          <w:sz w:val="16"/>
          <w:szCs w:val="16"/>
          <w:rtl/>
        </w:rPr>
        <w:t>הסדרת</w:t>
      </w:r>
      <w:r w:rsidR="002B0FD0" w:rsidRPr="002B0FD0">
        <w:rPr>
          <w:rFonts w:cs="David"/>
          <w:noProof/>
          <w:sz w:val="16"/>
          <w:szCs w:val="16"/>
          <w:rtl/>
        </w:rPr>
        <w:t xml:space="preserve"> </w:t>
      </w:r>
      <w:r w:rsidR="002B0FD0" w:rsidRPr="002B0FD0">
        <w:rPr>
          <w:rFonts w:cs="David" w:hint="cs"/>
          <w:noProof/>
          <w:sz w:val="16"/>
          <w:szCs w:val="16"/>
          <w:rtl/>
        </w:rPr>
        <w:t>שוק</w:t>
      </w:r>
      <w:r w:rsidR="002B0FD0" w:rsidRPr="002B0FD0">
        <w:rPr>
          <w:rFonts w:cs="David"/>
          <w:noProof/>
          <w:sz w:val="16"/>
          <w:szCs w:val="16"/>
          <w:rtl/>
        </w:rPr>
        <w:t xml:space="preserve"> </w:t>
      </w:r>
      <w:r w:rsidR="002B0FD0" w:rsidRPr="002B0FD0">
        <w:rPr>
          <w:rFonts w:cs="David" w:hint="cs"/>
          <w:noProof/>
          <w:sz w:val="16"/>
          <w:szCs w:val="16"/>
          <w:rtl/>
        </w:rPr>
        <w:t>החיסכון</w:t>
      </w:r>
      <w:r w:rsidR="002B0FD0" w:rsidRPr="002B0FD0">
        <w:rPr>
          <w:rFonts w:cs="David"/>
          <w:noProof/>
          <w:sz w:val="16"/>
          <w:szCs w:val="16"/>
          <w:rtl/>
        </w:rPr>
        <w:t xml:space="preserve"> </w:t>
      </w:r>
      <w:r w:rsidR="002B0FD0" w:rsidRPr="002B0FD0">
        <w:rPr>
          <w:rFonts w:cs="David" w:hint="cs"/>
          <w:noProof/>
          <w:sz w:val="16"/>
          <w:szCs w:val="16"/>
          <w:rtl/>
        </w:rPr>
        <w:t>הפנסיוני</w:t>
      </w:r>
      <w:r w:rsidR="002B0FD0" w:rsidRPr="002B0FD0">
        <w:rPr>
          <w:rFonts w:cs="David"/>
          <w:noProof/>
          <w:sz w:val="16"/>
          <w:szCs w:val="16"/>
          <w:rtl/>
        </w:rPr>
        <w:t xml:space="preserve"> </w:t>
      </w:r>
      <w:r w:rsidR="002B0FD0" w:rsidRPr="002B0FD0">
        <w:rPr>
          <w:rFonts w:cs="David" w:hint="cs"/>
          <w:noProof/>
          <w:sz w:val="16"/>
          <w:szCs w:val="16"/>
          <w:rtl/>
        </w:rPr>
        <w:t>והפיקוח</w:t>
      </w:r>
      <w:r w:rsidR="002B0FD0" w:rsidRPr="002B0FD0">
        <w:rPr>
          <w:rFonts w:cs="David"/>
          <w:noProof/>
          <w:sz w:val="16"/>
          <w:szCs w:val="16"/>
          <w:rtl/>
        </w:rPr>
        <w:t xml:space="preserve"> </w:t>
      </w:r>
      <w:r w:rsidR="002B0FD0" w:rsidRPr="002B0FD0">
        <w:rPr>
          <w:rFonts w:cs="David" w:hint="cs"/>
          <w:noProof/>
          <w:sz w:val="16"/>
          <w:szCs w:val="16"/>
          <w:rtl/>
        </w:rPr>
        <w:t>עליו</w:t>
      </w:r>
      <w:r w:rsidR="002B0FD0" w:rsidRPr="002B0FD0">
        <w:rPr>
          <w:rFonts w:cs="David"/>
          <w:noProof/>
          <w:sz w:val="16"/>
          <w:szCs w:val="16"/>
        </w:rPr>
        <w:t>.docx</w:t>
      </w:r>
    </w:fldSimple>
    <w:r w:rsidR="005A77F8" w:rsidRPr="004C2E49">
      <w:rPr>
        <w:rFonts w:cs="David" w:hint="cs"/>
        <w:sz w:val="16"/>
        <w:szCs w:val="16"/>
        <w:rtl/>
      </w:rPr>
      <w:t xml:space="preserve">    -</w:t>
    </w:r>
    <w:r w:rsidRPr="004C2E49">
      <w:rPr>
        <w:rFonts w:cs="David"/>
        <w:sz w:val="16"/>
        <w:szCs w:val="16"/>
        <w:rtl/>
      </w:rPr>
      <w:fldChar w:fldCharType="begin"/>
    </w:r>
    <w:r w:rsidR="005A77F8" w:rsidRPr="004C2E49">
      <w:rPr>
        <w:rFonts w:cs="David"/>
        <w:sz w:val="16"/>
        <w:szCs w:val="16"/>
        <w:rtl/>
      </w:rPr>
      <w:instrText xml:space="preserve"> </w:instrText>
    </w:r>
    <w:r w:rsidR="005A77F8" w:rsidRPr="004C2E49">
      <w:rPr>
        <w:rFonts w:cs="David"/>
        <w:sz w:val="16"/>
        <w:szCs w:val="16"/>
      </w:rPr>
      <w:instrText>PAGE   \* MERGEFORMAT</w:instrText>
    </w:r>
    <w:r w:rsidR="005A77F8" w:rsidRPr="004C2E49">
      <w:rPr>
        <w:rFonts w:cs="David"/>
        <w:sz w:val="16"/>
        <w:szCs w:val="16"/>
        <w:rtl/>
      </w:rPr>
      <w:instrText xml:space="preserve"> </w:instrText>
    </w:r>
    <w:r w:rsidRPr="004C2E49">
      <w:rPr>
        <w:rFonts w:cs="David"/>
        <w:sz w:val="16"/>
        <w:szCs w:val="16"/>
        <w:rtl/>
      </w:rPr>
      <w:fldChar w:fldCharType="separate"/>
    </w:r>
    <w:r w:rsidR="00F10597">
      <w:rPr>
        <w:rFonts w:cs="David"/>
        <w:noProof/>
        <w:sz w:val="16"/>
        <w:szCs w:val="16"/>
        <w:rtl/>
      </w:rPr>
      <w:t>4</w:t>
    </w:r>
    <w:r w:rsidRPr="004C2E49">
      <w:rPr>
        <w:rFonts w:cs="David"/>
        <w:sz w:val="16"/>
        <w:szCs w:val="16"/>
        <w:rtl/>
      </w:rPr>
      <w:fldChar w:fldCharType="end"/>
    </w:r>
    <w:r w:rsidR="005A77F8" w:rsidRPr="004C2E49">
      <w:rPr>
        <w:rFonts w:cs="David" w:hint="cs"/>
        <w:sz w:val="16"/>
        <w:szCs w:val="16"/>
        <w:rtl/>
      </w:rPr>
      <w:t>-</w:t>
    </w:r>
  </w:p>
  <w:p w:rsidR="005A77F8" w:rsidRPr="004C2E49" w:rsidRDefault="005A77F8" w:rsidP="004C2E49">
    <w:pPr>
      <w:pStyle w:val="a3"/>
      <w:tabs>
        <w:tab w:val="clear" w:pos="4153"/>
      </w:tabs>
      <w:ind w:left="84" w:hanging="483"/>
      <w:jc w:val="right"/>
      <w:rPr>
        <w:rFonts w:cs="David"/>
        <w:sz w:val="16"/>
        <w:szCs w:val="16"/>
        <w:rtl/>
      </w:rPr>
    </w:pPr>
  </w:p>
  <w:p w:rsidR="005A77F8" w:rsidRPr="004C2E49" w:rsidRDefault="005A77F8" w:rsidP="00832C00">
    <w:pPr>
      <w:tabs>
        <w:tab w:val="left" w:pos="1316"/>
        <w:tab w:val="center" w:pos="4153"/>
      </w:tabs>
      <w:ind w:hanging="483"/>
      <w:rPr>
        <w:rFonts w:cs="David"/>
        <w:sz w:val="18"/>
        <w:szCs w:val="18"/>
        <w:u w:val="single"/>
        <w:rtl/>
      </w:rPr>
    </w:pPr>
    <w:r w:rsidRPr="004C2E49">
      <w:rPr>
        <w:rFonts w:cs="David" w:hint="cs"/>
        <w:sz w:val="18"/>
        <w:szCs w:val="18"/>
        <w:u w:val="single"/>
        <w:rtl/>
      </w:rPr>
      <w:t xml:space="preserve">מעקב אחר תיקון ליקויים, אגף המפקח הכללי לענייני ביקורת המדינה      </w:t>
    </w:r>
    <w:r>
      <w:rPr>
        <w:rFonts w:cs="David" w:hint="cs"/>
        <w:sz w:val="18"/>
        <w:szCs w:val="18"/>
        <w:u w:val="single"/>
        <w:rtl/>
      </w:rPr>
      <w:t xml:space="preserve">               </w:t>
    </w:r>
    <w:r w:rsidRPr="004C2E49">
      <w:rPr>
        <w:rFonts w:cs="David" w:hint="cs"/>
        <w:sz w:val="18"/>
        <w:szCs w:val="18"/>
        <w:u w:val="single"/>
        <w:rtl/>
      </w:rPr>
      <w:t xml:space="preserve">                                                         </w:t>
    </w:r>
    <w:r>
      <w:rPr>
        <w:rFonts w:cs="David" w:hint="cs"/>
        <w:sz w:val="18"/>
        <w:szCs w:val="18"/>
        <w:u w:val="single"/>
        <w:rtl/>
      </w:rPr>
      <w:t xml:space="preserve">    </w:t>
    </w:r>
    <w:r w:rsidRPr="004C2E49">
      <w:rPr>
        <w:rFonts w:cs="David" w:hint="cs"/>
        <w:sz w:val="18"/>
        <w:szCs w:val="18"/>
        <w:u w:val="single"/>
        <w:rtl/>
      </w:rPr>
      <w:t xml:space="preserve">    </w:t>
    </w:r>
    <w:r>
      <w:rPr>
        <w:rFonts w:cs="David" w:hint="cs"/>
        <w:sz w:val="18"/>
        <w:szCs w:val="18"/>
        <w:u w:val="single"/>
        <w:rtl/>
      </w:rPr>
      <w:t xml:space="preserve">משרד האוצר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77F8" w:rsidRDefault="005A77F8">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8F17C6"/>
    <w:multiLevelType w:val="hybridMultilevel"/>
    <w:tmpl w:val="1DF6C88C"/>
    <w:lvl w:ilvl="0" w:tplc="04090001">
      <w:start w:val="1"/>
      <w:numFmt w:val="bullet"/>
      <w:lvlText w:val=""/>
      <w:lvlJc w:val="left"/>
      <w:pPr>
        <w:ind w:left="1796" w:hanging="360"/>
      </w:pPr>
      <w:rPr>
        <w:rFonts w:ascii="Symbol" w:hAnsi="Symbol" w:hint="default"/>
      </w:rPr>
    </w:lvl>
    <w:lvl w:ilvl="1" w:tplc="04090003" w:tentative="1">
      <w:start w:val="1"/>
      <w:numFmt w:val="bullet"/>
      <w:lvlText w:val="o"/>
      <w:lvlJc w:val="left"/>
      <w:pPr>
        <w:ind w:left="2516" w:hanging="360"/>
      </w:pPr>
      <w:rPr>
        <w:rFonts w:ascii="Courier New" w:hAnsi="Courier New" w:cs="Courier New" w:hint="default"/>
      </w:rPr>
    </w:lvl>
    <w:lvl w:ilvl="2" w:tplc="04090005" w:tentative="1">
      <w:start w:val="1"/>
      <w:numFmt w:val="bullet"/>
      <w:lvlText w:val=""/>
      <w:lvlJc w:val="left"/>
      <w:pPr>
        <w:ind w:left="3236" w:hanging="360"/>
      </w:pPr>
      <w:rPr>
        <w:rFonts w:ascii="Wingdings" w:hAnsi="Wingdings" w:hint="default"/>
      </w:rPr>
    </w:lvl>
    <w:lvl w:ilvl="3" w:tplc="04090001" w:tentative="1">
      <w:start w:val="1"/>
      <w:numFmt w:val="bullet"/>
      <w:lvlText w:val=""/>
      <w:lvlJc w:val="left"/>
      <w:pPr>
        <w:ind w:left="3956" w:hanging="360"/>
      </w:pPr>
      <w:rPr>
        <w:rFonts w:ascii="Symbol" w:hAnsi="Symbol" w:hint="default"/>
      </w:rPr>
    </w:lvl>
    <w:lvl w:ilvl="4" w:tplc="04090003" w:tentative="1">
      <w:start w:val="1"/>
      <w:numFmt w:val="bullet"/>
      <w:lvlText w:val="o"/>
      <w:lvlJc w:val="left"/>
      <w:pPr>
        <w:ind w:left="4676" w:hanging="360"/>
      </w:pPr>
      <w:rPr>
        <w:rFonts w:ascii="Courier New" w:hAnsi="Courier New" w:cs="Courier New" w:hint="default"/>
      </w:rPr>
    </w:lvl>
    <w:lvl w:ilvl="5" w:tplc="04090005" w:tentative="1">
      <w:start w:val="1"/>
      <w:numFmt w:val="bullet"/>
      <w:lvlText w:val=""/>
      <w:lvlJc w:val="left"/>
      <w:pPr>
        <w:ind w:left="5396" w:hanging="360"/>
      </w:pPr>
      <w:rPr>
        <w:rFonts w:ascii="Wingdings" w:hAnsi="Wingdings" w:hint="default"/>
      </w:rPr>
    </w:lvl>
    <w:lvl w:ilvl="6" w:tplc="04090001" w:tentative="1">
      <w:start w:val="1"/>
      <w:numFmt w:val="bullet"/>
      <w:lvlText w:val=""/>
      <w:lvlJc w:val="left"/>
      <w:pPr>
        <w:ind w:left="6116" w:hanging="360"/>
      </w:pPr>
      <w:rPr>
        <w:rFonts w:ascii="Symbol" w:hAnsi="Symbol" w:hint="default"/>
      </w:rPr>
    </w:lvl>
    <w:lvl w:ilvl="7" w:tplc="04090003" w:tentative="1">
      <w:start w:val="1"/>
      <w:numFmt w:val="bullet"/>
      <w:lvlText w:val="o"/>
      <w:lvlJc w:val="left"/>
      <w:pPr>
        <w:ind w:left="6836" w:hanging="360"/>
      </w:pPr>
      <w:rPr>
        <w:rFonts w:ascii="Courier New" w:hAnsi="Courier New" w:cs="Courier New" w:hint="default"/>
      </w:rPr>
    </w:lvl>
    <w:lvl w:ilvl="8" w:tplc="04090005" w:tentative="1">
      <w:start w:val="1"/>
      <w:numFmt w:val="bullet"/>
      <w:lvlText w:val=""/>
      <w:lvlJc w:val="left"/>
      <w:pPr>
        <w:ind w:left="7556"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495F97"/>
    <w:rsid w:val="00000243"/>
    <w:rsid w:val="00000739"/>
    <w:rsid w:val="00027667"/>
    <w:rsid w:val="00043D5A"/>
    <w:rsid w:val="000510D6"/>
    <w:rsid w:val="00073FA9"/>
    <w:rsid w:val="00082BAA"/>
    <w:rsid w:val="00087487"/>
    <w:rsid w:val="000B2B5D"/>
    <w:rsid w:val="000C2368"/>
    <w:rsid w:val="000C4E8F"/>
    <w:rsid w:val="000D0FB7"/>
    <w:rsid w:val="000D160F"/>
    <w:rsid w:val="000E34F0"/>
    <w:rsid w:val="001000F7"/>
    <w:rsid w:val="001050B8"/>
    <w:rsid w:val="001057BF"/>
    <w:rsid w:val="00105DBA"/>
    <w:rsid w:val="00114DC0"/>
    <w:rsid w:val="00117077"/>
    <w:rsid w:val="00121C7C"/>
    <w:rsid w:val="0014223F"/>
    <w:rsid w:val="00146367"/>
    <w:rsid w:val="00150C10"/>
    <w:rsid w:val="001641DB"/>
    <w:rsid w:val="00165F1F"/>
    <w:rsid w:val="00192663"/>
    <w:rsid w:val="00197364"/>
    <w:rsid w:val="001A637D"/>
    <w:rsid w:val="001C723E"/>
    <w:rsid w:val="001D2CC6"/>
    <w:rsid w:val="001E5006"/>
    <w:rsid w:val="001E6A43"/>
    <w:rsid w:val="001E71FA"/>
    <w:rsid w:val="00210D94"/>
    <w:rsid w:val="0021373E"/>
    <w:rsid w:val="00232852"/>
    <w:rsid w:val="00237AB5"/>
    <w:rsid w:val="00250C36"/>
    <w:rsid w:val="00274039"/>
    <w:rsid w:val="00280509"/>
    <w:rsid w:val="00282D49"/>
    <w:rsid w:val="002831EA"/>
    <w:rsid w:val="0029553E"/>
    <w:rsid w:val="00297441"/>
    <w:rsid w:val="002A6F8F"/>
    <w:rsid w:val="002B0FD0"/>
    <w:rsid w:val="002B3D39"/>
    <w:rsid w:val="002B6CF7"/>
    <w:rsid w:val="002D02ED"/>
    <w:rsid w:val="002D0694"/>
    <w:rsid w:val="002E2B52"/>
    <w:rsid w:val="002E6760"/>
    <w:rsid w:val="002E6B4E"/>
    <w:rsid w:val="0030735E"/>
    <w:rsid w:val="00310136"/>
    <w:rsid w:val="0033198C"/>
    <w:rsid w:val="003344B0"/>
    <w:rsid w:val="00337EC9"/>
    <w:rsid w:val="00346AB7"/>
    <w:rsid w:val="00354067"/>
    <w:rsid w:val="00360A13"/>
    <w:rsid w:val="0037478F"/>
    <w:rsid w:val="00377C35"/>
    <w:rsid w:val="003A6D84"/>
    <w:rsid w:val="003A7C4A"/>
    <w:rsid w:val="003C75F5"/>
    <w:rsid w:val="003D223E"/>
    <w:rsid w:val="003E14BC"/>
    <w:rsid w:val="003E1745"/>
    <w:rsid w:val="003E7AD3"/>
    <w:rsid w:val="003F0D44"/>
    <w:rsid w:val="003F131D"/>
    <w:rsid w:val="0040392F"/>
    <w:rsid w:val="00425898"/>
    <w:rsid w:val="00435271"/>
    <w:rsid w:val="004377BE"/>
    <w:rsid w:val="004538D4"/>
    <w:rsid w:val="00456C02"/>
    <w:rsid w:val="00467CE6"/>
    <w:rsid w:val="004763C5"/>
    <w:rsid w:val="004917AA"/>
    <w:rsid w:val="00495F97"/>
    <w:rsid w:val="004A1055"/>
    <w:rsid w:val="004A255F"/>
    <w:rsid w:val="004B0F0E"/>
    <w:rsid w:val="004B1C7B"/>
    <w:rsid w:val="004C2E49"/>
    <w:rsid w:val="004C7217"/>
    <w:rsid w:val="004D427F"/>
    <w:rsid w:val="004E075B"/>
    <w:rsid w:val="004E46A0"/>
    <w:rsid w:val="004F2791"/>
    <w:rsid w:val="00510929"/>
    <w:rsid w:val="005139D8"/>
    <w:rsid w:val="00514843"/>
    <w:rsid w:val="005219B4"/>
    <w:rsid w:val="00533C78"/>
    <w:rsid w:val="00537BD2"/>
    <w:rsid w:val="00547425"/>
    <w:rsid w:val="0055111F"/>
    <w:rsid w:val="005578C3"/>
    <w:rsid w:val="00563607"/>
    <w:rsid w:val="005A548B"/>
    <w:rsid w:val="005A6E05"/>
    <w:rsid w:val="005A77F8"/>
    <w:rsid w:val="005D57C1"/>
    <w:rsid w:val="005F19BE"/>
    <w:rsid w:val="0060499E"/>
    <w:rsid w:val="00606B34"/>
    <w:rsid w:val="00606CCF"/>
    <w:rsid w:val="00624861"/>
    <w:rsid w:val="00632551"/>
    <w:rsid w:val="006424E4"/>
    <w:rsid w:val="00642830"/>
    <w:rsid w:val="00646F69"/>
    <w:rsid w:val="006643DF"/>
    <w:rsid w:val="006653A5"/>
    <w:rsid w:val="0067780E"/>
    <w:rsid w:val="006807A6"/>
    <w:rsid w:val="00681D16"/>
    <w:rsid w:val="006942D9"/>
    <w:rsid w:val="006A67BA"/>
    <w:rsid w:val="006B0820"/>
    <w:rsid w:val="006B1A54"/>
    <w:rsid w:val="006E0566"/>
    <w:rsid w:val="006E7ED9"/>
    <w:rsid w:val="00700DB0"/>
    <w:rsid w:val="0073050A"/>
    <w:rsid w:val="00733D53"/>
    <w:rsid w:val="00753962"/>
    <w:rsid w:val="00762489"/>
    <w:rsid w:val="007629F8"/>
    <w:rsid w:val="00762B5D"/>
    <w:rsid w:val="00772A72"/>
    <w:rsid w:val="007736D0"/>
    <w:rsid w:val="007827A7"/>
    <w:rsid w:val="00783E86"/>
    <w:rsid w:val="00787AB8"/>
    <w:rsid w:val="007A22BA"/>
    <w:rsid w:val="007B0C4D"/>
    <w:rsid w:val="007B4AAF"/>
    <w:rsid w:val="007D1079"/>
    <w:rsid w:val="00810E64"/>
    <w:rsid w:val="0081406C"/>
    <w:rsid w:val="00817201"/>
    <w:rsid w:val="00832C00"/>
    <w:rsid w:val="00867F44"/>
    <w:rsid w:val="0088076B"/>
    <w:rsid w:val="008A1154"/>
    <w:rsid w:val="008A3C6F"/>
    <w:rsid w:val="008B1C1D"/>
    <w:rsid w:val="008B5AD7"/>
    <w:rsid w:val="008D6336"/>
    <w:rsid w:val="008F2398"/>
    <w:rsid w:val="008F498E"/>
    <w:rsid w:val="009021C2"/>
    <w:rsid w:val="00911D45"/>
    <w:rsid w:val="00913CFF"/>
    <w:rsid w:val="00917859"/>
    <w:rsid w:val="00922D8C"/>
    <w:rsid w:val="009409FE"/>
    <w:rsid w:val="00963FFB"/>
    <w:rsid w:val="00973104"/>
    <w:rsid w:val="00984194"/>
    <w:rsid w:val="00993D03"/>
    <w:rsid w:val="00996DB6"/>
    <w:rsid w:val="009A62C4"/>
    <w:rsid w:val="009B1770"/>
    <w:rsid w:val="009D39D9"/>
    <w:rsid w:val="009D6F86"/>
    <w:rsid w:val="009E5072"/>
    <w:rsid w:val="009E6EFD"/>
    <w:rsid w:val="009E732F"/>
    <w:rsid w:val="00A020E1"/>
    <w:rsid w:val="00A24D18"/>
    <w:rsid w:val="00A37752"/>
    <w:rsid w:val="00A50ADE"/>
    <w:rsid w:val="00A51DC7"/>
    <w:rsid w:val="00A6715C"/>
    <w:rsid w:val="00A67167"/>
    <w:rsid w:val="00A730BC"/>
    <w:rsid w:val="00A73AE3"/>
    <w:rsid w:val="00A811C8"/>
    <w:rsid w:val="00AA1EBD"/>
    <w:rsid w:val="00AC02A2"/>
    <w:rsid w:val="00AC3E47"/>
    <w:rsid w:val="00AF66AA"/>
    <w:rsid w:val="00AF7804"/>
    <w:rsid w:val="00B00D9A"/>
    <w:rsid w:val="00B16BE4"/>
    <w:rsid w:val="00B24388"/>
    <w:rsid w:val="00B3265D"/>
    <w:rsid w:val="00B571BA"/>
    <w:rsid w:val="00B613C7"/>
    <w:rsid w:val="00B669B1"/>
    <w:rsid w:val="00B71422"/>
    <w:rsid w:val="00B82574"/>
    <w:rsid w:val="00B83D24"/>
    <w:rsid w:val="00B96C6C"/>
    <w:rsid w:val="00BA4815"/>
    <w:rsid w:val="00BA5E48"/>
    <w:rsid w:val="00BA708B"/>
    <w:rsid w:val="00BA7B4B"/>
    <w:rsid w:val="00BB4131"/>
    <w:rsid w:val="00BC6FA3"/>
    <w:rsid w:val="00BD08C2"/>
    <w:rsid w:val="00BE0D3F"/>
    <w:rsid w:val="00BE5A65"/>
    <w:rsid w:val="00BF442E"/>
    <w:rsid w:val="00BF7514"/>
    <w:rsid w:val="00BF7A7D"/>
    <w:rsid w:val="00C038DE"/>
    <w:rsid w:val="00C03A0E"/>
    <w:rsid w:val="00C3301D"/>
    <w:rsid w:val="00C34195"/>
    <w:rsid w:val="00C366AF"/>
    <w:rsid w:val="00C41FFA"/>
    <w:rsid w:val="00C51C1D"/>
    <w:rsid w:val="00C6266A"/>
    <w:rsid w:val="00C6659C"/>
    <w:rsid w:val="00C723C0"/>
    <w:rsid w:val="00CA2206"/>
    <w:rsid w:val="00CB6CA1"/>
    <w:rsid w:val="00CC3E2F"/>
    <w:rsid w:val="00CC683F"/>
    <w:rsid w:val="00CE2D49"/>
    <w:rsid w:val="00D02568"/>
    <w:rsid w:val="00D038BA"/>
    <w:rsid w:val="00D04CE8"/>
    <w:rsid w:val="00D20800"/>
    <w:rsid w:val="00D37D9E"/>
    <w:rsid w:val="00D57A3C"/>
    <w:rsid w:val="00D66429"/>
    <w:rsid w:val="00D8517D"/>
    <w:rsid w:val="00DA0DCD"/>
    <w:rsid w:val="00DA74D9"/>
    <w:rsid w:val="00DC0772"/>
    <w:rsid w:val="00DD5A06"/>
    <w:rsid w:val="00DE169C"/>
    <w:rsid w:val="00DF2B24"/>
    <w:rsid w:val="00E12867"/>
    <w:rsid w:val="00E20A2E"/>
    <w:rsid w:val="00E25D97"/>
    <w:rsid w:val="00E314A0"/>
    <w:rsid w:val="00E4475C"/>
    <w:rsid w:val="00E47FEC"/>
    <w:rsid w:val="00E54BFD"/>
    <w:rsid w:val="00E64E00"/>
    <w:rsid w:val="00E667E9"/>
    <w:rsid w:val="00E67FFC"/>
    <w:rsid w:val="00E70927"/>
    <w:rsid w:val="00E728AF"/>
    <w:rsid w:val="00E77641"/>
    <w:rsid w:val="00E84B36"/>
    <w:rsid w:val="00E8515A"/>
    <w:rsid w:val="00E92150"/>
    <w:rsid w:val="00E92381"/>
    <w:rsid w:val="00EA14C1"/>
    <w:rsid w:val="00EC33CF"/>
    <w:rsid w:val="00ED64FC"/>
    <w:rsid w:val="00EF3EE3"/>
    <w:rsid w:val="00EF6F1E"/>
    <w:rsid w:val="00F10597"/>
    <w:rsid w:val="00F17E20"/>
    <w:rsid w:val="00F24A00"/>
    <w:rsid w:val="00F471BF"/>
    <w:rsid w:val="00F532A4"/>
    <w:rsid w:val="00F53CF2"/>
    <w:rsid w:val="00F61368"/>
    <w:rsid w:val="00F61BE5"/>
    <w:rsid w:val="00F73C50"/>
    <w:rsid w:val="00F76F5F"/>
    <w:rsid w:val="00F7757F"/>
    <w:rsid w:val="00F80D9F"/>
    <w:rsid w:val="00F82663"/>
    <w:rsid w:val="00F95696"/>
    <w:rsid w:val="00FA7550"/>
    <w:rsid w:val="00FB2C23"/>
    <w:rsid w:val="00FB4B1B"/>
    <w:rsid w:val="00FC5AE5"/>
    <w:rsid w:val="00FC5FDB"/>
    <w:rsid w:val="00FD755B"/>
    <w:rsid w:val="00FF26E6"/>
    <w:rsid w:val="00FF35D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David"/>
        <w:sz w:val="24"/>
        <w:szCs w:val="24"/>
        <w:lang w:val="en-US" w:eastAsia="en-US" w:bidi="he-IL"/>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5F97"/>
    <w:pPr>
      <w:bidi/>
      <w:spacing w:after="200" w:line="276" w:lineRule="auto"/>
    </w:pPr>
    <w:rPr>
      <w:rFonts w:cstheme="minorBidi"/>
      <w:sz w:val="22"/>
      <w:szCs w:val="22"/>
    </w:rPr>
  </w:style>
  <w:style w:type="paragraph" w:styleId="1">
    <w:name w:val="heading 1"/>
    <w:basedOn w:val="a"/>
    <w:next w:val="a"/>
    <w:link w:val="10"/>
    <w:qFormat/>
    <w:rsid w:val="00495F97"/>
    <w:pPr>
      <w:keepNext/>
      <w:widowControl w:val="0"/>
      <w:spacing w:before="240" w:after="480" w:line="312" w:lineRule="auto"/>
      <w:jc w:val="center"/>
      <w:outlineLvl w:val="0"/>
    </w:pPr>
    <w:rPr>
      <w:rFonts w:ascii="Times New Roman" w:eastAsia="Times New Roman" w:hAnsi="Times New Roman" w:cs="David"/>
      <w:b/>
      <w:bCs/>
      <w:kern w:val="32"/>
      <w:sz w:val="32"/>
      <w:szCs w:val="36"/>
      <w:u w:val="single"/>
      <w:lang w:eastAsia="he-IL"/>
    </w:rPr>
  </w:style>
  <w:style w:type="paragraph" w:styleId="3">
    <w:name w:val="heading 3"/>
    <w:basedOn w:val="a"/>
    <w:next w:val="a"/>
    <w:link w:val="30"/>
    <w:uiPriority w:val="9"/>
    <w:semiHidden/>
    <w:unhideWhenUsed/>
    <w:qFormat/>
    <w:rsid w:val="00495F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495F97"/>
    <w:rPr>
      <w:rFonts w:ascii="Times New Roman" w:eastAsia="Times New Roman" w:hAnsi="Times New Roman"/>
      <w:b/>
      <w:bCs/>
      <w:kern w:val="32"/>
      <w:sz w:val="32"/>
      <w:szCs w:val="36"/>
      <w:u w:val="single"/>
      <w:lang w:eastAsia="he-IL"/>
    </w:rPr>
  </w:style>
  <w:style w:type="character" w:customStyle="1" w:styleId="30">
    <w:name w:val="כותרת 3 תו"/>
    <w:basedOn w:val="a0"/>
    <w:link w:val="3"/>
    <w:uiPriority w:val="9"/>
    <w:semiHidden/>
    <w:rsid w:val="00495F97"/>
    <w:rPr>
      <w:rFonts w:asciiTheme="majorHAnsi" w:eastAsiaTheme="majorEastAsia" w:hAnsiTheme="majorHAnsi" w:cstheme="majorBidi"/>
      <w:b/>
      <w:bCs/>
      <w:color w:val="4F81BD" w:themeColor="accent1"/>
      <w:sz w:val="22"/>
      <w:szCs w:val="22"/>
    </w:rPr>
  </w:style>
  <w:style w:type="paragraph" w:styleId="a3">
    <w:name w:val="header"/>
    <w:basedOn w:val="a"/>
    <w:link w:val="a4"/>
    <w:uiPriority w:val="99"/>
    <w:unhideWhenUsed/>
    <w:rsid w:val="00495F97"/>
    <w:pPr>
      <w:tabs>
        <w:tab w:val="center" w:pos="4153"/>
        <w:tab w:val="right" w:pos="8306"/>
      </w:tabs>
      <w:spacing w:after="0" w:line="240" w:lineRule="auto"/>
    </w:pPr>
  </w:style>
  <w:style w:type="character" w:customStyle="1" w:styleId="a4">
    <w:name w:val="כותרת עליונה תו"/>
    <w:basedOn w:val="a0"/>
    <w:link w:val="a3"/>
    <w:uiPriority w:val="99"/>
    <w:rsid w:val="00495F97"/>
    <w:rPr>
      <w:rFonts w:cstheme="minorBidi"/>
      <w:sz w:val="22"/>
      <w:szCs w:val="22"/>
    </w:rPr>
  </w:style>
  <w:style w:type="paragraph" w:styleId="a5">
    <w:name w:val="List Paragraph"/>
    <w:basedOn w:val="a"/>
    <w:uiPriority w:val="34"/>
    <w:qFormat/>
    <w:rsid w:val="00495F97"/>
    <w:pPr>
      <w:ind w:left="720"/>
      <w:contextualSpacing/>
    </w:pPr>
  </w:style>
  <w:style w:type="paragraph" w:styleId="a6">
    <w:name w:val="Balloon Text"/>
    <w:basedOn w:val="a"/>
    <w:link w:val="a7"/>
    <w:uiPriority w:val="99"/>
    <w:semiHidden/>
    <w:unhideWhenUsed/>
    <w:rsid w:val="00495F97"/>
    <w:pPr>
      <w:spacing w:after="0" w:line="240" w:lineRule="auto"/>
    </w:pPr>
    <w:rPr>
      <w:rFonts w:ascii="Tahoma" w:hAnsi="Tahoma" w:cs="Tahoma"/>
      <w:sz w:val="16"/>
      <w:szCs w:val="16"/>
    </w:rPr>
  </w:style>
  <w:style w:type="character" w:customStyle="1" w:styleId="a7">
    <w:name w:val="טקסט בלונים תו"/>
    <w:basedOn w:val="a0"/>
    <w:link w:val="a6"/>
    <w:uiPriority w:val="99"/>
    <w:semiHidden/>
    <w:rsid w:val="00495F97"/>
    <w:rPr>
      <w:rFonts w:ascii="Tahoma" w:hAnsi="Tahoma" w:cs="Tahoma"/>
      <w:sz w:val="16"/>
      <w:szCs w:val="16"/>
    </w:rPr>
  </w:style>
  <w:style w:type="paragraph" w:styleId="a8">
    <w:name w:val="footer"/>
    <w:basedOn w:val="a"/>
    <w:link w:val="a9"/>
    <w:uiPriority w:val="99"/>
    <w:semiHidden/>
    <w:unhideWhenUsed/>
    <w:rsid w:val="004C2E49"/>
    <w:pPr>
      <w:tabs>
        <w:tab w:val="center" w:pos="4153"/>
        <w:tab w:val="right" w:pos="8306"/>
      </w:tabs>
      <w:spacing w:after="0" w:line="240" w:lineRule="auto"/>
    </w:pPr>
  </w:style>
  <w:style w:type="character" w:customStyle="1" w:styleId="a9">
    <w:name w:val="כותרת תחתונה תו"/>
    <w:basedOn w:val="a0"/>
    <w:link w:val="a8"/>
    <w:uiPriority w:val="99"/>
    <w:semiHidden/>
    <w:rsid w:val="004C2E49"/>
    <w:rPr>
      <w:rFonts w:cstheme="minorBidi"/>
      <w:sz w:val="22"/>
      <w:szCs w:val="22"/>
    </w:rPr>
  </w:style>
  <w:style w:type="paragraph" w:customStyle="1" w:styleId="aa">
    <w:name w:val="כותרת מאמר"/>
    <w:basedOn w:val="a"/>
    <w:uiPriority w:val="99"/>
    <w:rsid w:val="00F10597"/>
    <w:pPr>
      <w:suppressAutoHyphens/>
      <w:autoSpaceDE w:val="0"/>
      <w:autoSpaceDN w:val="0"/>
      <w:adjustRightInd w:val="0"/>
      <w:spacing w:after="170" w:line="340" w:lineRule="atLeast"/>
      <w:jc w:val="center"/>
      <w:textAlignment w:val="center"/>
    </w:pPr>
    <w:rPr>
      <w:rFonts w:ascii="David" w:cs="David"/>
      <w:b/>
      <w:bCs/>
      <w:color w:val="000000"/>
      <w:sz w:val="36"/>
      <w:szCs w:val="3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1459</Words>
  <Characters>7299</Characters>
  <Application>Microsoft Office Word</Application>
  <DocSecurity>0</DocSecurity>
  <Lines>60</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anatr</dc:creator>
  <cp:keywords/>
  <dc:description/>
  <cp:lastModifiedBy>AMD1</cp:lastModifiedBy>
  <cp:revision>2</cp:revision>
  <cp:lastPrinted>2010-10-14T07:28:00Z</cp:lastPrinted>
  <dcterms:created xsi:type="dcterms:W3CDTF">2010-12-12T08:40:00Z</dcterms:created>
  <dcterms:modified xsi:type="dcterms:W3CDTF">2010-12-12T08:40:00Z</dcterms:modified>
</cp:coreProperties>
</file>