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A49" w:rsidRPr="00292A49" w:rsidRDefault="00292A49" w:rsidP="00292A4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292A49">
        <w:rPr>
          <w:rFonts w:ascii="David" w:eastAsiaTheme="minorHAnsi" w:hAnsiTheme="minorHAnsi" w:cs="David" w:hint="cs"/>
          <w:b/>
          <w:bCs/>
          <w:color w:val="000000"/>
          <w:sz w:val="36"/>
          <w:szCs w:val="36"/>
          <w:rtl/>
        </w:rPr>
        <w:t xml:space="preserve">משרד המדע והטכנולוגיה </w:t>
      </w:r>
    </w:p>
    <w:p w:rsidR="00292A49" w:rsidRPr="00292A49" w:rsidRDefault="00292A49" w:rsidP="00292A4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292A49">
        <w:rPr>
          <w:rFonts w:ascii="David" w:eastAsiaTheme="minorHAnsi" w:hAnsiTheme="minorHAnsi" w:cs="David" w:hint="cs"/>
          <w:b/>
          <w:bCs/>
          <w:color w:val="000000"/>
          <w:sz w:val="32"/>
          <w:szCs w:val="32"/>
          <w:rtl/>
        </w:rPr>
        <w:t>השירות הלאומי</w:t>
      </w:r>
    </w:p>
    <w:p w:rsidR="00292A49" w:rsidRPr="00292A49" w:rsidRDefault="00292A49" w:rsidP="00292A49">
      <w:pPr>
        <w:suppressAutoHyphens/>
        <w:autoSpaceDE w:val="0"/>
        <w:autoSpaceDN w:val="0"/>
        <w:adjustRightInd w:val="0"/>
        <w:spacing w:after="170" w:line="260" w:lineRule="atLeast"/>
        <w:jc w:val="both"/>
        <w:textAlignment w:val="center"/>
        <w:rPr>
          <w:rFonts w:ascii="David" w:eastAsiaTheme="minorHAnsi" w:hAnsiTheme="minorHAnsi" w:cs="David"/>
          <w:b/>
          <w:bCs/>
          <w:color w:val="000000"/>
          <w:sz w:val="24"/>
          <w:szCs w:val="24"/>
          <w:rtl/>
        </w:rPr>
      </w:pPr>
      <w:r w:rsidRPr="00292A49">
        <w:rPr>
          <w:rFonts w:ascii="David" w:eastAsiaTheme="minorHAnsi" w:hAnsiTheme="minorHAnsi" w:cs="David" w:hint="cs"/>
          <w:b/>
          <w:bCs/>
          <w:color w:val="000000"/>
          <w:sz w:val="24"/>
          <w:szCs w:val="24"/>
          <w:rtl/>
        </w:rPr>
        <w:t>הגופים המבוקרים: משרד מדע וטכנולוגיה; משרד החינוך; משרד הרווחה; משרד לענייני גמלאים; מוסד לביטוח לאומי; משטרת ישראל; שירות לאומי; שירות בתי הסוהר</w:t>
      </w:r>
    </w:p>
    <w:p w:rsidR="00292A49" w:rsidRPr="00292A49" w:rsidRDefault="00292A49" w:rsidP="00292A49">
      <w:pPr>
        <w:autoSpaceDE w:val="0"/>
        <w:autoSpaceDN w:val="0"/>
        <w:adjustRightInd w:val="0"/>
        <w:spacing w:after="0" w:line="288" w:lineRule="auto"/>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ליקויים 8,9 תוקנו. 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247-8.</w:t>
      </w:r>
    </w:p>
    <w:p w:rsidR="00292A49" w:rsidRPr="00292A49" w:rsidRDefault="00292A49" w:rsidP="00292A49">
      <w:pPr>
        <w:autoSpaceDE w:val="0"/>
        <w:autoSpaceDN w:val="0"/>
        <w:adjustRightInd w:val="0"/>
        <w:spacing w:line="288" w:lineRule="auto"/>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ליקוי מספר 21 תוקן. 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254. </w:t>
      </w:r>
    </w:p>
    <w:p w:rsidR="00292A49" w:rsidRPr="00292A49" w:rsidRDefault="00292A49" w:rsidP="00292A49">
      <w:pPr>
        <w:autoSpaceDE w:val="0"/>
        <w:autoSpaceDN w:val="0"/>
        <w:adjustRightInd w:val="0"/>
        <w:spacing w:line="288" w:lineRule="auto"/>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Cs w:val="20"/>
          <w:rtl/>
        </w:rPr>
        <w:t>1</w:t>
      </w:r>
      <w:r w:rsidRPr="00292A49">
        <w:rPr>
          <w:rFonts w:ascii="Times New Roman" w:eastAsiaTheme="minorHAnsi" w:hAnsi="Times New Roman" w:cs="Times New Roman"/>
          <w:color w:val="243F60"/>
          <w:sz w:val="20"/>
          <w:szCs w:val="20"/>
        </w:rPr>
        <w:t>.</w:t>
      </w:r>
      <w:r w:rsidRPr="00292A49">
        <w:rPr>
          <w:rFonts w:ascii="Times New Roman" w:eastAsiaTheme="minorHAnsi" w:hAnsi="Times New Roman" w:cs="Times New Roman"/>
          <w:color w:val="243F60"/>
          <w:sz w:val="20"/>
          <w:szCs w:val="20"/>
        </w:rPr>
        <w:tab/>
      </w:r>
      <w:r w:rsidRPr="00292A49">
        <w:rPr>
          <w:rFonts w:ascii="David" w:eastAsiaTheme="minorHAnsi" w:cs="David" w:hint="cs"/>
          <w:color w:val="000000"/>
          <w:sz w:val="24"/>
          <w:szCs w:val="24"/>
          <w:rtl/>
        </w:rPr>
        <w:t xml:space="preserve">בפברואר ובאוגוסט 2007 החליטה ממשלת ישראל (החלטות ממשלה 1215 ו-2295) על הקמת מינהלה לשירות אזרחי-לאומי בישראל. תפקידיה העיקריים של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הם התוויית מדיניות, ויסות המשאבים המוקצים לשירות הלאומי </w:t>
      </w:r>
      <w:proofErr w:type="spellStart"/>
      <w:r w:rsidRPr="00292A49">
        <w:rPr>
          <w:rFonts w:ascii="David" w:eastAsiaTheme="minorHAnsi" w:cs="David" w:hint="cs"/>
          <w:color w:val="000000"/>
          <w:sz w:val="24"/>
          <w:szCs w:val="24"/>
          <w:rtl/>
        </w:rPr>
        <w:t>ותעדופם</w:t>
      </w:r>
      <w:proofErr w:type="spellEnd"/>
      <w:r w:rsidRPr="00292A49">
        <w:rPr>
          <w:rFonts w:ascii="David" w:eastAsiaTheme="minorHAnsi" w:cs="David" w:hint="cs"/>
          <w:color w:val="000000"/>
          <w:sz w:val="24"/>
          <w:szCs w:val="24"/>
          <w:rtl/>
        </w:rPr>
        <w:t xml:space="preserve">, ייזום ופיתוח תכניות לשירות לאומי וכן מעקב, פיקוח ובקרה על מסגרותיו. ההפעלה הישירה של המתנדבים צריכה להיעשות על ידי הגופים המוכרים. התברר </w:t>
      </w:r>
      <w:proofErr w:type="spellStart"/>
      <w:r w:rsidRPr="00292A49">
        <w:rPr>
          <w:rFonts w:ascii="David" w:eastAsiaTheme="minorHAnsi" w:cs="David" w:hint="cs"/>
          <w:color w:val="000000"/>
          <w:sz w:val="24"/>
          <w:szCs w:val="24"/>
          <w:rtl/>
        </w:rPr>
        <w:t>שמינהלת</w:t>
      </w:r>
      <w:proofErr w:type="spellEnd"/>
      <w:r w:rsidRPr="00292A49">
        <w:rPr>
          <w:rFonts w:ascii="David" w:eastAsiaTheme="minorHAnsi" w:cs="David" w:hint="cs"/>
          <w:color w:val="000000"/>
          <w:sz w:val="24"/>
          <w:szCs w:val="24"/>
          <w:rtl/>
        </w:rPr>
        <w:t xml:space="preserve"> השירות היא שותף מרכזי לקביעת המדיניות, היא מוציאה לפועל את המדיניות ומפקחת על פעילות הגופים המוכרים; נוסף על כך, היא מממנת ישירות מאות תקני מתנדבי שירות לאומי בפרויקטים שונים. במצב זה היא עלולה להיקלע לניגוד עניינים.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Cs w:val="20"/>
          <w:rtl/>
        </w:rPr>
        <w:t>2</w:t>
      </w:r>
      <w:r w:rsidRPr="00292A49">
        <w:rPr>
          <w:rFonts w:ascii="Times New Roman" w:eastAsiaTheme="minorHAnsi" w:hAnsi="Times New Roman" w:cs="Times New Roman"/>
          <w:color w:val="243F60"/>
          <w:sz w:val="20"/>
          <w:szCs w:val="20"/>
        </w:rPr>
        <w:t>.</w:t>
      </w:r>
      <w:r w:rsidRPr="00292A49">
        <w:rPr>
          <w:rFonts w:ascii="Times New Roman" w:eastAsiaTheme="minorHAnsi" w:hAnsi="Times New Roman" w:cs="Times New Roman"/>
          <w:color w:val="243F60"/>
          <w:sz w:val="20"/>
          <w:szCs w:val="20"/>
        </w:rPr>
        <w:tab/>
      </w:r>
      <w:r w:rsidRPr="00292A49">
        <w:rPr>
          <w:rFonts w:ascii="David" w:eastAsiaTheme="minorHAnsi" w:cs="David" w:hint="cs"/>
          <w:color w:val="000000"/>
          <w:sz w:val="24"/>
          <w:szCs w:val="24"/>
          <w:rtl/>
        </w:rPr>
        <w:t xml:space="preserve">על פי החלטת הממשלה המשרות </w:t>
      </w:r>
      <w:proofErr w:type="spellStart"/>
      <w:r w:rsidRPr="00292A49">
        <w:rPr>
          <w:rFonts w:ascii="David" w:eastAsiaTheme="minorHAnsi" w:cs="David" w:hint="cs"/>
          <w:color w:val="000000"/>
          <w:sz w:val="24"/>
          <w:szCs w:val="24"/>
          <w:rtl/>
        </w:rPr>
        <w:t>במינהלת</w:t>
      </w:r>
      <w:proofErr w:type="spellEnd"/>
      <w:r w:rsidRPr="00292A49">
        <w:rPr>
          <w:rFonts w:ascii="David" w:eastAsiaTheme="minorHAnsi" w:cs="David" w:hint="cs"/>
          <w:color w:val="000000"/>
          <w:sz w:val="24"/>
          <w:szCs w:val="24"/>
          <w:rtl/>
        </w:rPr>
        <w:t xml:space="preserve"> השירות יאוישו תוך איגום כל המשאבים הממשלתיים "הנוכחיים" הכוללים תקנים ממשרד הרווחה, תקנים של צוות ההקמה ותקנים חדשים נוספים. צוות ההקמה של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בשיתוף נציגי משרד ראש הממשלה, נציבות שירות המדינה ומשרד האוצר קבעו את המבנה הארגוני של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שכלל 12 משרות מקצועיות. בנובמבר 2009 עדיין לא אוישו ארבע מהן; נוסף על כך, ראש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סיים את תפקידו באוגוסט 2009, ועד סוף ינואר 2010 עדיין לא נבחר אחר במקומו. ללא מנהל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השירות ובהעדר איוש נאות של עובדים נפגעת יכולתה למלא כראוי את התפקידים שנקבעו לה בהחלטת הממשלה. </w:t>
      </w: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המדע והטכנולוגיה</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לאחר שועדת איתור בחנה 50 מועמדים, נבחר ביום 6.6.2010 ראש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חדש. למרות שנשלחו מכתבים ופניות רבות למשרד הרווחה על-ידי ממלא מקום ראש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והן על-ידי מנכ"ל משרד ראש הממשלה, משרד הרווחה התמיד בסירובו לשחרר את התקן עליו סוכם שיועבר לטובת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ובשל כך משרד האוצר אינו מוכן להקצות שני תקנים נוספים, דבר המשליך על העבודה השוטפת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לאחרונה המשרד הגיע לסיכום עם מנכ"ל משרד הרווחה שעם אישור תקציב 2011 יועבר התקן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ובהתאם לכך האוצר יעביר את שני התקנים הנוספים.</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243-244.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לפי המצב החוקי הקיים, הגדרת מתנדב בשירות הלאומי מצויה בחוק הביטוח הלאומי [נוסח משולב], </w:t>
      </w:r>
      <w:proofErr w:type="spellStart"/>
      <w:r w:rsidRPr="00292A49">
        <w:rPr>
          <w:rFonts w:ascii="David" w:eastAsiaTheme="minorHAnsi" w:cs="David" w:hint="cs"/>
          <w:color w:val="000000"/>
          <w:sz w:val="24"/>
          <w:szCs w:val="24"/>
          <w:rtl/>
        </w:rPr>
        <w:t>התשנ"ה</w:t>
      </w:r>
      <w:proofErr w:type="spellEnd"/>
      <w:r w:rsidRPr="00292A49">
        <w:rPr>
          <w:rFonts w:ascii="David" w:eastAsiaTheme="minorHAnsi" w:cs="David" w:hint="cs"/>
          <w:color w:val="000000"/>
          <w:sz w:val="24"/>
          <w:szCs w:val="24"/>
          <w:rtl/>
        </w:rPr>
        <w:t xml:space="preserve">-1995, ורוב הכללים המסדירים את מערך השירות הלאומי מצויים בתקנות הביטוח הלאומי (בנות בשירות לאומי בהתנדבות), </w:t>
      </w:r>
      <w:proofErr w:type="spellStart"/>
      <w:r w:rsidRPr="00292A49">
        <w:rPr>
          <w:rFonts w:ascii="David" w:eastAsiaTheme="minorHAnsi" w:cs="David" w:hint="cs"/>
          <w:color w:val="000000"/>
          <w:sz w:val="24"/>
          <w:szCs w:val="24"/>
          <w:rtl/>
        </w:rPr>
        <w:t>התשס"ב</w:t>
      </w:r>
      <w:proofErr w:type="spellEnd"/>
      <w:r w:rsidRPr="00292A49">
        <w:rPr>
          <w:rFonts w:ascii="David" w:eastAsiaTheme="minorHAnsi" w:cs="David" w:hint="cs"/>
          <w:color w:val="000000"/>
          <w:sz w:val="24"/>
          <w:szCs w:val="24"/>
          <w:rtl/>
        </w:rPr>
        <w:t xml:space="preserve">-2002 (להלן - התקנות) שהותקנו מכוחו, למרות שהקשר הענייני בין מערך השירות הלאומי לבין חוק הביטוח הלאומי משני, ולמרות שהאחריות על נושא השירות הלאומי אינה של המוסד לביטוח </w:t>
      </w:r>
      <w:r w:rsidRPr="00292A49">
        <w:rPr>
          <w:rFonts w:ascii="David" w:eastAsiaTheme="minorHAnsi" w:cs="David" w:hint="cs"/>
          <w:color w:val="000000"/>
          <w:sz w:val="24"/>
          <w:szCs w:val="24"/>
          <w:rtl/>
        </w:rPr>
        <w:lastRenderedPageBreak/>
        <w:t xml:space="preserve">לאומי. במהלך חמש השנים האחרונות התעורר הצורך בייזום חקיקה ראשית שתסדיר באופן מקיף את כל העניינים הנוגעים לשירות הלאומי. למרות זאת רק בדצמבר 2008 הפיצה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לגורמים הקשורים לשירות הלאומי (משרדי ממשלה וגופים מוכרים) תזכיר חוק השירות הלאומי, </w:t>
      </w:r>
      <w:proofErr w:type="spellStart"/>
      <w:r w:rsidRPr="00292A49">
        <w:rPr>
          <w:rFonts w:ascii="David" w:eastAsiaTheme="minorHAnsi" w:cs="David" w:hint="cs"/>
          <w:color w:val="000000"/>
          <w:sz w:val="24"/>
          <w:szCs w:val="24"/>
          <w:rtl/>
        </w:rPr>
        <w:t>התשס"ט</w:t>
      </w:r>
      <w:proofErr w:type="spellEnd"/>
      <w:r w:rsidRPr="00292A49">
        <w:rPr>
          <w:rFonts w:ascii="David" w:eastAsiaTheme="minorHAnsi" w:cs="David" w:hint="cs"/>
          <w:color w:val="000000"/>
          <w:sz w:val="24"/>
          <w:szCs w:val="24"/>
          <w:rtl/>
        </w:rPr>
        <w:t xml:space="preserve">-2008. בעקבות העברת תחום השירות הלאומי לאחריות שר המדע, הרב </w:t>
      </w:r>
      <w:proofErr w:type="spellStart"/>
      <w:r w:rsidRPr="00292A49">
        <w:rPr>
          <w:rFonts w:ascii="David" w:eastAsiaTheme="minorHAnsi" w:cs="David" w:hint="cs"/>
          <w:color w:val="000000"/>
          <w:sz w:val="24"/>
          <w:szCs w:val="24"/>
          <w:rtl/>
        </w:rPr>
        <w:t>פרופ</w:t>
      </w:r>
      <w:proofErr w:type="spellEnd"/>
      <w:r w:rsidRPr="00292A49">
        <w:rPr>
          <w:rFonts w:ascii="David" w:eastAsiaTheme="minorHAnsi" w:cs="David" w:hint="cs"/>
          <w:color w:val="000000"/>
          <w:sz w:val="24"/>
          <w:szCs w:val="24"/>
          <w:rtl/>
        </w:rPr>
        <w:t xml:space="preserve">' דניאל </w:t>
      </w:r>
      <w:proofErr w:type="spellStart"/>
      <w:r w:rsidRPr="00292A49">
        <w:rPr>
          <w:rFonts w:ascii="David" w:eastAsiaTheme="minorHAnsi" w:cs="David" w:hint="cs"/>
          <w:color w:val="000000"/>
          <w:sz w:val="24"/>
          <w:szCs w:val="24"/>
          <w:rtl/>
        </w:rPr>
        <w:t>הרשקוביץ</w:t>
      </w:r>
      <w:proofErr w:type="spellEnd"/>
      <w:r w:rsidRPr="00292A49">
        <w:rPr>
          <w:rFonts w:ascii="David" w:eastAsiaTheme="minorHAnsi" w:cs="David" w:hint="cs"/>
          <w:color w:val="000000"/>
          <w:sz w:val="24"/>
          <w:szCs w:val="24"/>
          <w:rtl/>
        </w:rPr>
        <w:t xml:space="preserve">, השהה השר את המשך העבודה על התזכיר האמור, כדי שיוכל ללמוד את הנושא ולגבש את עמדתו. בפברואר 2010 העבירה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את נוסח החוק למשרד המשפטים לקראת הגשתו לוועדת השרים לענייני חקיקה.</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עם מינויו של מנכ"ל חדש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השירות האזרחי ביקש המנכ"ל לקדם את תהליך החקיקה ולצורך כך הנחה את היועץ המשפטי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לטפל בעניין באופן מרוכז ודחוף, לשם כך דחה טיפול במשימות אחרות. בתאריך 31 לאוגוסט 2010 הופץ תזכיר חוק חדש להערות והתייחסויות הגורמים השונים. המועד להעברת התייחסויות המשרדים והגופים השונים הסתיים. בימים אלה עובד היועץ המשפטי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עם משרד המשפטים וצוות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כדי לסיים את התגובה לכל ההתייחסויות שהגיעו לתזכיר החוק. ביום 17 באוקטובר 2010 התכנסה המועצה הציבורית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לדיון בהתייחסות המועצה לתזכיר החוק. המשרד מקווה לסיים את העבודה על ההתייחסויות בהקדם, לגבש טיוטת חוק סופית ולהביאה לועדת שרים לענייני חקיקה במהלך חודש אוקטובר 2010.</w:t>
      </w:r>
    </w:p>
    <w:p w:rsidR="00292A49" w:rsidRPr="00292A49" w:rsidRDefault="00292A49" w:rsidP="00292A49">
      <w:pPr>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245.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227"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4.</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ועדת עברי המליצה, בין השאר, על הרחבת מסגרות השירות על מנת שיכללו גם צעירים מקבוצות אוכלוסיה כמו פטורי גיוס וצעירים מהמגזר הערבי שלא נקראים בדרך כלל לשירות חובה בצה"ל. בעקבות המלצות ועדת עברי החליטה הממשלה בספטמבר 2008 להקים צוות אשר ימליץ בתוך שלושה חודשים על המתכונת והקצב של הגידול במספר המתנדבים ועל מספר התקנים שיופעלו על ידי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האזרחי-לאומי בשנים 2011-2009. עוד החליטה הממשלה להקים צוות בין-משרדי אשר ימליץ בתוך שלושה חודשים על הדרכים לשמירה על היקף השירות האזרחי-לאומי במשרדי הממשלה השונים. אף כי הצוותים החלו בעבודתם, מאז העברת האחריות על תחום השירות הלאומי למשרד המדע והטכנולוגיה הופסקה עבודתם.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4.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בחודשים האחרונים הוקם צוות על-ידי הממשלה שמטרתו, בן היתר, לקבוע יעדים להיקף המתנדבים במגזר החרדי ובמגזר הערבי. בראש הצוות יעמדו מנכ"ל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והממונה על אגף התקציבים באוצר, לאור פעילות הצוות הנ"ל ראש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יבחן את נחיצות הצוות שהוקם בעבר ויפעל בהתאם. הצוות הבין-משרדי יתכנס שוב בנובמבר 2010.</w:t>
      </w:r>
    </w:p>
    <w:p w:rsidR="00292A49" w:rsidRPr="00292A49" w:rsidRDefault="00292A49" w:rsidP="00292A49">
      <w:pPr>
        <w:suppressAutoHyphens/>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245.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color w:val="000000"/>
          <w:sz w:val="24"/>
          <w:szCs w:val="24"/>
          <w:rtl/>
        </w:rPr>
        <w:t>5.</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מתפקידה של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לפקח על מסגרות השירות הלאומי ומשרתיו ולקיים עליהם בקרה נאותה. למרות זאת מאז הקמתה אין בה גורם העוקב אחר דיווחי הגופים המוכרים ביחס למתנדבים שהם משימים, אחר ההסכמים שבין הגופים המוכרים למתנדבים ואחר ההסכמים שבין הגופים המוכרים לגופים המפעילים ומוודא שהוראותיהם תואמות את הוראות הנוהל והתקנות. לדעת משרד מבקר המדינה, נוכח הסוגיות הרבות הדורשות </w:t>
      </w:r>
      <w:r w:rsidRPr="00292A49">
        <w:rPr>
          <w:rFonts w:ascii="David" w:eastAsiaTheme="minorHAnsi" w:cs="David" w:hint="cs"/>
          <w:color w:val="000000"/>
          <w:sz w:val="24"/>
          <w:szCs w:val="24"/>
          <w:rtl/>
        </w:rPr>
        <w:lastRenderedPageBreak/>
        <w:t xml:space="preserve">הסדרה,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לפעול לעדכון הנוהל, להרחבתו ולהתאמתו לצרכים המשתנים בחלוף יותר משבע שנים מפרסומו.</w:t>
      </w:r>
      <w:r w:rsidRPr="00292A49">
        <w:rPr>
          <w:rFonts w:ascii="David" w:eastAsiaTheme="minorHAnsi" w:cs="David" w:hint="cs"/>
          <w:b/>
          <w:bCs/>
          <w:color w:val="000000"/>
          <w:sz w:val="24"/>
          <w:szCs w:val="24"/>
          <w:rtl/>
        </w:rPr>
        <w:t xml:space="preserve">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5.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תצא במהלך חודש אוקטובר 2010 למכרז בקרה ודיווח אשר יאפשר בדיקה של כלל הגופים המפעילים והמוכרים, תהליך זה ימשך עד מחצית שנת 2011. במכרז קיים הליך בקרה ודיווח על כלל הגופים. בנוסף, האוצר אישר מפקח נוסף על התחום החרדי. הפעילויות הנ"ל יאפשרו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לבצע בקרה ופיקוח ברמה סבירה. כמו כן, עם איושן של 4 משרות מפקחים עובדי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קבועים, יתאפשר פיקוח הדוק יותר על הגופים המוכרים וכן על ביצוע הנחיות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מנסחת הסכם אחיד בין הגוף המוכר לגוף המפעיל ולמתנדב, צפי לסיום דצמבר 2010. כיום במסגרת הפעילות של שני המפקחים העובדים </w:t>
      </w:r>
      <w:proofErr w:type="spellStart"/>
      <w:r w:rsidRPr="00292A49">
        <w:rPr>
          <w:rFonts w:ascii="David" w:eastAsiaTheme="minorHAnsi" w:cs="David" w:hint="cs"/>
          <w:color w:val="000000"/>
          <w:sz w:val="24"/>
          <w:szCs w:val="24"/>
          <w:rtl/>
        </w:rPr>
        <w:t>במינהלת</w:t>
      </w:r>
      <w:proofErr w:type="spellEnd"/>
      <w:r w:rsidRPr="00292A49">
        <w:rPr>
          <w:rFonts w:ascii="David" w:eastAsiaTheme="minorHAnsi" w:cs="David" w:hint="cs"/>
          <w:color w:val="000000"/>
          <w:sz w:val="24"/>
          <w:szCs w:val="24"/>
          <w:rtl/>
        </w:rPr>
        <w:t xml:space="preserve"> כולל הבקרה הציבורית הבאה לידי ביטוי בפניות הציבור, המשרד מוודא שאכן מתקיימות התקנות וההוראות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כאשר </w:t>
      </w:r>
      <w:proofErr w:type="spellStart"/>
      <w:r w:rsidRPr="00292A49">
        <w:rPr>
          <w:rFonts w:ascii="David" w:eastAsiaTheme="minorHAnsi" w:cs="David" w:hint="cs"/>
          <w:color w:val="000000"/>
          <w:sz w:val="24"/>
          <w:szCs w:val="24"/>
          <w:rtl/>
        </w:rPr>
        <w:t>תאויישנה</w:t>
      </w:r>
      <w:proofErr w:type="spellEnd"/>
      <w:r w:rsidRPr="00292A49">
        <w:rPr>
          <w:rFonts w:ascii="David" w:eastAsiaTheme="minorHAnsi" w:cs="David" w:hint="cs"/>
          <w:color w:val="000000"/>
          <w:sz w:val="24"/>
          <w:szCs w:val="24"/>
          <w:rtl/>
        </w:rPr>
        <w:t xml:space="preserve"> 4 משרות הפיקוח ותחילת פעילותו של הגוף שיזכה במכרז לבקרה ודיווח, תוכל להתבצע אכיפה מליאה.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246. </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6.</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לפי ההגדרות שבחוק הביטוח הלאומי, מי שעבר את גיל 22 לא יוכר כמתנדב בשירות לאומי ולא יזכה בהטבות לפי חוק הביטוח הלאומי ולפי חוק חיילים משוחררים. כתוצאה מכך מתנדב המתחיל את שירותו מעל גיל 21 אינו זכאי להטבות. הן משרד הרווחה (בתקופה שבה היה הנושא באחריותו) והן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לא הצליחו לעגן בחקיקה את העלאת הגיל המזכה בהטבות ולאפשר לצעירים להתנדב לשירות לאומי לאחר שמלאו להם 21 מבלי לוותר על ההטבות.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6.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מעקב לליקוי מספר 3. </w:t>
      </w:r>
    </w:p>
    <w:p w:rsidR="00292A49" w:rsidRPr="00292A49" w:rsidRDefault="00292A49" w:rsidP="00292A49">
      <w:pPr>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247.</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7.</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משרדי הממשלה וגופים מפעילים אחרים משלמים לגופים המוכרים עבור השמת המתנדבים לפי תעריף למתנדב שנקבע על ידי ועדה בין-משרדית ומתעדכן אחת לשנה. תעריף זה אמור לכסות הן את דמי הכלכלה שמשולמים למתנדבים והן הוצאות אחרות הקשורות בהפעלת המתנדבים (כמו תשלום עבור דיורם, ביטוחם וליווי המתנדבים). משרד הרווחה קבע בשנת 2004 את מפרט השירותים שעל הגופים המוכרים לספק למתנדבי השירות הלאומי. התברר שהתעריף אינו משקף נכונה את ההוצאות הריאליות של הגופים המוכרים בגין המתנדבים. מקצת מרכיביו מתומחרים בחסר, ואחרים מתומחרים ביתר. בנובמבר 2008 החליטה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להתחיל בבניית תעריף חדש, אך עד מועד סיום הביקורת, ספטמבר 2009, הוא טרם נקבע.</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7.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מינתה רואה חשבון לבדיקת התעריף, רואה החשבון נמצא בשלבי סיום של עבודתו ויגיש דוח ביניים בנובמבר 2010.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תדון בתעריף החדש ובהתאם תעדכן אותו ותפרסמו.</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247. </w:t>
      </w:r>
    </w:p>
    <w:p w:rsidR="00292A49" w:rsidRDefault="00292A49" w:rsidP="00292A49">
      <w:pPr>
        <w:autoSpaceDE w:val="0"/>
        <w:autoSpaceDN w:val="0"/>
        <w:adjustRightInd w:val="0"/>
        <w:spacing w:after="170" w:line="288" w:lineRule="auto"/>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9.</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לפי התקנות, התנאי להכרה בגוף מוכר הוא ש"הוא אינו פועל בעצמו גם כמפעיל", זאת - בשל החשש מניגוד עניינים בין הגוף המוכר שעיקר תפקידו הוא לדאוג למתנדבים לבין הגוף המפעיל שהאינטרס העיקרי שלו הוא ביצוע השירות. בניגוד לתקנות עיריית ירושלים היא גוף מוכר וגוף מפעיל כאחד.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170" w:line="288" w:lineRule="auto"/>
        <w:ind w:left="1134" w:hanging="1134"/>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9. </w:t>
      </w:r>
      <w:r w:rsidRPr="00292A49">
        <w:rPr>
          <w:rFonts w:ascii="David" w:eastAsiaTheme="minorHAnsi" w:cs="David"/>
          <w:color w:val="000000"/>
          <w:sz w:val="24"/>
          <w:szCs w:val="24"/>
          <w:rtl/>
        </w:rPr>
        <w:tab/>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248.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במספר תחומים נמצאו הבדלים ברמת השירות שמעניקים גופים מוכרים למתנדבים כך שיש מתנדבים המקבלים שירות ברמה נמוכה יותר. כך למשל, יש הגובים דמי הרשמה - ואחרים לא, יש המפעילים מערך סיוע למתנדבים נזקקים - ואחרים לא, וגם רמת הרכזים בגופים המוכרים שונה מגוף לגוף. לדעת משרד מבקר המדינה, הואיל ומדובר בשירות לאומי, תנאיו צריכים להיות שווים ואחידים לכל המתנדבים.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לפעול להכנת נהלים אחידים שינחו את הגופים המוכרים בתחומים שטרם הוסדרו עד כה ובהם גביית דמי ההרשמה, קביעת דרישות סף אחידות ממועמדים לשרת כרכזים, השוואת תנאי שירות.</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10.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תסיים את כתיבת הנהלים לאחר סיום חקיקת החוק והתקנות, במסגרת הנהלים תהיה התייחסות לכל הנקודות שלעיל.</w:t>
      </w:r>
    </w:p>
    <w:p w:rsidR="00292A49" w:rsidRPr="00292A49" w:rsidRDefault="00292A49" w:rsidP="00292A49">
      <w:pPr>
        <w:suppressAutoHyphens/>
        <w:autoSpaceDE w:val="0"/>
        <w:autoSpaceDN w:val="0"/>
        <w:adjustRightInd w:val="0"/>
        <w:spacing w:after="113"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249.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color w:val="000000"/>
          <w:sz w:val="24"/>
          <w:szCs w:val="24"/>
          <w:rtl/>
        </w:rPr>
        <w:t>11.</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לאסוף את הנתונים האמורים כדי שהחלטות מדיניות ביחס לתקנים הקנויים יתבססו על נתונים מלאים ומהימנים. לאחר שבידי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יהיו נתונים מדויקים בעניין עלות קניית שירותי ההתנדבות עליה להביא אותם לידיעת הממשלה כדי שזו תוכל לבחון אותם מבחינה כלכלית ולהחליט אם ברצונה לחייב את הגופים המפעילים לשאת בהוצאות אלה או בחלקן - בהתאם ליכולותיהם הכלכליות - ולעדכן את התעריפים שמשלמים הגופים המפעילים עבור שירותי המתנדבים או שברצונה להמשיך ולשאת בנטל הכספי הנובע מהתקנים הקנויים.</w:t>
      </w:r>
      <w:r w:rsidRPr="00292A49">
        <w:rPr>
          <w:rFonts w:ascii="David" w:eastAsiaTheme="minorHAnsi" w:cs="David" w:hint="cs"/>
          <w:b/>
          <w:bCs/>
          <w:color w:val="000000"/>
          <w:sz w:val="24"/>
          <w:szCs w:val="24"/>
          <w:rtl/>
        </w:rPr>
        <w:t xml:space="preserve"> </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11.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פותחה תוכנה חדשה והחל מיוני 2010 הוחל בהרצתה במקביל לתוכנה הישנה. הרצת התוכנה החדשה תתבצע עד נובמבר 2010, ולאחר מכן תיכנס לעבודה שוטפת.</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249.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color w:val="000000"/>
          <w:sz w:val="24"/>
          <w:szCs w:val="24"/>
          <w:rtl/>
        </w:rPr>
        <w:t>12.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בהיות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הרגולטור של תחום השירות הלאומי, עליה להקפיד לוודא כי הגוף המפעיל, אופי התפקיד וסביבת העבודה שהוא מייעד למתנדבי השירות הלאומי מצדיקים את השמתם בו, לפני שתאשר התקשרויות עם גופים מפעילים בהתאם לסמכות שניתנה לה בתקנה 5 לתקנות. בתוקף סמכויותיה השלטוניות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לבצע מעקב אחר ההסכמים כדי לוודא שהם כוללים את כל ההוראות הנדרשות לשם שמירה על זכויות המתנדבים ולעמידה בדרישות התקנות.</w:t>
      </w:r>
      <w:r w:rsidRPr="00292A49">
        <w:rPr>
          <w:rFonts w:ascii="David" w:eastAsiaTheme="minorHAnsi" w:cs="David" w:hint="cs"/>
          <w:b/>
          <w:bCs/>
          <w:color w:val="000000"/>
          <w:sz w:val="24"/>
          <w:szCs w:val="24"/>
          <w:rtl/>
        </w:rPr>
        <w:t xml:space="preserve">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12.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ניגוד העניינים - במסגרת תזכיר החוק הוכנס סעיף שעניינו ניגוד עניינים של המתנדבים בגופים מפעילים.</w:t>
      </w:r>
    </w:p>
    <w:p w:rsidR="00292A49" w:rsidRPr="00292A49" w:rsidRDefault="00292A49" w:rsidP="00292A49">
      <w:pPr>
        <w:suppressAutoHyphens/>
        <w:autoSpaceDE w:val="0"/>
        <w:autoSpaceDN w:val="0"/>
        <w:adjustRightInd w:val="0"/>
        <w:spacing w:after="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סוגיית ניגודי העניינים בגופים המוכרים תידון בהמשך ותתקבלנה החלטות. סיוע למעקב בנושא אישור הגופים המפעילים יינתן על-ידי התוכנה החדשה שתופעל בקרוב. כמו כן, הזוכה במכרז בקרה ודיווח, אשר תוצאותיו יתקבלו בקרוב, ייתן מענה לבקרה לכלל מערך ההסכמים.</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249.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13.</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על משרד החינוך לפעול יחד עם משרד המשפטים כדי ליישם את ההסכמות שאליהן הגיע משרד החינוך בעקבות העתירה ולהתייחס למימון של מתנדבי השירות הלאומי במוסדות חוץ-ממשלתיים כאל הטבה שוות כסף.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ועל משרד המשפטים לפעול כדי להחיל הוראות דומות גם על יתר משרדי הממשלה המממנים מתנדבי שירות לאומי במוסדות חוץ-ממשלתיים.</w:t>
      </w:r>
    </w:p>
    <w:p w:rsidR="00292A49" w:rsidRPr="00292A49" w:rsidRDefault="00292A49" w:rsidP="00292A49">
      <w:pPr>
        <w:autoSpaceDE w:val="0"/>
        <w:autoSpaceDN w:val="0"/>
        <w:adjustRightInd w:val="0"/>
        <w:spacing w:after="170" w:line="288" w:lineRule="auto"/>
        <w:ind w:left="509"/>
        <w:jc w:val="both"/>
        <w:textAlignment w:val="center"/>
        <w:rPr>
          <w:rFonts w:ascii="David" w:eastAsiaTheme="minorHAnsi" w:cs="David"/>
          <w:b/>
          <w:bCs/>
          <w:color w:val="000000"/>
          <w:sz w:val="24"/>
          <w:szCs w:val="24"/>
          <w:rtl/>
        </w:rPr>
      </w:pPr>
      <w:r w:rsidRPr="00292A49">
        <w:rPr>
          <w:rFonts w:ascii="David" w:eastAsiaTheme="minorHAnsi" w:cs="David" w:hint="cs"/>
          <w:color w:val="000000"/>
          <w:sz w:val="24"/>
          <w:szCs w:val="24"/>
          <w:rtl/>
        </w:rPr>
        <w:t>אף שהעתירה עסקה בתקנים שמממן משרד החינוך לגופים חוץ-ממשלתיים הנתמכים על ידי המדינה, הרי שהיות שגם בתקנים הקנויים מגולמת הטבה למפעיל, יש לבחון החלת הוראות דומות גם על גופים מפעילים הרוכשים תקנים קנויים מתקציבם ואינם מקבלים אותם במימונם של משרדי ממשלה.</w:t>
      </w:r>
      <w:r w:rsidRPr="00292A49">
        <w:rPr>
          <w:rFonts w:ascii="David" w:eastAsiaTheme="minorHAnsi" w:cs="David" w:hint="cs"/>
          <w:b/>
          <w:bCs/>
          <w:color w:val="000000"/>
          <w:sz w:val="24"/>
          <w:szCs w:val="24"/>
          <w:rtl/>
        </w:rPr>
        <w:t xml:space="preserve">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13.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נכתבה חוברת נהלים "גופים מפעילים". החוברת תאושר עד ספטמבר 2010. חוברת נהלים "שירות לאומי ואזרחי" נמצאת בהליך רענון/כתיבה. צפי לסיום דצמבר 2010. בשל מגבלות </w:t>
      </w:r>
      <w:proofErr w:type="spellStart"/>
      <w:r w:rsidRPr="00292A49">
        <w:rPr>
          <w:rFonts w:ascii="David" w:eastAsiaTheme="minorHAnsi" w:cs="David" w:hint="cs"/>
          <w:color w:val="000000"/>
          <w:sz w:val="24"/>
          <w:szCs w:val="24"/>
          <w:rtl/>
        </w:rPr>
        <w:t>כח</w:t>
      </w:r>
      <w:proofErr w:type="spellEnd"/>
      <w:r w:rsidRPr="00292A49">
        <w:rPr>
          <w:rFonts w:ascii="David" w:eastAsiaTheme="minorHAnsi" w:cs="David" w:hint="cs"/>
          <w:color w:val="000000"/>
          <w:sz w:val="24"/>
          <w:szCs w:val="24"/>
          <w:rtl/>
        </w:rPr>
        <w:t xml:space="preserve"> אדם טרם הוחל הטיפול בנושא.</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250. </w:t>
      </w: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המשפטים</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13.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כתיבת הנהלים אינה נוגעת ישירות למשרד, אולם במסגרת הכנת חקיקה בנושא השירות הלאומי, עליה שוקדים כעת, ניתנת הדעת גם לעניין זה. הופץ תזכיר, וכעת נערכת טיוטת החוק מחדש, ובמסגרתה, יקבעו הוראות בנושא. הוחלט ליישם את ההסכמות באופן הדרגתי, על מבחני תמיכה חדשים הרלוונטיים לעניין. הוראות מתאימות שולבו במבחני תמיכה שהותקנו (התנדבות י"א-י"ב, העצמה רוחנית) וכן בטיוטות של מבחנים שבהכנה (מרכזי הדרכה). בהנחיית היועץ המשפטי לממשלה מס' 1.2005 ניתנו הנחיות לשיקול דעת בעניין, והמשרד פועל לפיהן. כחלוף שנה וחצי ממועד העתירה, ובהתאם לאמור בסיכום, המשרד בוחן את הנושא.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14.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גם במצב של קיטוב עמדות יש די מטרות ציבוריות שעליהן יש הסכמה לאומית רחבה. השירות הלאומי הוא חלופה לשירות צבאי, המתנדבים זוכים לזכויות כשל חיילים משוחררים, ועל כן על שר המדע,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ועל משרד המשפטים לפעול בהקדם להקמת מנגנון לאישור גופים מפעילים שיעבוד על פי קריטריונים ברורים, עניינים, סבירים ושוויוניים. מנגנון כזה יבטיח שעמותה המפעילה מתנדבי שירות לאומי, תהיה עמותה שפעילותה ומטרותיה הן במסגרת הקונצנזוס הלאומי. </w:t>
      </w:r>
    </w:p>
    <w:p w:rsidR="00292A49" w:rsidRDefault="00292A49" w:rsidP="00292A49">
      <w:pPr>
        <w:autoSpaceDE w:val="0"/>
        <w:autoSpaceDN w:val="0"/>
        <w:adjustRightInd w:val="0"/>
        <w:spacing w:after="0" w:line="288" w:lineRule="auto"/>
        <w:ind w:left="509" w:hanging="509"/>
        <w:jc w:val="both"/>
        <w:textAlignment w:val="center"/>
        <w:rPr>
          <w:rFonts w:ascii="David" w:eastAsiaTheme="minorHAnsi" w:cs="David" w:hint="cs"/>
          <w:b/>
          <w:bCs/>
          <w:color w:val="000000"/>
          <w:sz w:val="24"/>
          <w:szCs w:val="24"/>
          <w:rtl/>
        </w:rPr>
      </w:pPr>
    </w:p>
    <w:p w:rsidR="00292A49" w:rsidRDefault="00292A49" w:rsidP="00292A49">
      <w:pPr>
        <w:autoSpaceDE w:val="0"/>
        <w:autoSpaceDN w:val="0"/>
        <w:adjustRightInd w:val="0"/>
        <w:spacing w:after="0" w:line="288" w:lineRule="auto"/>
        <w:ind w:left="509" w:hanging="509"/>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מעקב</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המדע והטכנולוגיה</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14.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ההתקדמות נעשית במקביל להשלמת החקיקה והתקנות והשלמתה תוסדר בסיום הליכי החקיקה של החוק החדש. כמו כן בינואר 2010 הוקמה ועדה </w:t>
      </w:r>
      <w:proofErr w:type="spellStart"/>
      <w:r w:rsidRPr="00292A49">
        <w:rPr>
          <w:rFonts w:ascii="David" w:eastAsiaTheme="minorHAnsi" w:cs="David" w:hint="cs"/>
          <w:color w:val="000000"/>
          <w:sz w:val="24"/>
          <w:szCs w:val="24"/>
          <w:rtl/>
        </w:rPr>
        <w:t>במינהלת</w:t>
      </w:r>
      <w:proofErr w:type="spellEnd"/>
      <w:r w:rsidRPr="00292A49">
        <w:rPr>
          <w:rFonts w:ascii="David" w:eastAsiaTheme="minorHAnsi" w:cs="David" w:hint="cs"/>
          <w:color w:val="000000"/>
          <w:sz w:val="24"/>
          <w:szCs w:val="24"/>
          <w:rtl/>
        </w:rPr>
        <w:t xml:space="preserve"> המאשרת גופים מפעילים חדשים על-פי קריטריונים.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250.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15.</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עמותות שעמדו בדרישות חוק העמותות, </w:t>
      </w:r>
      <w:proofErr w:type="spellStart"/>
      <w:r w:rsidRPr="00292A49">
        <w:rPr>
          <w:rFonts w:ascii="David" w:eastAsiaTheme="minorHAnsi" w:cs="David" w:hint="cs"/>
          <w:color w:val="000000"/>
          <w:sz w:val="24"/>
          <w:szCs w:val="24"/>
          <w:rtl/>
        </w:rPr>
        <w:t>התש"מ</w:t>
      </w:r>
      <w:proofErr w:type="spellEnd"/>
      <w:r w:rsidRPr="00292A49">
        <w:rPr>
          <w:rFonts w:ascii="David" w:eastAsiaTheme="minorHAnsi" w:cs="David" w:hint="cs"/>
          <w:color w:val="000000"/>
          <w:sz w:val="24"/>
          <w:szCs w:val="24"/>
          <w:rtl/>
        </w:rPr>
        <w:t xml:space="preserve">-1980, מקבלות מרשם העמותות "אישור ניהול תקין". נמצא </w:t>
      </w:r>
      <w:proofErr w:type="spellStart"/>
      <w:r w:rsidRPr="00292A49">
        <w:rPr>
          <w:rFonts w:ascii="David" w:eastAsiaTheme="minorHAnsi" w:cs="David" w:hint="cs"/>
          <w:color w:val="000000"/>
          <w:sz w:val="24"/>
          <w:szCs w:val="24"/>
          <w:rtl/>
        </w:rPr>
        <w:t>שמינהלת</w:t>
      </w:r>
      <w:proofErr w:type="spellEnd"/>
      <w:r w:rsidRPr="00292A49">
        <w:rPr>
          <w:rFonts w:ascii="David" w:eastAsiaTheme="minorHAnsi" w:cs="David" w:hint="cs"/>
          <w:color w:val="000000"/>
          <w:sz w:val="24"/>
          <w:szCs w:val="24"/>
          <w:rtl/>
        </w:rPr>
        <w:t xml:space="preserve"> השירות אינה מקיימת בקרה ראויה ואינה מוודאת שהגופים המוכרים ישימו מתנדבים בגופים מפעילים שיש להם אישור ניהול תקין. בהצלבת נתונים אקראית של משרד מבקר המדינה לגבי 305 גופים מפעילים עם קובץ רשם העמותות נמצאו 53 גופים (17%) שלא היה להם אישור כזה.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15.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הוועדה לאישור גופים מפעילים בוחנת בין השאר קיומו של אישור תקין, ובהתאם לכך מאשרת גופים מפעילים חדשים.</w:t>
      </w:r>
    </w:p>
    <w:p w:rsidR="00292A49" w:rsidRPr="00292A49" w:rsidRDefault="00292A49" w:rsidP="00292A49">
      <w:pPr>
        <w:suppressAutoHyphens/>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לגבי הגופים הקיימים - ההנחיה בנושא זה תרוענן על-ידי מנכ"ל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והגוף הזוכה במכרז בקרה ודיווח יונחה לבדוק זאת.ראה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250-251.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16.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לפי תקנה 10 לתקנות "האחראי יפרסם אחת לשנה, לפחות, הודעה לציבור בדבר האפשרות של מפעיל להתקשר עם גוף מוכר בהתאם לתקנות אלה". לא נמצא שמאז הקמת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בינואר 2008 ועד סיום הביקורת פורסמה הודעה כזאת.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16.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ב-29 לאוקטובר 2010 תפורסם הודעה בעיתונות הערבית והיהודית בדבר האפשרות של מפעיל להתקשר עם גוף מוכר לקראת שנת ההתנדבות הבאה.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הוציאה הנחיות לכלל הגופים המוכרים להעביר את רשימת הגופים המפעילים בהתאם להערות מבקר המדינה, איסוף הנתונים אמור להסתיים באוקטובר 2010 ופרסום ברשומות במהלך נובמבר 2010.</w:t>
      </w:r>
    </w:p>
    <w:p w:rsidR="00292A49" w:rsidRPr="00292A49" w:rsidRDefault="00292A49" w:rsidP="00292A49">
      <w:pPr>
        <w:suppressAutoHyphens/>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251.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17.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כשליש מתקני המתנדבים בשירות הלאומי הם תקנים פרטיים-קנויים. לדעת משרד מבקר המדינה, על שר המדע ועל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להגביר את הפיקוח על השימוש בתקנים. נוסף על החובה לוודא מראש שמטרות הגוף המפעיל, אופיו ופעילותו אינם שנויים במחלוקת, והתפקיד המיועד למתנדב מתיישב עם הכללים ומקדם את האינטרס הציבורי,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לדאוג שיקוים פיקוח נאות על כל גוף המעסיק מתנדבים. מכל מקום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לרכז את מלוא המידע הנוגע לתקנים הקנויים ולהציגו בפני הממשלה כדי שזו תוכל לקבל החלטות מדיניות בנוגע להם על בסיס מידע מלא ומהימן.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17.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הגבירה את הפיקוח על נושא התקנים ומונה ראש תחום הכשרות לביצוע הבקרה והדיווח על תקני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ועל כלל תקני השירות הלאומי. מכרז הבקרה והדיווח ייתן מענה סביר. בנושא החובה לוודא מראש שמטרות הגוף המפעיל, אופיו </w:t>
      </w:r>
      <w:r w:rsidRPr="00292A49">
        <w:rPr>
          <w:rFonts w:ascii="David" w:eastAsiaTheme="minorHAnsi" w:cs="David" w:hint="cs"/>
          <w:color w:val="000000"/>
          <w:sz w:val="24"/>
          <w:szCs w:val="24"/>
          <w:rtl/>
        </w:rPr>
        <w:lastRenderedPageBreak/>
        <w:t xml:space="preserve">ופעילותו אינם שנויים במחלוקת, והתפקיד המיועד למתנדב מתיישב עם הכללים ומקדם את האינטרס הציבורי, נבדק במסגרת הוועדה לאישור גופים מפעילים. הנושא באם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מרכזת כבר את מלוא המידע בנוגע לתקנים קנויים ומציגה אותם בפני הממשלה, מטופל במסגרת עדכון הועדה הציבורית וגופים ממשלתיים. כל הגופים מפורסמים ברשומות כולל מספר מתנדבים בכל גוף, לגבי התקנים הקנויים, הנושא ייבחן עד דצמבר 2010. </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252.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18.</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כל משרד מפעיל מתנדבים לפי צרכיו ולפי המשאבים העומדים לרשותו.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אינה קובעת סדר עדיפויות ממלכתי בהקצאת המתנדבים למשרדים השונים - בניגוד להחלטת הממשלה מאוגוסט 2007.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18.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פועלת על-מנת להסדיר את ויסות התקנים באמצעות מכרז אחיד לכלל משרדי הממשלה, וכן באמצעות הסעיפים הרלוונטיים בחוק החדש. להערכת המשרד הנושא יסתיים בדצמבר 2011.</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252-3.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19.</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באוגוסט 2005 החליטה הממשלה כי ועדת מכרזים בין-משרדית תפרסם מכרז אחיד לבחירת גופים מוכרים שיעסקו בטיפול במתנדבים לשירות לאומי ובהפנייתם לשירות. בניגוד להחלטת הממשלה, לא פורסם מכרז אחיד עד מועד סיום הביקורת, והמשרדים המשיכו ופרסמו מכרזים נפרדים לבחירת גופים מוכרים. בהעדר מכרז אחיד נמצא שבמכרזים שונים ישנן דרישות שונות לגבי אופן הפעלת המתנדבים - דרישות שרק חלקן מוצדקות ונובעות מהצרכים הייחודיים של כל משרד.</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19.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הקימה צוות בין משרדי מצומצם שטרם סיים את עבודתו בשל מגבלת כוח אדם וסדר עדיפויות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בסדר עדיפויות של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נמצאים: השלמת החקיקה, פרסום מכרז תקני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השלמת העבודה על בחירת זוכה במכרז פיקוח ובקרה. הצוות הבין-משרדי ימשיך לבחון את נושא מכרז האחיד בשיתוף נציגי מינהל הרכש במשרד האוצר.</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שנת ההתנדבות של מרבית המתנדבים מתחילה באחד בספטמבר, מועד פתיחת שנת הלימודים במוסדות החינוך. במכרזים שנבדקו ושפרסמו משרדי הרווחה, התעשייה, המסחר והתעסוקה, החינוך, ביטחון פנים והמשרד לענייני גמלאים נמצא כי הם התקיימו במועד מאוחר של השנה ותוצאותיהם ניתנו סמוך מאוד לאחד בספטמבר. כתוצאה מכך התקשו הגופים המוכרים והמתנדבים להתארגן כיאות להשמה תקינה ומיטבית של מתנדבים לקראת פתיחת השנה.</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20.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מכרז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הוארך לשנת 2010 באישור החשב הכללי. מכרז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לשנת תשע"א יפורסם במועד מוקדם שיאפשר לגופים המוכרים להיערך.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תוציא </w:t>
      </w:r>
      <w:r w:rsidRPr="00292A49">
        <w:rPr>
          <w:rFonts w:ascii="David" w:eastAsiaTheme="minorHAnsi" w:cs="David" w:hint="cs"/>
          <w:color w:val="000000"/>
          <w:sz w:val="24"/>
          <w:szCs w:val="24"/>
          <w:rtl/>
        </w:rPr>
        <w:lastRenderedPageBreak/>
        <w:t>הנחייה לכל משרדי הממשלה לקראת סוף דצמבר 2010 לפרסם את מכרזי השירות הלאומי בזמן סביר.</w:t>
      </w:r>
    </w:p>
    <w:p w:rsidR="00292A49" w:rsidRPr="00292A49" w:rsidRDefault="00292A49" w:rsidP="00292A49">
      <w:pPr>
        <w:suppressAutoHyphens/>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252. </w:t>
      </w:r>
    </w:p>
    <w:p w:rsidR="00292A49" w:rsidRPr="00292A49" w:rsidRDefault="00292A49" w:rsidP="00292A49">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המשרד לענייני גמלאים</w:t>
      </w:r>
    </w:p>
    <w:p w:rsidR="00292A49" w:rsidRPr="00292A49" w:rsidRDefault="00292A49" w:rsidP="00292A49">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בספר הערות ראש הממשלה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253, צוין מכרז שערך המשרד טרם תחילת שנת השירות 2008-2009 לגיוס בני/בנות שירות לאומי לטובת הזקנים. מכרז זה פורסם ביום 15.7.08 והמועד האחרון להגשת הצעות נקבע ליום 5.8.08. מועד זה הוארך בעקבות בקשה שהוגשה לועדת המכרזים ונקבע ליום 11.8.08. חוזים נחתמו עם הגופים הזוכים ביום 1.9.08. בשנת השירות 2008-2007 הפרויקט הופעל לראשונה כפיילוט במטרה לסייע לניצולי שואה, במסגרתו פעלו 14 מתנדבים בשלוש רשויות בכ-80 בתי קשישים. בשנת השירות 2010-2009 פועלים כ- 210 מתנדבים בכ-40 רשויות בכ-1,000 בתי קשישים. בשנת השירות הקרובה 2011-2010 הגופים המגייסים התחייבו להעמיד כ- 240 מתנדבים לפעילות בכ-42 רשויות בכ- 1,200 בתי קשישים. יצוין, כי בשנה זו צפויות העמותות להעמיד את סך המתנדבים שהתחייבו להעמיד בחוזים עמן, וחלקן אף ביקשו להגדיל את מספר המתנדבים הקבוע בחוזה, הדברים נבדקים בהתאם למדיניות ותקציב המשרד. בנוסף, המשרד </w:t>
      </w:r>
      <w:proofErr w:type="spellStart"/>
      <w:r w:rsidRPr="00292A49">
        <w:rPr>
          <w:rFonts w:ascii="David" w:eastAsiaTheme="minorHAnsi" w:cs="David" w:hint="cs"/>
          <w:color w:val="000000"/>
          <w:sz w:val="24"/>
          <w:szCs w:val="24"/>
          <w:rtl/>
        </w:rPr>
        <w:t>ומינהלת</w:t>
      </w:r>
      <w:proofErr w:type="spellEnd"/>
      <w:r w:rsidRPr="00292A49">
        <w:rPr>
          <w:rFonts w:ascii="David" w:eastAsiaTheme="minorHAnsi" w:cs="David" w:hint="cs"/>
          <w:color w:val="000000"/>
          <w:sz w:val="24"/>
          <w:szCs w:val="24"/>
          <w:rtl/>
        </w:rPr>
        <w:t xml:space="preserve"> השירות האזרחי לאומי סיכמו על ביצוע פיילוט בקרב המגזר החרדי לגיוס של 40 מתנדבים והרחבת הפרויקט במגזר זה בהמשך, ל- 150. כמו כן, המשרד פרסם לאחרונה מכרז לגיוס מתנדבים בקרב מגזרי מיעוטים, בשלב ראשון יערך פיילוט ויגויסו קרוב ל-50 מתנדבים ובשלב השני יורחב הפיילוט ל- 150 מתנדבים. לסיכום: בשנת השירות הקרובה צפויות העמותות המגייסות להעמיד את כלל המתנדבים הקבוע בחוזים עימן. נבחנת האפשרות להרחיב את החוזים עם חלק מהעמותות. הפרויקט יורחב בשנה הקרובה בהדרגה גם למגזר החרדי וגם בקרב מגזרי מיעוטים. 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252-3. </w:t>
      </w:r>
    </w:p>
    <w:p w:rsidR="00292A49" w:rsidRPr="00292A49" w:rsidRDefault="00292A49" w:rsidP="00292A49">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החינוך</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העבודה על המכרז הבא תתחיל שנה טרם המועד הנדרש לפרסום (ינואר 2011).</w:t>
      </w:r>
    </w:p>
    <w:p w:rsidR="00292A49" w:rsidRDefault="00292A49" w:rsidP="00292A49">
      <w:pPr>
        <w:autoSpaceDE w:val="0"/>
        <w:autoSpaceDN w:val="0"/>
        <w:adjustRightInd w:val="0"/>
        <w:spacing w:after="170" w:line="288" w:lineRule="auto"/>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משרד הרווחה מקצה ומממן לעמותות הפועלות בתחומי הרווחה כ-700 חצאי תקנים עבור מתנדבים. אף שלמשרד קריטריונים לחלוקה של התקנים, הוא אינו מקפיד לפעול על פיהם. המשרד גם אינו מפרסם בין הגופים הרלוונטיים את האפשרות לקבלת מתנדבים, אלא הוא מקצה אותם לפונים אליו לפי שיקול דעתו; עמותות ורשויות מקומיות השרויות בקשיים כספיים מתקשות לשלם עבור שירותי המתנדבים, ולעתים הדבר גורם להגדלת הפערים בין הגופים המבוססים לחלשים. </w:t>
      </w:r>
    </w:p>
    <w:p w:rsidR="00292A49" w:rsidRPr="00292A49" w:rsidRDefault="00292A49" w:rsidP="00292A49">
      <w:pPr>
        <w:suppressAutoHyphens/>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suppressAutoHyphens/>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הרווחה והשירותים החברתיים</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הנושא של מודלים דיפרנציאליים שאמורים לתת מענה לרשויות חלשות מצריך דיון עקרוני מהותי שאינו קשור רק לנושא ההתנדבות. הדיונים בנושא זה בתוך המשרד ובין המשרד למשרד האוצר טרם הוכרעו. היחידה להתנדבות הגדירה קריטריונים לחלוקת מכסות לגופים המפעילים. הנושא נמצא בדיון בלשכה המשפטית של המשרד </w:t>
      </w:r>
      <w:r w:rsidRPr="00292A49">
        <w:rPr>
          <w:rFonts w:ascii="David" w:eastAsiaTheme="minorHAnsi" w:cs="David" w:hint="cs"/>
          <w:color w:val="000000"/>
          <w:sz w:val="24"/>
          <w:szCs w:val="24"/>
          <w:rtl/>
        </w:rPr>
        <w:lastRenderedPageBreak/>
        <w:t xml:space="preserve">וביחידות מקצועיות משיקות. חלוקת התקנים משנת 2011 תיעשה על פי קריטריונים מוסכמים.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254.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23.</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על משרד הרווחה לוודא שהשירות שנותנים הגופים המוכרים בתקנים שהוא מממן הוא בהתאם למטרות שלשמו נועד ושרמתו נאותה.</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23.</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המפקחות המחוזיות מתגברות את הסיורים במסגרת תפקידם גם לגופים המוכרים.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255. </w:t>
      </w: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המדע והטכנולוגיה</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22-23.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מעקב לליקוי מספר 3.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255. </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24.</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המשרד לענייני גמלאים מפעיל את התכנית "והדרת פני זקן"</w:t>
      </w:r>
      <w:r w:rsidRPr="00292A49">
        <w:rPr>
          <w:rFonts w:ascii="Times New Roman" w:eastAsiaTheme="minorHAnsi" w:hAnsi="Times New Roman" w:cs="Times New Roman"/>
          <w:color w:val="000000"/>
          <w:sz w:val="24"/>
          <w:szCs w:val="24"/>
        </w:rPr>
        <w:t xml:space="preserve"> </w:t>
      </w:r>
      <w:r w:rsidRPr="00292A49">
        <w:rPr>
          <w:rFonts w:ascii="David" w:eastAsiaTheme="minorHAnsi" w:cs="David" w:hint="cs"/>
          <w:color w:val="000000"/>
          <w:sz w:val="24"/>
          <w:szCs w:val="24"/>
          <w:rtl/>
        </w:rPr>
        <w:t>שבמסגרתה מלווים מתנדבי השירות הלאומי קשישים בודדים ומפעילים אותם במרכזי יום ובבתי אבות. המשרד התקשר עם עמותה לצורך ליווי והכשרה של הרכזים והמתנדבים בניסוי ראשוני לתוכנית "והדרת" בלא שקוים הליך תחרותי בין נותני שירותים בכוח; המשרד לא הפעיל את התכנית במגזר הערבי ובמגזר החרדי; מתנדבי תכנית זו קיבלו הקלה בתנאי שירותם - ותכנית העבודה השבועית שלהם הייתה בת 32 שעות לעומת 40 שעות לכל מתנדבי השירות הלאומי האחרים.</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256. </w:t>
      </w: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24.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המשרד לענייני גמלאים ביצע הליך של הצעות מחיר. לגבי המגזר הערבי פורסם מכרז המצוי בשלב של בחירת הזוכים. המגזר החרדי החל לעבוד בערים: בני ברק וירושלים. נושא מכסת השעות מטופל על-ידי המשרד לענייני גמלאים </w:t>
      </w:r>
      <w:proofErr w:type="spellStart"/>
      <w:r w:rsidRPr="00292A49">
        <w:rPr>
          <w:rFonts w:ascii="David" w:eastAsiaTheme="minorHAnsi" w:cs="David" w:hint="cs"/>
          <w:color w:val="000000"/>
          <w:sz w:val="24"/>
          <w:szCs w:val="24"/>
          <w:rtl/>
        </w:rPr>
        <w:t>והמינהלת</w:t>
      </w:r>
      <w:proofErr w:type="spellEnd"/>
      <w:r w:rsidRPr="00292A49">
        <w:rPr>
          <w:rFonts w:ascii="David" w:eastAsiaTheme="minorHAnsi" w:cs="David" w:hint="cs"/>
          <w:color w:val="000000"/>
          <w:sz w:val="24"/>
          <w:szCs w:val="24"/>
          <w:rtl/>
        </w:rPr>
        <w:t>, והתקיימה פגישה עם החברה להגנת הטבע כדי לבחון השלמת שעות לפרויקט "והדרת".</w:t>
      </w:r>
    </w:p>
    <w:p w:rsidR="00292A49" w:rsidRPr="00292A49" w:rsidRDefault="00292A49" w:rsidP="00292A49">
      <w:pPr>
        <w:autoSpaceDE w:val="0"/>
        <w:autoSpaceDN w:val="0"/>
        <w:adjustRightInd w:val="0"/>
        <w:spacing w:after="17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25.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המתנדבים בשירות הלאומי אמורים לסייע לעובדי הגוף המפעיל אך לא למלא את מקומם זולת במקרים חריגים שיאושרו במיוחד על ידי האחראי (עובד מנהלת השירות שהוסמך לתפקיד זה לפי התקנות). המטרה שבהנחיה זו היא להימנע מלפגוע בשוק העבודה, ולכן השתלבות המתנדבים במערכת צריכה להיעשות באופן שלא יגרום לדחיקת עובדים. במקרים מסוימים לא הייתה הקפדה על ההנחיה והעסקת מתנדבי השירות הלאומי באה בעקבות הקטנת מספר העובדים במשרדי ממשלה שונים. יתר על כן, נמצא שלמרות שלפי התקנות אין להעסיק מתנדבים בעבודות שאופיין שירותי מזכירוּת, אלא במקרים מיוחדים בלבד שאותם אישר האחראי, כ-1,500 מתנדבים בכל שנה (כ-13% מכלל מתנדבי השירות הלאומי) עוסקים במשימות שעיקרן שירותי מזכירוּת מבלי שנתקבל אישור האחראי. </w:t>
      </w:r>
    </w:p>
    <w:p w:rsidR="00292A49" w:rsidRDefault="00292A49" w:rsidP="00292A49">
      <w:pPr>
        <w:autoSpaceDE w:val="0"/>
        <w:autoSpaceDN w:val="0"/>
        <w:adjustRightInd w:val="0"/>
        <w:spacing w:after="170" w:line="288" w:lineRule="auto"/>
        <w:ind w:left="509" w:hanging="509"/>
        <w:jc w:val="both"/>
        <w:textAlignment w:val="center"/>
        <w:rPr>
          <w:rFonts w:ascii="David" w:eastAsiaTheme="minorHAnsi" w:cs="David" w:hint="cs"/>
          <w:b/>
          <w:bCs/>
          <w:color w:val="000000"/>
          <w:sz w:val="24"/>
          <w:szCs w:val="24"/>
          <w:rtl/>
        </w:rPr>
      </w:pPr>
    </w:p>
    <w:p w:rsidR="00292A49" w:rsidRDefault="00292A49" w:rsidP="00292A49">
      <w:pPr>
        <w:autoSpaceDE w:val="0"/>
        <w:autoSpaceDN w:val="0"/>
        <w:adjustRightInd w:val="0"/>
        <w:spacing w:after="170" w:line="288" w:lineRule="auto"/>
        <w:ind w:left="509" w:hanging="509"/>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25.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נקלטה רק סטודנטית אחת ועם קליטת עובדים חדשים לנושאי פיקוח ובקרה תוגבר האכיפה. תפקידי מפקח על המגזר החרדי ומפקח בכיר לארגון ותקציבים נמצא בהליך מכרז על-ידי משאבי אנוש.</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257. </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suppressAutoHyphens/>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המשרד לענייני גמלאים </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25.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הפעלת הפרויקט במגזר החרדי – ביום 30.12.09 הגיע המשרד לסיכום עם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האזרחי לאומי להפעלת שירות אזרחי. תחילה יבוצע פיילוט של מספר חודשים במסגרתו יגויסו עד 40 מתנדבים ובהמשך יורחב הפרויקט ל- 150 מתנדבים. המשרד גייס באמצעות הגוף המלווה עימו התקשר (ליווי פסיכו סוציאלי למתנדבים ולזקנים) מדריכים לליווי מקצועי של המתנדבים.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פועלת בימים אלה לגיוס מתנדבים לשלב הפיילוט. כמו כן, מבוצע תיאום מול גופים רלוונטיים להפעלת האברכים שיגויסו. הפעלת הפרויקט במגזרי המיעוטים – ביום 1.6.2010 פרסם המשרד מכרז לגיוס והפניית מתנדבים בקרב מגזרי מיעוטים, כאשר בשלב ראשון יערך פיילוט ויגויסו עד 50 מתנדבים ובשלב השני יורחב הפיילוט ל- 150 מתנדבים, המועד האחרון להגשת הצעות נקבע ליום 28.6.2010. דיוני ועדת המכרזים נמצאים בעיצומם.</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257.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color w:val="000000"/>
          <w:sz w:val="24"/>
          <w:szCs w:val="24"/>
          <w:rtl/>
        </w:rPr>
        <w:t xml:space="preserve">26.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הסעיף האמור בתקנות אמור לפתור בעיות נקודתיות של מתנדבים בודדים ואינו מהווה תחליף להתאמת מסגרת תעסוקתית לשירות של שנה. על משרד החינוך,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ועל הגופים המוכרים למצוא פתרון הולם להתאמת מסגרת ההעסקה של כל המתנדבים במערכת החינוך לשנה מלאה - ולא לעשרה חודשים בלבד.</w:t>
      </w:r>
      <w:r w:rsidRPr="00292A49">
        <w:rPr>
          <w:rFonts w:ascii="David" w:eastAsiaTheme="minorHAnsi" w:cs="David" w:hint="cs"/>
          <w:b/>
          <w:bCs/>
          <w:color w:val="000000"/>
          <w:sz w:val="24"/>
          <w:szCs w:val="24"/>
          <w:rtl/>
        </w:rPr>
        <w:t xml:space="preserve">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26.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קיימה מספר דיונים עם משרד החינוך למציאת פתרון מתאים לתקופות החופשה הארוכות, הבעיה בחלקה הגדול נפתרה על ידי הפעלת המתנדבים בקייטנות.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ומשרד החינוך פועלים למציאת פתרונות יצירתיים נוספים על מנת שכל המתנדבים יעמדו בדרישת החוק.</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257. </w:t>
      </w:r>
    </w:p>
    <w:p w:rsidR="00292A49" w:rsidRPr="00292A49" w:rsidRDefault="00292A49" w:rsidP="00292A49">
      <w:pPr>
        <w:autoSpaceDE w:val="0"/>
        <w:autoSpaceDN w:val="0"/>
        <w:adjustRightInd w:val="0"/>
        <w:spacing w:after="170" w:line="288" w:lineRule="auto"/>
        <w:ind w:left="1076" w:hanging="1076"/>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27.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נמצא כי למרות האמור בהוראות אלה מגבילים לעיתים הגופים המוכרים את החזר הוצאות הנסיעה של מתנדבים המשרתים במקומות מרוחקים ממקום מגוריהם. להלן דוגמאות:</w:t>
      </w:r>
    </w:p>
    <w:p w:rsidR="00292A49" w:rsidRPr="00292A49" w:rsidRDefault="00292A49" w:rsidP="00292A49">
      <w:pPr>
        <w:suppressAutoHyphens/>
        <w:autoSpaceDE w:val="0"/>
        <w:autoSpaceDN w:val="0"/>
        <w:adjustRightInd w:val="0"/>
        <w:spacing w:after="170" w:line="288" w:lineRule="auto"/>
        <w:ind w:left="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התעריף הוא ממוצע של הוצאות המתנדבים בגין נסיעות. במקרה שהוצאות הנסיעה של המתנדבים גדולות מתעריף זה, על הגופים המוכרים לשלם למתנדבים את מלוא התמורה בעד הוצאותיהם, ועל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לוודא כי הם עושים כך.</w:t>
      </w:r>
    </w:p>
    <w:p w:rsidR="00292A49" w:rsidRDefault="00292A49" w:rsidP="00292A49">
      <w:pPr>
        <w:autoSpaceDE w:val="0"/>
        <w:autoSpaceDN w:val="0"/>
        <w:adjustRightInd w:val="0"/>
        <w:spacing w:after="170" w:line="288" w:lineRule="auto"/>
        <w:ind w:left="509" w:hanging="509"/>
        <w:jc w:val="both"/>
        <w:textAlignment w:val="center"/>
        <w:rPr>
          <w:rFonts w:ascii="David" w:eastAsiaTheme="minorHAnsi" w:cs="David" w:hint="cs"/>
          <w:b/>
          <w:bCs/>
          <w:color w:val="000000"/>
          <w:sz w:val="24"/>
          <w:szCs w:val="24"/>
          <w:rtl/>
        </w:rPr>
      </w:pPr>
    </w:p>
    <w:p w:rsidR="00292A49" w:rsidRDefault="00292A49" w:rsidP="00292A49">
      <w:pPr>
        <w:autoSpaceDE w:val="0"/>
        <w:autoSpaceDN w:val="0"/>
        <w:adjustRightInd w:val="0"/>
        <w:spacing w:after="170" w:line="288" w:lineRule="auto"/>
        <w:ind w:left="509" w:hanging="509"/>
        <w:jc w:val="both"/>
        <w:textAlignment w:val="center"/>
        <w:rPr>
          <w:rFonts w:ascii="David" w:eastAsiaTheme="minorHAnsi" w:cs="David" w:hint="cs"/>
          <w:b/>
          <w:bCs/>
          <w:color w:val="000000"/>
          <w:sz w:val="24"/>
          <w:szCs w:val="24"/>
          <w:rtl/>
        </w:rPr>
      </w:pPr>
    </w:p>
    <w:p w:rsidR="00292A49" w:rsidRDefault="00292A49" w:rsidP="00292A49">
      <w:pPr>
        <w:autoSpaceDE w:val="0"/>
        <w:autoSpaceDN w:val="0"/>
        <w:adjustRightInd w:val="0"/>
        <w:spacing w:after="170" w:line="288" w:lineRule="auto"/>
        <w:ind w:left="509" w:hanging="509"/>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after="17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27.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נושא החזר הוצאות נסיעה יוסדר בחקיקה החדשה. כמו-כן בתעריף החדש יוגדרו התשלומים לנושא זה. </w:t>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תהדק את הבדיקה והאכיפה באמצעות הגוף הזוכה במכרז הבקרה והדיווח. כמו-כן תרוענן ההנחיה בנושא זה לגופים המוכרים.</w:t>
      </w:r>
    </w:p>
    <w:p w:rsidR="00292A49" w:rsidRPr="00292A49" w:rsidRDefault="00292A49" w:rsidP="00292A49">
      <w:pPr>
        <w:suppressAutoHyphens/>
        <w:autoSpaceDE w:val="0"/>
        <w:autoSpaceDN w:val="0"/>
        <w:adjustRightInd w:val="0"/>
        <w:spacing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258.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28.</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ליצור מנגנון שיחסום קבלת מענק על ידי מתנדבים הממשיכים לשנת שירות שנייה עד תום שירותם, בדומה לנהוג לגבי חיילי צה"ל, שאינם זכאים למענקים תוך כדי שירותם הצבאי, אלא רק בסיומו ובהתאם לקבוע בחוק.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28.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צמצמה את התופעה על-ידי שינוי שיטת הדיווח. כמו כן, סוכם על הפעלת "כספת" אשר תאפשר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להעביר נתונים ישירות לקרן חיילים משוחררים. התוכנה החדשה שנבנתה נותנת מענה לנושא זה .</w:t>
      </w:r>
    </w:p>
    <w:p w:rsidR="00292A49" w:rsidRPr="00292A49" w:rsidRDefault="00292A49" w:rsidP="00292A49">
      <w:pPr>
        <w:suppressAutoHyphens/>
        <w:autoSpaceDE w:val="0"/>
        <w:autoSpaceDN w:val="0"/>
        <w:adjustRightInd w:val="0"/>
        <w:spacing w:after="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258.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29.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אף שכבר בשנת 2006 התעורר הצורך בקביעת תעריף מיוחד לתשלום בגין העסקת מתנדבים בעלי מוגבלויות, הנושא לא הוסדר עד מועד סיום הביקורת.</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29.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קבעה תעריף זמני לבעלי מוגבלויות. התעריף הקבוע יסוכם במסגרת בניית התעריף החדש. סוגיה זו תעוגן גם בחוק החדש.</w:t>
      </w:r>
      <w:r w:rsidRPr="00292A49">
        <w:rPr>
          <w:rFonts w:ascii="David" w:eastAsiaTheme="minorHAnsi" w:cs="David"/>
          <w:color w:val="000000"/>
          <w:sz w:val="24"/>
          <w:szCs w:val="24"/>
          <w:rtl/>
        </w:rPr>
        <w:tab/>
      </w:r>
    </w:p>
    <w:p w:rsidR="00292A49" w:rsidRPr="00292A49" w:rsidRDefault="00292A49" w:rsidP="00292A49">
      <w:pPr>
        <w:suppressAutoHyphens/>
        <w:autoSpaceDE w:val="0"/>
        <w:autoSpaceDN w:val="0"/>
        <w:adjustRightInd w:val="0"/>
        <w:spacing w:after="170" w:line="288" w:lineRule="auto"/>
        <w:ind w:left="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259.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מתנדבי השירות הלאומי הם ברובם צעירים בוגרי תיכון, חסרי מיומנויות תעסוקתיות ולפיכך הדרכה והכשרה מקצועית חיוניות כדי שהתנדבותם תועיל במידה מרבית. למרות זאת אין נהלים המחייבים את הגופים המוכרים לקיים הכשרה רלוונטית לפני תחילת השירות של המתנדב. נמצא שמשרד החינוך לא עשה שימוש בסמכויותיו על פי דין ועל פי התנאים שנקבעו במכרז כדי לכפות על הגוף המוכר להכשיר את מתנדביו במועד. לדעת משרד מבקר המדינה, על משרד החינוך לקבוע מנגנוני אכיפה שלא יאפשרו למתנדבים להתחיל את שנת ההתנדבות במערכת החינוך בלא הכשרה הולמת. </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אין מקום לפערים בהכשרת מתנדבים אם הם משרתים באותו מוסד ובתפקידים דומים.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להורות למשרדים לתאם ביניהם את ההכשרה למתנדבים בלא קשר למשרד המממן את העסקתם.</w:t>
      </w:r>
    </w:p>
    <w:p w:rsidR="00292A49" w:rsidRPr="00292A49" w:rsidRDefault="00292A49" w:rsidP="00292A49">
      <w:pPr>
        <w:suppressAutoHyphens/>
        <w:autoSpaceDE w:val="0"/>
        <w:autoSpaceDN w:val="0"/>
        <w:adjustRightInd w:val="0"/>
        <w:spacing w:line="288" w:lineRule="auto"/>
        <w:ind w:left="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למרות האמור לעיל אין בנמצא נהלים המחייבים את הגופים המוכרים לקיים הכשרה רלוונטית טרם השמת המתנדב, וכאמור, גם תעריף העסקת המתנדבים אינו נותן ביטוי להוצאות בגין הכשרתם לשירות.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30.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קבעה קריטריונים וגיבשה תוכניות הכשרה כולל נושאי חובה שהגופים המוכרים מחויבים, וכן הגופים המפעילים. נושאי ההכשרה יתומחר במסגרת בניית התעריף החדש ויוסדר בחקיקה.</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259. </w:t>
      </w:r>
    </w:p>
    <w:p w:rsidR="00292A49" w:rsidRPr="00292A49" w:rsidRDefault="00292A49" w:rsidP="00292A49">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 xml:space="preserve">מעקב </w:t>
      </w:r>
    </w:p>
    <w:p w:rsidR="00292A49" w:rsidRPr="00292A49" w:rsidRDefault="00292A49" w:rsidP="00292A49">
      <w:pPr>
        <w:suppressAutoHyphens/>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החינוך</w:t>
      </w:r>
    </w:p>
    <w:p w:rsidR="00292A49" w:rsidRPr="00292A49" w:rsidRDefault="00292A49" w:rsidP="00292A49">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30.</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כל מתנדב מחויב בהכשרה הולמת, טרם תחילת שנת ההתנדבות. כאשר יש חילופים במהלך השנה, אין אפשרות לקיים סמינר הכשרה ולכן מתבצעת ההכשרה במקום השירות בעזרת הצוות המקומי.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31.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לדעת משרד מבקר המדינה, אין זה ראוי ששנה אחר שנה לא יהיה ידוע אם יינתן למשרד החינוך התקציב הנחוץ להשמת המתנדבים במערכת החינוך. החלטה של המשרד על מספר מתנדבי השירות הלאומי הנחוץ למערכת החינוך ראוי שתתואם עם משרד האוצר ותגובה בתקציב מתאים. מספר תקני השירות הלאומי אינו מהנושאים שאמורים להיות נתונים למשא-ומתן קואליציוני: השירות הלאומי מיועד לכל האוכלוסייה הפטורה מגיוס או שאינה נקראת לגיוס, והוא משרת את כל החברה בישראל - בחינוך המיוחד, בפנימיות, במדרשות לידיעת הארץ וכדומה. משקבעה הממשלה בהחלטותיה שמפעל השירות הלאומי חשוב הוא, עליה לפעול כדי להקצות לנושא זה מבעוד מועד תקציב ההולם את הנחוץ להפעלת מתנדבי השירות הלאומי במערכת החינוך. הקצאת תקציבים בעקבות הסכמים קואליציוניים אינה יכולה להחליף מדיניות תקציבית רשמית.</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נמצא כי עד מועד סיום הביקורת משרד החינוך ומשרד הרווחה לא הסדירו את סוגיית חלוקת הנטל התקציבי ביניהם. גם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במסגרת תפקידה בוויסות התקנים ובהקצאתם (ראו לעיל), צריכה להנחות את המשרדים בשאלה זו.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31. </w:t>
      </w:r>
      <w:r w:rsidRPr="00292A49">
        <w:rPr>
          <w:rFonts w:ascii="David" w:eastAsiaTheme="minorHAnsi" w:cs="David"/>
          <w:color w:val="000000"/>
          <w:sz w:val="24"/>
          <w:szCs w:val="24"/>
          <w:rtl/>
        </w:rPr>
        <w:tab/>
      </w:r>
      <w:proofErr w:type="spellStart"/>
      <w:r w:rsidRPr="00292A49">
        <w:rPr>
          <w:rFonts w:ascii="David" w:eastAsiaTheme="minorHAnsi" w:cs="David" w:hint="cs"/>
          <w:color w:val="000000"/>
          <w:sz w:val="24"/>
          <w:szCs w:val="24"/>
          <w:rtl/>
        </w:rPr>
        <w:t>המינהלת</w:t>
      </w:r>
      <w:proofErr w:type="spellEnd"/>
      <w:r w:rsidRPr="00292A49">
        <w:rPr>
          <w:rFonts w:ascii="David" w:eastAsiaTheme="minorHAnsi" w:cs="David" w:hint="cs"/>
          <w:color w:val="000000"/>
          <w:sz w:val="24"/>
          <w:szCs w:val="24"/>
          <w:rtl/>
        </w:rPr>
        <w:t xml:space="preserve"> אינה יכולה בשלב זה להשפיע על נושא התקציב רק כאשר תמומש החלטת הממשלה בנושא ויסות תקנים וייצא מכרז אחיד תהיה לכך השפעה </w:t>
      </w:r>
      <w:proofErr w:type="spellStart"/>
      <w:r w:rsidRPr="00292A49">
        <w:rPr>
          <w:rFonts w:ascii="David" w:eastAsiaTheme="minorHAnsi" w:cs="David" w:hint="cs"/>
          <w:color w:val="000000"/>
          <w:sz w:val="24"/>
          <w:szCs w:val="24"/>
          <w:rtl/>
        </w:rPr>
        <w:t>מסויימת</w:t>
      </w:r>
      <w:proofErr w:type="spellEnd"/>
      <w:r w:rsidRPr="00292A49">
        <w:rPr>
          <w:rFonts w:ascii="David" w:eastAsiaTheme="minorHAnsi" w:cs="David" w:hint="cs"/>
          <w:color w:val="000000"/>
          <w:sz w:val="24"/>
          <w:szCs w:val="24"/>
          <w:rtl/>
        </w:rPr>
        <w:t xml:space="preserve">. במידה והתקציב יועבר במלואו </w:t>
      </w:r>
      <w:proofErr w:type="spellStart"/>
      <w:r w:rsidRPr="00292A49">
        <w:rPr>
          <w:rFonts w:ascii="David" w:eastAsiaTheme="minorHAnsi" w:cs="David" w:hint="cs"/>
          <w:color w:val="000000"/>
          <w:sz w:val="24"/>
          <w:szCs w:val="24"/>
          <w:rtl/>
        </w:rPr>
        <w:t>למינהלת</w:t>
      </w:r>
      <w:proofErr w:type="spellEnd"/>
      <w:r w:rsidRPr="00292A49">
        <w:rPr>
          <w:rFonts w:ascii="David" w:eastAsiaTheme="minorHAnsi" w:cs="David" w:hint="cs"/>
          <w:color w:val="000000"/>
          <w:sz w:val="24"/>
          <w:szCs w:val="24"/>
          <w:rtl/>
        </w:rPr>
        <w:t xml:space="preserve">, תהיה לכך השפעה.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260. </w:t>
      </w:r>
    </w:p>
    <w:p w:rsidR="00292A49" w:rsidRPr="00292A49" w:rsidRDefault="00292A49" w:rsidP="00292A49">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החינוך</w:t>
      </w:r>
    </w:p>
    <w:p w:rsidR="00292A49" w:rsidRPr="00292A49" w:rsidRDefault="00292A49" w:rsidP="00292A49">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31.</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המשרד פועל לעיגון מלוא התקציב השנתי בבסיס תקציב המדינה. שר החינוך פנה בנושא לראש הממשלה ולשר האוצר. </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260.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היות שמשקלם באוכלוסיה של המגזר הערבי ושל המגזר החרדי אינו מבוטל, על המשרד לענייני גמלאים לרכז מאמצים ללימוד מהיר של צורכיהם הייחודיים והתאמת התכנית גם אליהם כדי לאפשר גם לקשישים ממגזרים אלה ליהנות מיתרונותיה. </w:t>
      </w:r>
    </w:p>
    <w:p w:rsidR="00292A49" w:rsidRPr="00292A49" w:rsidRDefault="00292A49" w:rsidP="00292A49">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המשרד לענייני גמלאים</w:t>
      </w:r>
    </w:p>
    <w:p w:rsidR="00292A49" w:rsidRPr="00292A49" w:rsidRDefault="00292A49" w:rsidP="00292A49">
      <w:pPr>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32.</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מעקבים לליקויים 20, 25. </w:t>
      </w:r>
    </w:p>
    <w:p w:rsidR="00292A49" w:rsidRPr="00292A49" w:rsidRDefault="00292A49" w:rsidP="00292A49">
      <w:pPr>
        <w:autoSpaceDE w:val="0"/>
        <w:autoSpaceDN w:val="0"/>
        <w:adjustRightInd w:val="0"/>
        <w:spacing w:after="170" w:line="288" w:lineRule="auto"/>
        <w:ind w:left="1134" w:hanging="1134"/>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261. </w:t>
      </w:r>
    </w:p>
    <w:p w:rsidR="00292A49" w:rsidRDefault="00292A49" w:rsidP="00292A49">
      <w:pPr>
        <w:autoSpaceDE w:val="0"/>
        <w:autoSpaceDN w:val="0"/>
        <w:adjustRightInd w:val="0"/>
        <w:spacing w:line="288" w:lineRule="auto"/>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34.</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השירות הלאומי אינו שירות חובה אלא הוא שירות התנדבותי, והוא במידה רבה שירות חליפי לשירות החובה בצה"ל (לגבי מי שפטור משירות צבאי או שאינו נקרא לשירות צבאי). בכל הקשור לזכויות הניתנות על ידי המוסד לביטוח לאומי הושווה מעמדם של המתנדבים למעמדם של חיילים בשירות סדיר, וזכויותיהם של מי שהתנדבו לשרת שירות לאומי מקבילות לזכויותיהם של חיילים משוחררים לפי חוק חיילים משוחררים. זאת למרות שמשך שירות החובה הצבאי הוא שנתיים לבנות ושלוש שנים לבנים ואילו משך ההתנדבות הנהוג קצר בהרבה: בדרך כלל ההתנדבות היא לשנה בלבד - אם כי מסתמנת גם מגמה של התנדבות לשירות לאומי של שנתיים. לדעת משרד מבקר המדינה, על שר המדע ועל הממשלה לתת את הדעת לעניין אי-</w:t>
      </w:r>
      <w:proofErr w:type="spellStart"/>
      <w:r w:rsidRPr="00292A49">
        <w:rPr>
          <w:rFonts w:ascii="David" w:eastAsiaTheme="minorHAnsi" w:cs="David" w:hint="cs"/>
          <w:color w:val="000000"/>
          <w:sz w:val="24"/>
          <w:szCs w:val="24"/>
          <w:rtl/>
        </w:rPr>
        <w:t>השיוויון</w:t>
      </w:r>
      <w:proofErr w:type="spellEnd"/>
      <w:r w:rsidRPr="00292A49">
        <w:rPr>
          <w:rFonts w:ascii="David" w:eastAsiaTheme="minorHAnsi" w:cs="David" w:hint="cs"/>
          <w:color w:val="000000"/>
          <w:sz w:val="24"/>
          <w:szCs w:val="24"/>
          <w:rtl/>
        </w:rPr>
        <w:t xml:space="preserve"> בין משך השירות הלאומי לבין משך השירות הצבאי ולעניין הבדלים נוספים בין מסגרת השירות הלאומי ובין תנאי השירות הצבאי.</w:t>
      </w: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ראש הממשלה</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34.</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מדובר בסוגיה רחבה בעלת היבטים ערכיים, חברתיים ופוליטיים. אין זה ברור כי אי-השוויון במשך השירות הוא בהכרח לא נכון, בהתייחס לאוכלוסיות המדוברות, ולראיית השירות הלאומי-אזרחי כפתח משמעותי לשילובם בחברה (לא מעטים סוברים כי דווקא הרחבת השירות הלאומי-אזרחי ל- 3 שנים עלולה להפחית את אחוז ההשתלבות בקרב האוכלוסיות שקיימת מטרה לשלבן בחברה). על כל פנים, הממשלה מודעת לקושי האמור, ובסוגיות מסוימות הדבר בא לידי ביטוי בתמריצים שונים ובהטבות, המבחינות בין השניים. למשל – בהחלטת ממשלה מס' 747 מיום 13.9.2009, בדבר הענקת מלגת שכר לימוד לשנת לימודים אקדמית לתלמידים שילמדו בפריפריה, נקבע כי מענק מלא ללימודים יינתן עבור משרתי שירות לאומי במשך שנתיים, ולא שנה. בידיעת קושי זה ומורכבותו, בוחנת הממשלה כל סוגיה לגופה עם כלל הגורמים המעורבים. </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262. </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36.</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משרדי הממשלה מפעילים בסך הכול כ-7,500 מתנדבי שירות לאומי בכל שנה באמצעות מכרזים להעסקת גופים מוכרים. על משרדי הממשלה המעסיקים מתנדבי שירות לאומי להיערך לפרסום המכרזים ולקביעת הזוכים בהם מבעוד מועד; עליהם להעניק הכשרה נאותה למתנדבים שהם מעסיקים, לחלק באופן מושכל את משאבי ההתנדבות בין הגופים השונים הזכאים לקבלם, לפקח על הפעלת המתנדבים שהם מממנים את העסקתם ולשלם לגופים המוכרים את המגיע להם במועד.</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המלצת יחידת הביקורת הפנימית במוסד לביטוח לאומי וההחלטות שהתקבלו בעקבותיה לא יושמו אפוא, ואף שאי-יישומן גרר התרעה של אגף אבטחת המידע, המתנדבים לא הוכשרו כהלכה לתפקידם במוסד.</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color w:val="000000"/>
          <w:sz w:val="24"/>
          <w:szCs w:val="24"/>
          <w:rtl/>
        </w:rPr>
      </w:pPr>
    </w:p>
    <w:p w:rsidR="00292A49" w:rsidRPr="00292A49" w:rsidRDefault="00292A49" w:rsidP="00292A49">
      <w:pPr>
        <w:suppressAutoHyphens/>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 xml:space="preserve">מעקב </w:t>
      </w:r>
    </w:p>
    <w:p w:rsidR="00292A49" w:rsidRPr="00292A49" w:rsidRDefault="00292A49" w:rsidP="00292A49">
      <w:pPr>
        <w:suppressAutoHyphens/>
        <w:autoSpaceDE w:val="0"/>
        <w:autoSpaceDN w:val="0"/>
        <w:adjustRightInd w:val="0"/>
        <w:spacing w:after="0"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המוסד לביטוח לאומי</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p>
    <w:p w:rsidR="00292A49" w:rsidRPr="00292A49" w:rsidRDefault="00292A49" w:rsidP="00292A49">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36.</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המוסד יקיים הדרכה לבנות השירות הלאומי לאחר קליטתן של בנות השירות החדשות במוסד בספטמבר 2010, כפי שהתחייב. </w:t>
      </w:r>
    </w:p>
    <w:p w:rsidR="00292A49" w:rsidRPr="00292A49" w:rsidRDefault="00292A49" w:rsidP="00292A49">
      <w:pPr>
        <w:suppressAutoHyphens/>
        <w:autoSpaceDE w:val="0"/>
        <w:autoSpaceDN w:val="0"/>
        <w:adjustRightInd w:val="0"/>
        <w:spacing w:after="170" w:line="288" w:lineRule="auto"/>
        <w:ind w:left="1134" w:hanging="1134"/>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263. </w:t>
      </w:r>
    </w:p>
    <w:p w:rsidR="00292A49" w:rsidRDefault="00292A49" w:rsidP="00292A49">
      <w:pPr>
        <w:autoSpaceDE w:val="0"/>
        <w:autoSpaceDN w:val="0"/>
        <w:adjustRightInd w:val="0"/>
        <w:spacing w:line="288" w:lineRule="auto"/>
        <w:ind w:left="509" w:hanging="509"/>
        <w:jc w:val="both"/>
        <w:textAlignment w:val="center"/>
        <w:rPr>
          <w:rFonts w:ascii="David" w:eastAsiaTheme="minorHAnsi" w:cs="David" w:hint="cs"/>
          <w:b/>
          <w:bCs/>
          <w:color w:val="000000"/>
          <w:sz w:val="24"/>
          <w:szCs w:val="24"/>
          <w:rtl/>
        </w:rPr>
      </w:pP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ליקוי</w:t>
      </w:r>
    </w:p>
    <w:p w:rsidR="00292A49" w:rsidRPr="00292A49" w:rsidRDefault="00292A49" w:rsidP="00292A49">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38.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בתקנות נקבע כי בת המשרתת שירות לאומי בהתנדבות היא מי שהתחייבה לשרת לפחות 12 חודשים שבמניינים יבואו "ימי חופשה כפי שנקבע בהסכם האמור בתקנה 5(ב), אך לא פחות מ-15 ימים בשנה ולא יותר מ-30 ימים בשנה" ו"היעדרות אחרת או נוספת לפי הוראות האחראי שניתנו בהתייעצות עם הוועדה המייעצת". בהוראות האגף לתפקידים מיוחדים במשרד הרווחה מהשנים 2006 ו-2007 נקבע כי מתנדבי השירות הלאומי (המועסקים חמישה ימים בשבוע) יהיו זכאים ל-22 ימי חופשה, 12 מתוכם במועדים קבועים מראש, והיתר – 10 ימים, לפי בחירת המתנדב.</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הסעיף שלעיל בתקנה, אמור לפתור בעיות נקודתיות של מתנדבים בודדים, ואינו מהווה תחליף להתאמת מסגרת תעסוקתית לשירות של שנה. על משרד החינוך,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ועל הגופים המוכרים, למצוא פתרון הולם להתאמת מסגרת ההעסקה של כל המתנדבים במערכת החינוך לשנה מלאה – ולא לעשרה חודשים בלבד.</w:t>
      </w:r>
    </w:p>
    <w:p w:rsidR="00292A49" w:rsidRPr="00292A49" w:rsidRDefault="00292A49" w:rsidP="00292A49">
      <w:pPr>
        <w:autoSpaceDE w:val="0"/>
        <w:autoSpaceDN w:val="0"/>
        <w:adjustRightInd w:val="0"/>
        <w:spacing w:after="57"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החינוך</w:t>
      </w:r>
    </w:p>
    <w:p w:rsidR="00292A49" w:rsidRPr="00292A49" w:rsidRDefault="00292A49" w:rsidP="00292A49">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38.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מתנדבי השירות הלאומי במערכת החינוך עובדים שישה ימים בשבוע וזכאים לפיכך ל-30 ימי חופשה. כמחצית מהימים מנוצלים במהלך השנה ויתרתם בסוף חודש אוגוסט. כמו כן עומדים לרשות המשרתים ימי חופשה בגין 9 ימי הכשרה המבוצעים טרם תחילת השירות. כשליש מהתקנים מופעלים במוסדות החינוך המיוחד הפועלים עד 15 באוגוסט. בחודש יולי משובצים מרבית המתנדבים בקייטנות ובפעילות במתנ"סים. המשרד ממשיך לפעול למציאת פעילות מתאימה, על אף הקושי לשבצם לתקופה קצרה בלבד. </w:t>
      </w:r>
    </w:p>
    <w:p w:rsidR="00292A49" w:rsidRPr="00292A49" w:rsidRDefault="00292A49" w:rsidP="00292A49">
      <w:pPr>
        <w:suppressAutoHyphens/>
        <w:autoSpaceDE w:val="0"/>
        <w:autoSpaceDN w:val="0"/>
        <w:adjustRightInd w:val="0"/>
        <w:spacing w:after="17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264.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39.</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על רקע אי-הפעלת חוק השירות הלאומי, </w:t>
      </w:r>
      <w:proofErr w:type="spellStart"/>
      <w:r w:rsidRPr="00292A49">
        <w:rPr>
          <w:rFonts w:ascii="David" w:eastAsiaTheme="minorHAnsi" w:cs="David" w:hint="cs"/>
          <w:color w:val="000000"/>
          <w:sz w:val="24"/>
          <w:szCs w:val="24"/>
          <w:rtl/>
        </w:rPr>
        <w:t>התשי"ג</w:t>
      </w:r>
      <w:proofErr w:type="spellEnd"/>
      <w:r w:rsidRPr="00292A49">
        <w:rPr>
          <w:rFonts w:ascii="David" w:eastAsiaTheme="minorHAnsi" w:cs="David" w:hint="cs"/>
          <w:color w:val="000000"/>
          <w:sz w:val="24"/>
          <w:szCs w:val="24"/>
          <w:rtl/>
        </w:rPr>
        <w:t xml:space="preserve">-1953, והחלטת הממשלה מ-1971, ונוכח העובדה שבעבר הוחלה החלת ביקורת המדינה על כל הגופים המוכרים דאז, והואיל והגופים המוכרים מספקים שירות ציבורי ומעניקים למתנדביהם מעמד והטבות מטעם המדינה, ראוי שהכרה בגוף מוכר תותנה בחתימה על הסכם שיחיל עליו את ביקורת המדינה. מעמד של גוף מבוקר יאפשר למשרד מבקר המדינה ובאמצעותו לציבור לוודא שמערך השירות הלאומי מתנהל באופן תקין ובהתאם לנורמות ציבוריות ראויות. לפיכך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להנחות את משרדי הממשלה לכלול במכרזים לרכישת שירותי השמת מתנדבים שהם מפרסמים, תנאי שיקבע כי הגוף המוכר שיספק להם שירותים יסכים להחלה של ביקורת המדינה עליו. </w:t>
      </w:r>
    </w:p>
    <w:p w:rsidR="00292A49" w:rsidRPr="00292A49" w:rsidRDefault="00292A49" w:rsidP="00292A49">
      <w:pPr>
        <w:autoSpaceDE w:val="0"/>
        <w:autoSpaceDN w:val="0"/>
        <w:adjustRightInd w:val="0"/>
        <w:spacing w:after="0"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line="288" w:lineRule="auto"/>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משרד המדע והטכנולוגיה</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39.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265. </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40.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אף שהעתירה עסקה בתקנים שמממן משרד החינוך לגופים חוץ-ממשלתיים הנתמכים על ידי המדינה, הרי שהיות שגם בתקנים הקנויים מגולמת הטבה למפעיל, יש לבחון החלת הוראות דומות גם על גופים מפעילים הרוכשים תקנים קנויים מתקציבם ואינם מקבלים אותם במימונם של משרדי ממשלה.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lastRenderedPageBreak/>
        <w:t>מעקב</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40.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xml:space="preserve">' 265. </w:t>
      </w:r>
    </w:p>
    <w:p w:rsidR="00292A49" w:rsidRPr="00292A49" w:rsidRDefault="00292A49" w:rsidP="00292A49">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ליקוי</w:t>
      </w:r>
    </w:p>
    <w:p w:rsidR="00292A49" w:rsidRPr="00292A49" w:rsidRDefault="00292A49" w:rsidP="00292A49">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41.</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לדעת משרד מבקר המדינה, על </w:t>
      </w:r>
      <w:proofErr w:type="spellStart"/>
      <w:r w:rsidRPr="00292A49">
        <w:rPr>
          <w:rFonts w:ascii="David" w:eastAsiaTheme="minorHAnsi" w:cs="David" w:hint="cs"/>
          <w:color w:val="000000"/>
          <w:sz w:val="24"/>
          <w:szCs w:val="24"/>
          <w:rtl/>
        </w:rPr>
        <w:t>מינהלת</w:t>
      </w:r>
      <w:proofErr w:type="spellEnd"/>
      <w:r w:rsidRPr="00292A49">
        <w:rPr>
          <w:rFonts w:ascii="David" w:eastAsiaTheme="minorHAnsi" w:cs="David" w:hint="cs"/>
          <w:color w:val="000000"/>
          <w:sz w:val="24"/>
          <w:szCs w:val="24"/>
          <w:rtl/>
        </w:rPr>
        <w:t xml:space="preserve"> השירות לפעול ליישום ההחלטה ולרכז באופן שוטף מידע באשר לגופים מפעילים שאינם ממלאים את חובותיהם כלפי הגופים המוכרים תוך הקפדה על בדיקת אמינות המידע ומתן זכות טיעון לגופים אלה. את המידע הבדוק יש להעמיד לרשות הגופים המוכרים. </w:t>
      </w:r>
    </w:p>
    <w:p w:rsidR="00292A49" w:rsidRPr="00292A49" w:rsidRDefault="00292A49" w:rsidP="00292A49">
      <w:pPr>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292A49">
        <w:rPr>
          <w:rFonts w:ascii="David" w:eastAsiaTheme="minorHAnsi" w:cs="David" w:hint="cs"/>
          <w:b/>
          <w:bCs/>
          <w:color w:val="000000"/>
          <w:sz w:val="24"/>
          <w:szCs w:val="24"/>
          <w:rtl/>
        </w:rPr>
        <w:t>מעקב</w:t>
      </w:r>
    </w:p>
    <w:p w:rsidR="00292A49" w:rsidRPr="00292A49" w:rsidRDefault="00292A49" w:rsidP="00292A49">
      <w:pPr>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292A49">
        <w:rPr>
          <w:rFonts w:ascii="David" w:eastAsiaTheme="minorHAnsi" w:cs="David" w:hint="cs"/>
          <w:color w:val="000000"/>
          <w:sz w:val="24"/>
          <w:szCs w:val="24"/>
          <w:rtl/>
        </w:rPr>
        <w:t xml:space="preserve">41. </w:t>
      </w: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ראה מעקב לליקויים 10 ו- 13.</w:t>
      </w:r>
    </w:p>
    <w:p w:rsidR="00586143" w:rsidRPr="00292A49" w:rsidRDefault="00292A49" w:rsidP="00292A49">
      <w:pPr>
        <w:ind w:left="1076" w:hanging="1076"/>
        <w:rPr>
          <w:sz w:val="24"/>
          <w:rtl/>
        </w:rPr>
      </w:pPr>
      <w:r w:rsidRPr="00292A49">
        <w:rPr>
          <w:rFonts w:ascii="David" w:eastAsiaTheme="minorHAnsi" w:cs="David"/>
          <w:color w:val="000000"/>
          <w:sz w:val="24"/>
          <w:szCs w:val="24"/>
          <w:rtl/>
        </w:rPr>
        <w:tab/>
      </w:r>
      <w:r w:rsidRPr="00292A49">
        <w:rPr>
          <w:rFonts w:ascii="David" w:eastAsiaTheme="minorHAnsi" w:cs="David" w:hint="cs"/>
          <w:color w:val="000000"/>
          <w:sz w:val="24"/>
          <w:szCs w:val="24"/>
          <w:rtl/>
        </w:rPr>
        <w:t xml:space="preserve">ראה הערות רה"מ </w:t>
      </w:r>
      <w:proofErr w:type="spellStart"/>
      <w:r w:rsidRPr="00292A49">
        <w:rPr>
          <w:rFonts w:ascii="David" w:eastAsiaTheme="minorHAnsi" w:cs="David" w:hint="cs"/>
          <w:color w:val="000000"/>
          <w:sz w:val="24"/>
          <w:szCs w:val="24"/>
          <w:rtl/>
        </w:rPr>
        <w:t>60ב</w:t>
      </w:r>
      <w:proofErr w:type="spellEnd"/>
      <w:r w:rsidRPr="00292A49">
        <w:rPr>
          <w:rFonts w:ascii="David" w:eastAsiaTheme="minorHAnsi" w:cs="David" w:hint="cs"/>
          <w:color w:val="000000"/>
          <w:sz w:val="24"/>
          <w:szCs w:val="24"/>
          <w:rtl/>
        </w:rPr>
        <w:t xml:space="preserve">' </w:t>
      </w:r>
      <w:proofErr w:type="spellStart"/>
      <w:r w:rsidRPr="00292A49">
        <w:rPr>
          <w:rFonts w:ascii="David" w:eastAsiaTheme="minorHAnsi" w:cs="David" w:hint="cs"/>
          <w:color w:val="000000"/>
          <w:sz w:val="24"/>
          <w:szCs w:val="24"/>
          <w:rtl/>
        </w:rPr>
        <w:t>עמ</w:t>
      </w:r>
      <w:proofErr w:type="spellEnd"/>
      <w:r w:rsidRPr="00292A49">
        <w:rPr>
          <w:rFonts w:ascii="David" w:eastAsiaTheme="minorHAnsi" w:cs="David" w:hint="cs"/>
          <w:color w:val="000000"/>
          <w:sz w:val="24"/>
          <w:szCs w:val="24"/>
          <w:rtl/>
        </w:rPr>
        <w:t>' 265-6.</w:t>
      </w:r>
    </w:p>
    <w:sectPr w:rsidR="00586143" w:rsidRPr="00292A49" w:rsidSect="00CA3F8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32F" w:rsidRDefault="00AB432F" w:rsidP="00D6086F">
      <w:pPr>
        <w:spacing w:after="0" w:line="240" w:lineRule="auto"/>
      </w:pPr>
      <w:r>
        <w:separator/>
      </w:r>
    </w:p>
  </w:endnote>
  <w:endnote w:type="continuationSeparator" w:id="1">
    <w:p w:rsidR="00AB432F" w:rsidRDefault="00AB432F" w:rsidP="00D608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32F" w:rsidRDefault="00AB432F" w:rsidP="00D6086F">
      <w:pPr>
        <w:spacing w:after="0" w:line="240" w:lineRule="auto"/>
      </w:pPr>
      <w:r>
        <w:separator/>
      </w:r>
    </w:p>
  </w:footnote>
  <w:footnote w:type="continuationSeparator" w:id="1">
    <w:p w:rsidR="00AB432F" w:rsidRDefault="00AB432F" w:rsidP="00D608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32F" w:rsidRPr="00C7745F" w:rsidRDefault="007B7BF0" w:rsidP="00C7745F">
    <w:pPr>
      <w:pStyle w:val="a6"/>
      <w:tabs>
        <w:tab w:val="clear" w:pos="4153"/>
      </w:tabs>
      <w:ind w:left="84" w:hanging="483"/>
      <w:jc w:val="right"/>
      <w:rPr>
        <w:sz w:val="18"/>
        <w:szCs w:val="18"/>
        <w:rtl/>
      </w:rPr>
    </w:pPr>
    <w:r w:rsidRPr="00C7745F">
      <w:rPr>
        <w:sz w:val="18"/>
        <w:szCs w:val="18"/>
        <w:rtl/>
      </w:rPr>
      <w:fldChar w:fldCharType="begin"/>
    </w:r>
    <w:r w:rsidR="00AB432F" w:rsidRPr="00C7745F">
      <w:rPr>
        <w:sz w:val="18"/>
        <w:szCs w:val="18"/>
        <w:rtl/>
      </w:rPr>
      <w:instrText xml:space="preserve"> </w:instrText>
    </w:r>
    <w:r w:rsidR="00AB432F" w:rsidRPr="00C7745F">
      <w:rPr>
        <w:rFonts w:hint="cs"/>
        <w:sz w:val="18"/>
        <w:szCs w:val="18"/>
      </w:rPr>
      <w:instrText>TIME  \@ "HH:mm"  \* MERGEFORMAT</w:instrText>
    </w:r>
    <w:r w:rsidR="00AB432F" w:rsidRPr="00C7745F">
      <w:rPr>
        <w:sz w:val="18"/>
        <w:szCs w:val="18"/>
        <w:rtl/>
      </w:rPr>
      <w:instrText xml:space="preserve"> </w:instrText>
    </w:r>
    <w:r w:rsidRPr="00C7745F">
      <w:rPr>
        <w:sz w:val="18"/>
        <w:szCs w:val="18"/>
        <w:rtl/>
      </w:rPr>
      <w:fldChar w:fldCharType="separate"/>
    </w:r>
    <w:r w:rsidR="00292A49">
      <w:rPr>
        <w:noProof/>
        <w:sz w:val="18"/>
        <w:szCs w:val="18"/>
        <w:rtl/>
      </w:rPr>
      <w:t>‏12:18</w:t>
    </w:r>
    <w:r w:rsidRPr="00C7745F">
      <w:rPr>
        <w:sz w:val="18"/>
        <w:szCs w:val="18"/>
        <w:rtl/>
      </w:rPr>
      <w:fldChar w:fldCharType="end"/>
    </w:r>
    <w:r w:rsidR="00AB432F" w:rsidRPr="00C7745F">
      <w:rPr>
        <w:rFonts w:hint="cs"/>
        <w:sz w:val="18"/>
        <w:szCs w:val="18"/>
        <w:rtl/>
      </w:rPr>
      <w:t xml:space="preserve">  </w:t>
    </w:r>
    <w:r w:rsidRPr="00C7745F">
      <w:rPr>
        <w:sz w:val="18"/>
        <w:szCs w:val="18"/>
        <w:rtl/>
      </w:rPr>
      <w:fldChar w:fldCharType="begin"/>
    </w:r>
    <w:r w:rsidR="00AB432F" w:rsidRPr="00C7745F">
      <w:rPr>
        <w:sz w:val="18"/>
        <w:szCs w:val="18"/>
        <w:rtl/>
      </w:rPr>
      <w:instrText xml:space="preserve"> </w:instrText>
    </w:r>
    <w:r w:rsidR="00AB432F" w:rsidRPr="00C7745F">
      <w:rPr>
        <w:rFonts w:hint="cs"/>
        <w:sz w:val="18"/>
        <w:szCs w:val="18"/>
      </w:rPr>
      <w:instrText>DATE  \@ "yyyy-MM-dd"  \* MERGEFORMAT</w:instrText>
    </w:r>
    <w:r w:rsidR="00AB432F" w:rsidRPr="00C7745F">
      <w:rPr>
        <w:sz w:val="18"/>
        <w:szCs w:val="18"/>
        <w:rtl/>
      </w:rPr>
      <w:instrText xml:space="preserve"> </w:instrText>
    </w:r>
    <w:r w:rsidRPr="00C7745F">
      <w:rPr>
        <w:sz w:val="18"/>
        <w:szCs w:val="18"/>
        <w:rtl/>
      </w:rPr>
      <w:fldChar w:fldCharType="separate"/>
    </w:r>
    <w:r w:rsidR="00292A49">
      <w:rPr>
        <w:noProof/>
        <w:sz w:val="18"/>
        <w:szCs w:val="18"/>
        <w:rtl/>
      </w:rPr>
      <w:t>‏2010–12–12</w:t>
    </w:r>
    <w:r w:rsidRPr="00C7745F">
      <w:rPr>
        <w:sz w:val="18"/>
        <w:szCs w:val="18"/>
        <w:rtl/>
      </w:rPr>
      <w:fldChar w:fldCharType="end"/>
    </w:r>
    <w:r w:rsidR="00AB432F" w:rsidRPr="00C7745F">
      <w:rPr>
        <w:rFonts w:hint="cs"/>
        <w:sz w:val="18"/>
        <w:szCs w:val="18"/>
        <w:rtl/>
      </w:rPr>
      <w:t xml:space="preserve">   </w:t>
    </w:r>
    <w:fldSimple w:instr=" FILENAME  \* FirstCap \p  \* MERGEFORMAT ">
      <w:r w:rsidR="00B75E06" w:rsidRPr="00B75E06">
        <w:rPr>
          <w:noProof/>
          <w:sz w:val="18"/>
          <w:szCs w:val="18"/>
        </w:rPr>
        <w:t>L:\</w:t>
      </w:r>
      <w:r w:rsidR="00B75E06" w:rsidRPr="00B75E06">
        <w:rPr>
          <w:noProof/>
          <w:sz w:val="18"/>
          <w:szCs w:val="18"/>
          <w:rtl/>
        </w:rPr>
        <w:t>הספר - מעקבים 60ב\רונית ישר-אל\השירות הלאומי 60ב</w:t>
      </w:r>
      <w:r w:rsidR="00B75E06" w:rsidRPr="00B75E06">
        <w:rPr>
          <w:noProof/>
          <w:sz w:val="18"/>
          <w:szCs w:val="18"/>
        </w:rPr>
        <w:t>.docx</w:t>
      </w:r>
    </w:fldSimple>
    <w:r w:rsidR="00AB432F" w:rsidRPr="00C7745F">
      <w:rPr>
        <w:rFonts w:hint="cs"/>
        <w:sz w:val="18"/>
        <w:szCs w:val="18"/>
        <w:rtl/>
      </w:rPr>
      <w:t xml:space="preserve">    -</w:t>
    </w:r>
    <w:r w:rsidRPr="00C7745F">
      <w:rPr>
        <w:sz w:val="18"/>
        <w:szCs w:val="18"/>
        <w:rtl/>
      </w:rPr>
      <w:fldChar w:fldCharType="begin"/>
    </w:r>
    <w:r w:rsidR="00AB432F" w:rsidRPr="00C7745F">
      <w:rPr>
        <w:sz w:val="18"/>
        <w:szCs w:val="18"/>
        <w:rtl/>
      </w:rPr>
      <w:instrText xml:space="preserve"> </w:instrText>
    </w:r>
    <w:r w:rsidR="00AB432F" w:rsidRPr="00C7745F">
      <w:rPr>
        <w:sz w:val="18"/>
        <w:szCs w:val="18"/>
      </w:rPr>
      <w:instrText>PAGE   \* MERGEFORMAT</w:instrText>
    </w:r>
    <w:r w:rsidR="00AB432F" w:rsidRPr="00C7745F">
      <w:rPr>
        <w:sz w:val="18"/>
        <w:szCs w:val="18"/>
        <w:rtl/>
      </w:rPr>
      <w:instrText xml:space="preserve"> </w:instrText>
    </w:r>
    <w:r w:rsidRPr="00C7745F">
      <w:rPr>
        <w:sz w:val="18"/>
        <w:szCs w:val="18"/>
        <w:rtl/>
      </w:rPr>
      <w:fldChar w:fldCharType="separate"/>
    </w:r>
    <w:r w:rsidR="00292A49">
      <w:rPr>
        <w:noProof/>
        <w:sz w:val="18"/>
        <w:szCs w:val="18"/>
        <w:rtl/>
      </w:rPr>
      <w:t>15</w:t>
    </w:r>
    <w:r w:rsidRPr="00C7745F">
      <w:rPr>
        <w:sz w:val="18"/>
        <w:szCs w:val="18"/>
        <w:rtl/>
      </w:rPr>
      <w:fldChar w:fldCharType="end"/>
    </w:r>
    <w:r w:rsidR="00AB432F" w:rsidRPr="00C7745F">
      <w:rPr>
        <w:rFonts w:hint="cs"/>
        <w:sz w:val="18"/>
        <w:szCs w:val="18"/>
        <w:rtl/>
      </w:rPr>
      <w:t>-</w:t>
    </w:r>
  </w:p>
  <w:p w:rsidR="00AB432F" w:rsidRPr="00C7745F" w:rsidRDefault="00AB432F" w:rsidP="00C7745F">
    <w:pPr>
      <w:tabs>
        <w:tab w:val="left" w:pos="1316"/>
        <w:tab w:val="center" w:pos="4153"/>
      </w:tabs>
      <w:rPr>
        <w:rFonts w:cs="David"/>
        <w:sz w:val="18"/>
        <w:szCs w:val="18"/>
        <w:u w:val="single"/>
        <w:rtl/>
      </w:rPr>
    </w:pPr>
    <w:r w:rsidRPr="00C7745F">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7745F">
      <w:rPr>
        <w:rFonts w:cs="David" w:hint="cs"/>
        <w:sz w:val="18"/>
        <w:szCs w:val="18"/>
        <w:u w:val="single"/>
        <w:rtl/>
      </w:rPr>
      <w:t xml:space="preserve">              </w:t>
    </w:r>
    <w:sdt>
      <w:sdtPr>
        <w:rPr>
          <w:rFonts w:cs="David" w:hint="cs"/>
          <w:sz w:val="18"/>
          <w:szCs w:val="18"/>
          <w:u w:val="single"/>
          <w:rtl/>
        </w:rPr>
        <w:id w:val="605224610"/>
      </w:sdtPr>
      <w:sdtEndPr>
        <w:rPr>
          <w:rFonts w:hint="default"/>
        </w:rPr>
      </w:sdtEndPr>
      <w:sdtContent>
        <w:r w:rsidRPr="00C7745F">
          <w:rPr>
            <w:rFonts w:cs="David" w:hint="cs"/>
            <w:sz w:val="18"/>
            <w:szCs w:val="18"/>
            <w:u w:val="single"/>
            <w:rtl/>
          </w:rPr>
          <w:t>משרד המדע והטכנולוגיה</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6143"/>
    <w:rsid w:val="00000FCF"/>
    <w:rsid w:val="0000277F"/>
    <w:rsid w:val="00004E30"/>
    <w:rsid w:val="00005302"/>
    <w:rsid w:val="00006FE3"/>
    <w:rsid w:val="00011E34"/>
    <w:rsid w:val="00015793"/>
    <w:rsid w:val="000165EE"/>
    <w:rsid w:val="00016F85"/>
    <w:rsid w:val="000179D8"/>
    <w:rsid w:val="000268A6"/>
    <w:rsid w:val="00026D72"/>
    <w:rsid w:val="00027B25"/>
    <w:rsid w:val="0003199A"/>
    <w:rsid w:val="000333DD"/>
    <w:rsid w:val="00036D81"/>
    <w:rsid w:val="00041C0B"/>
    <w:rsid w:val="00042028"/>
    <w:rsid w:val="000445FA"/>
    <w:rsid w:val="0004557F"/>
    <w:rsid w:val="000507C6"/>
    <w:rsid w:val="000630EB"/>
    <w:rsid w:val="00065EAF"/>
    <w:rsid w:val="00067C19"/>
    <w:rsid w:val="00067EA0"/>
    <w:rsid w:val="000716CF"/>
    <w:rsid w:val="000719FD"/>
    <w:rsid w:val="00071D0D"/>
    <w:rsid w:val="000736BF"/>
    <w:rsid w:val="0007399F"/>
    <w:rsid w:val="00075701"/>
    <w:rsid w:val="000759CF"/>
    <w:rsid w:val="000763F7"/>
    <w:rsid w:val="00080BE5"/>
    <w:rsid w:val="000815D3"/>
    <w:rsid w:val="00082B7E"/>
    <w:rsid w:val="00083741"/>
    <w:rsid w:val="00086C0E"/>
    <w:rsid w:val="000910C7"/>
    <w:rsid w:val="00092145"/>
    <w:rsid w:val="00092C81"/>
    <w:rsid w:val="000932F4"/>
    <w:rsid w:val="000968D8"/>
    <w:rsid w:val="000A0D69"/>
    <w:rsid w:val="000A277A"/>
    <w:rsid w:val="000A52EF"/>
    <w:rsid w:val="000B125C"/>
    <w:rsid w:val="000C081D"/>
    <w:rsid w:val="000C34B3"/>
    <w:rsid w:val="000D0B48"/>
    <w:rsid w:val="000D19E9"/>
    <w:rsid w:val="000D2D1B"/>
    <w:rsid w:val="000D5288"/>
    <w:rsid w:val="000D63F1"/>
    <w:rsid w:val="000D7C0A"/>
    <w:rsid w:val="000E0617"/>
    <w:rsid w:val="000E52EF"/>
    <w:rsid w:val="000E5A78"/>
    <w:rsid w:val="000E7018"/>
    <w:rsid w:val="000F37C0"/>
    <w:rsid w:val="00100225"/>
    <w:rsid w:val="0010192D"/>
    <w:rsid w:val="00105043"/>
    <w:rsid w:val="00107D92"/>
    <w:rsid w:val="0011365A"/>
    <w:rsid w:val="00114142"/>
    <w:rsid w:val="0011537F"/>
    <w:rsid w:val="00116BF5"/>
    <w:rsid w:val="00121DE4"/>
    <w:rsid w:val="00121FF7"/>
    <w:rsid w:val="00122DD7"/>
    <w:rsid w:val="0012349E"/>
    <w:rsid w:val="00126EDE"/>
    <w:rsid w:val="001278C3"/>
    <w:rsid w:val="00127B9B"/>
    <w:rsid w:val="00130E1F"/>
    <w:rsid w:val="00136F7D"/>
    <w:rsid w:val="00140C2C"/>
    <w:rsid w:val="00140D0D"/>
    <w:rsid w:val="001420EA"/>
    <w:rsid w:val="00142F67"/>
    <w:rsid w:val="00143AB7"/>
    <w:rsid w:val="00144584"/>
    <w:rsid w:val="0014656E"/>
    <w:rsid w:val="00147B49"/>
    <w:rsid w:val="0015100E"/>
    <w:rsid w:val="001539B1"/>
    <w:rsid w:val="00154668"/>
    <w:rsid w:val="00154AC7"/>
    <w:rsid w:val="00154EF0"/>
    <w:rsid w:val="00157DB5"/>
    <w:rsid w:val="001625AF"/>
    <w:rsid w:val="00163D14"/>
    <w:rsid w:val="00165239"/>
    <w:rsid w:val="00167D66"/>
    <w:rsid w:val="0017224E"/>
    <w:rsid w:val="0017516E"/>
    <w:rsid w:val="00177E02"/>
    <w:rsid w:val="00180EC8"/>
    <w:rsid w:val="001836FE"/>
    <w:rsid w:val="00187C30"/>
    <w:rsid w:val="0019169F"/>
    <w:rsid w:val="001933CB"/>
    <w:rsid w:val="00195271"/>
    <w:rsid w:val="001A10D9"/>
    <w:rsid w:val="001B1CA0"/>
    <w:rsid w:val="001B5C4B"/>
    <w:rsid w:val="001C2382"/>
    <w:rsid w:val="001C35B9"/>
    <w:rsid w:val="001C5EE6"/>
    <w:rsid w:val="001C6A67"/>
    <w:rsid w:val="001C6BEB"/>
    <w:rsid w:val="001D137B"/>
    <w:rsid w:val="001D3E4F"/>
    <w:rsid w:val="001D65E1"/>
    <w:rsid w:val="00200638"/>
    <w:rsid w:val="00200FEC"/>
    <w:rsid w:val="0020364D"/>
    <w:rsid w:val="00204C0F"/>
    <w:rsid w:val="002057C2"/>
    <w:rsid w:val="002129B0"/>
    <w:rsid w:val="00220D24"/>
    <w:rsid w:val="0022165D"/>
    <w:rsid w:val="00222CE5"/>
    <w:rsid w:val="00223979"/>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506A"/>
    <w:rsid w:val="00265ACE"/>
    <w:rsid w:val="00267849"/>
    <w:rsid w:val="0027569F"/>
    <w:rsid w:val="00276D54"/>
    <w:rsid w:val="002823A1"/>
    <w:rsid w:val="00285976"/>
    <w:rsid w:val="00290224"/>
    <w:rsid w:val="00292A49"/>
    <w:rsid w:val="002931B1"/>
    <w:rsid w:val="00297EE1"/>
    <w:rsid w:val="002A00B9"/>
    <w:rsid w:val="002A048A"/>
    <w:rsid w:val="002A07E3"/>
    <w:rsid w:val="002A224A"/>
    <w:rsid w:val="002A29D8"/>
    <w:rsid w:val="002A6CA0"/>
    <w:rsid w:val="002A6D3D"/>
    <w:rsid w:val="002B1063"/>
    <w:rsid w:val="002B208C"/>
    <w:rsid w:val="002B426E"/>
    <w:rsid w:val="002C0C04"/>
    <w:rsid w:val="002C391A"/>
    <w:rsid w:val="002D205F"/>
    <w:rsid w:val="002E3E6C"/>
    <w:rsid w:val="002F0331"/>
    <w:rsid w:val="002F1650"/>
    <w:rsid w:val="002F305D"/>
    <w:rsid w:val="002F3436"/>
    <w:rsid w:val="002F3DCB"/>
    <w:rsid w:val="002F701F"/>
    <w:rsid w:val="00301FAC"/>
    <w:rsid w:val="00302C5A"/>
    <w:rsid w:val="003053B1"/>
    <w:rsid w:val="00306144"/>
    <w:rsid w:val="00310B9D"/>
    <w:rsid w:val="00312EDD"/>
    <w:rsid w:val="00315659"/>
    <w:rsid w:val="00315FED"/>
    <w:rsid w:val="003165A6"/>
    <w:rsid w:val="00320920"/>
    <w:rsid w:val="003209E2"/>
    <w:rsid w:val="003211C3"/>
    <w:rsid w:val="00327DE6"/>
    <w:rsid w:val="00330F9C"/>
    <w:rsid w:val="00335386"/>
    <w:rsid w:val="00340546"/>
    <w:rsid w:val="00340BD8"/>
    <w:rsid w:val="0034182D"/>
    <w:rsid w:val="00343C18"/>
    <w:rsid w:val="00347FB6"/>
    <w:rsid w:val="00354A30"/>
    <w:rsid w:val="0035545B"/>
    <w:rsid w:val="00357B86"/>
    <w:rsid w:val="00361319"/>
    <w:rsid w:val="00362155"/>
    <w:rsid w:val="00362826"/>
    <w:rsid w:val="0036323E"/>
    <w:rsid w:val="0036435B"/>
    <w:rsid w:val="00366DE0"/>
    <w:rsid w:val="003675AE"/>
    <w:rsid w:val="00371E1B"/>
    <w:rsid w:val="0037301F"/>
    <w:rsid w:val="00374902"/>
    <w:rsid w:val="003824D8"/>
    <w:rsid w:val="00383326"/>
    <w:rsid w:val="00387493"/>
    <w:rsid w:val="0038779B"/>
    <w:rsid w:val="003A0A0F"/>
    <w:rsid w:val="003A180F"/>
    <w:rsid w:val="003A2468"/>
    <w:rsid w:val="003A66C9"/>
    <w:rsid w:val="003A754C"/>
    <w:rsid w:val="003A7A2F"/>
    <w:rsid w:val="003B24C1"/>
    <w:rsid w:val="003B4E5A"/>
    <w:rsid w:val="003C1073"/>
    <w:rsid w:val="003C3CDA"/>
    <w:rsid w:val="003D3F40"/>
    <w:rsid w:val="003D4519"/>
    <w:rsid w:val="003E0075"/>
    <w:rsid w:val="003E5F67"/>
    <w:rsid w:val="003E64ED"/>
    <w:rsid w:val="003E6BE9"/>
    <w:rsid w:val="003F40DF"/>
    <w:rsid w:val="003F6275"/>
    <w:rsid w:val="00403DB4"/>
    <w:rsid w:val="00406F5B"/>
    <w:rsid w:val="00407DA3"/>
    <w:rsid w:val="00415827"/>
    <w:rsid w:val="00420AE3"/>
    <w:rsid w:val="00422886"/>
    <w:rsid w:val="0042378D"/>
    <w:rsid w:val="0043276E"/>
    <w:rsid w:val="004330E1"/>
    <w:rsid w:val="0043345C"/>
    <w:rsid w:val="00435D12"/>
    <w:rsid w:val="00436340"/>
    <w:rsid w:val="00436E05"/>
    <w:rsid w:val="004408DB"/>
    <w:rsid w:val="004435C9"/>
    <w:rsid w:val="0044476F"/>
    <w:rsid w:val="00446BB6"/>
    <w:rsid w:val="0045120A"/>
    <w:rsid w:val="00451885"/>
    <w:rsid w:val="00463BEB"/>
    <w:rsid w:val="004700D8"/>
    <w:rsid w:val="00472FDF"/>
    <w:rsid w:val="00476572"/>
    <w:rsid w:val="00481F45"/>
    <w:rsid w:val="00482B74"/>
    <w:rsid w:val="004837C7"/>
    <w:rsid w:val="00483BF5"/>
    <w:rsid w:val="004869ED"/>
    <w:rsid w:val="00487C20"/>
    <w:rsid w:val="00494862"/>
    <w:rsid w:val="004A10F0"/>
    <w:rsid w:val="004A16C6"/>
    <w:rsid w:val="004A52C4"/>
    <w:rsid w:val="004A6027"/>
    <w:rsid w:val="004B481A"/>
    <w:rsid w:val="004B4EDA"/>
    <w:rsid w:val="004B5209"/>
    <w:rsid w:val="004B6E5E"/>
    <w:rsid w:val="004C0FA2"/>
    <w:rsid w:val="004E1DA0"/>
    <w:rsid w:val="004F07E4"/>
    <w:rsid w:val="004F48F6"/>
    <w:rsid w:val="004F5F16"/>
    <w:rsid w:val="00500CDB"/>
    <w:rsid w:val="00503232"/>
    <w:rsid w:val="00503A06"/>
    <w:rsid w:val="00504D8F"/>
    <w:rsid w:val="00514686"/>
    <w:rsid w:val="00515067"/>
    <w:rsid w:val="00520EDA"/>
    <w:rsid w:val="005221EC"/>
    <w:rsid w:val="00527861"/>
    <w:rsid w:val="00541F6B"/>
    <w:rsid w:val="00546562"/>
    <w:rsid w:val="00551B56"/>
    <w:rsid w:val="00553441"/>
    <w:rsid w:val="00553E09"/>
    <w:rsid w:val="0055614C"/>
    <w:rsid w:val="00562B5A"/>
    <w:rsid w:val="00574759"/>
    <w:rsid w:val="00576359"/>
    <w:rsid w:val="00586143"/>
    <w:rsid w:val="00590AB3"/>
    <w:rsid w:val="00593D84"/>
    <w:rsid w:val="00597FA2"/>
    <w:rsid w:val="005A65DA"/>
    <w:rsid w:val="005B0421"/>
    <w:rsid w:val="005B0DB4"/>
    <w:rsid w:val="005B0E07"/>
    <w:rsid w:val="005B16EE"/>
    <w:rsid w:val="005B301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4ED9"/>
    <w:rsid w:val="005F51CE"/>
    <w:rsid w:val="005F6849"/>
    <w:rsid w:val="0060639A"/>
    <w:rsid w:val="00616436"/>
    <w:rsid w:val="00616FD7"/>
    <w:rsid w:val="00620089"/>
    <w:rsid w:val="00621A3B"/>
    <w:rsid w:val="00623D6C"/>
    <w:rsid w:val="00625AF1"/>
    <w:rsid w:val="00632D5F"/>
    <w:rsid w:val="00635DD4"/>
    <w:rsid w:val="006403E3"/>
    <w:rsid w:val="00642F61"/>
    <w:rsid w:val="00643688"/>
    <w:rsid w:val="00646E40"/>
    <w:rsid w:val="00647113"/>
    <w:rsid w:val="00657777"/>
    <w:rsid w:val="00657943"/>
    <w:rsid w:val="00657C26"/>
    <w:rsid w:val="00662D6B"/>
    <w:rsid w:val="00670D50"/>
    <w:rsid w:val="00671C8D"/>
    <w:rsid w:val="00675E94"/>
    <w:rsid w:val="00675EBC"/>
    <w:rsid w:val="0067684D"/>
    <w:rsid w:val="00680A74"/>
    <w:rsid w:val="006840A1"/>
    <w:rsid w:val="006843B2"/>
    <w:rsid w:val="00686005"/>
    <w:rsid w:val="00686BF1"/>
    <w:rsid w:val="00687C16"/>
    <w:rsid w:val="006903F7"/>
    <w:rsid w:val="00697919"/>
    <w:rsid w:val="006A18A4"/>
    <w:rsid w:val="006A1967"/>
    <w:rsid w:val="006A4DED"/>
    <w:rsid w:val="006A53B0"/>
    <w:rsid w:val="006B5615"/>
    <w:rsid w:val="006B57F7"/>
    <w:rsid w:val="006B6B58"/>
    <w:rsid w:val="006C06AA"/>
    <w:rsid w:val="006C18E4"/>
    <w:rsid w:val="006C484F"/>
    <w:rsid w:val="006D39CF"/>
    <w:rsid w:val="006D7624"/>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22A8"/>
    <w:rsid w:val="00772BBE"/>
    <w:rsid w:val="007740ED"/>
    <w:rsid w:val="007741ED"/>
    <w:rsid w:val="00774DF6"/>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B7BF0"/>
    <w:rsid w:val="007C1CDE"/>
    <w:rsid w:val="007C41E0"/>
    <w:rsid w:val="007C593D"/>
    <w:rsid w:val="007D3F87"/>
    <w:rsid w:val="007E24CC"/>
    <w:rsid w:val="007F08FB"/>
    <w:rsid w:val="007F19E9"/>
    <w:rsid w:val="007F41DC"/>
    <w:rsid w:val="008016DD"/>
    <w:rsid w:val="00803B16"/>
    <w:rsid w:val="00803F53"/>
    <w:rsid w:val="00804725"/>
    <w:rsid w:val="0080540B"/>
    <w:rsid w:val="008067C7"/>
    <w:rsid w:val="00811F13"/>
    <w:rsid w:val="00814723"/>
    <w:rsid w:val="00822130"/>
    <w:rsid w:val="0082650F"/>
    <w:rsid w:val="008304C9"/>
    <w:rsid w:val="00831442"/>
    <w:rsid w:val="00832810"/>
    <w:rsid w:val="00832905"/>
    <w:rsid w:val="00840374"/>
    <w:rsid w:val="008426E8"/>
    <w:rsid w:val="008511A9"/>
    <w:rsid w:val="00853613"/>
    <w:rsid w:val="0085384D"/>
    <w:rsid w:val="00855DC8"/>
    <w:rsid w:val="0085718B"/>
    <w:rsid w:val="008618ED"/>
    <w:rsid w:val="00864B35"/>
    <w:rsid w:val="00864ECA"/>
    <w:rsid w:val="0086648B"/>
    <w:rsid w:val="00870939"/>
    <w:rsid w:val="008739F4"/>
    <w:rsid w:val="00873D50"/>
    <w:rsid w:val="008808DF"/>
    <w:rsid w:val="00883699"/>
    <w:rsid w:val="0088773A"/>
    <w:rsid w:val="008910D0"/>
    <w:rsid w:val="00891D2E"/>
    <w:rsid w:val="00892096"/>
    <w:rsid w:val="00892795"/>
    <w:rsid w:val="00897ED5"/>
    <w:rsid w:val="008A14BF"/>
    <w:rsid w:val="008A2DE8"/>
    <w:rsid w:val="008A7C2D"/>
    <w:rsid w:val="008B1916"/>
    <w:rsid w:val="008B291A"/>
    <w:rsid w:val="008B30CE"/>
    <w:rsid w:val="008B37F2"/>
    <w:rsid w:val="008B53E3"/>
    <w:rsid w:val="008B7E4F"/>
    <w:rsid w:val="008C11BA"/>
    <w:rsid w:val="008C159B"/>
    <w:rsid w:val="008C1C3D"/>
    <w:rsid w:val="008C22CC"/>
    <w:rsid w:val="008C64D1"/>
    <w:rsid w:val="008C6D5F"/>
    <w:rsid w:val="008D03DF"/>
    <w:rsid w:val="008D12AD"/>
    <w:rsid w:val="008D5D71"/>
    <w:rsid w:val="008E120F"/>
    <w:rsid w:val="008E5439"/>
    <w:rsid w:val="008F1F82"/>
    <w:rsid w:val="008F2C98"/>
    <w:rsid w:val="008F4936"/>
    <w:rsid w:val="008F5731"/>
    <w:rsid w:val="008F629F"/>
    <w:rsid w:val="009014FF"/>
    <w:rsid w:val="00903B29"/>
    <w:rsid w:val="00903E49"/>
    <w:rsid w:val="0091023B"/>
    <w:rsid w:val="00913B1E"/>
    <w:rsid w:val="0091561F"/>
    <w:rsid w:val="00916099"/>
    <w:rsid w:val="0092271C"/>
    <w:rsid w:val="009240EB"/>
    <w:rsid w:val="0092502C"/>
    <w:rsid w:val="00925B04"/>
    <w:rsid w:val="00926FD4"/>
    <w:rsid w:val="00930CF2"/>
    <w:rsid w:val="00931C14"/>
    <w:rsid w:val="00932373"/>
    <w:rsid w:val="00932748"/>
    <w:rsid w:val="00934F1E"/>
    <w:rsid w:val="0093765A"/>
    <w:rsid w:val="00937DBF"/>
    <w:rsid w:val="00945359"/>
    <w:rsid w:val="00945995"/>
    <w:rsid w:val="00950432"/>
    <w:rsid w:val="0095330A"/>
    <w:rsid w:val="00953994"/>
    <w:rsid w:val="00964DF0"/>
    <w:rsid w:val="009712B3"/>
    <w:rsid w:val="0097235A"/>
    <w:rsid w:val="00972B87"/>
    <w:rsid w:val="00974674"/>
    <w:rsid w:val="00981B47"/>
    <w:rsid w:val="00982D4C"/>
    <w:rsid w:val="00984679"/>
    <w:rsid w:val="009876AE"/>
    <w:rsid w:val="00994ED1"/>
    <w:rsid w:val="0099660A"/>
    <w:rsid w:val="009A0B42"/>
    <w:rsid w:val="009A11FA"/>
    <w:rsid w:val="009A26E9"/>
    <w:rsid w:val="009A35F7"/>
    <w:rsid w:val="009A3693"/>
    <w:rsid w:val="009B1497"/>
    <w:rsid w:val="009B5A6F"/>
    <w:rsid w:val="009B74E0"/>
    <w:rsid w:val="009C59B5"/>
    <w:rsid w:val="009C6ADC"/>
    <w:rsid w:val="009C70AB"/>
    <w:rsid w:val="009D1EB6"/>
    <w:rsid w:val="009D6808"/>
    <w:rsid w:val="009D7F50"/>
    <w:rsid w:val="009E0415"/>
    <w:rsid w:val="009E2372"/>
    <w:rsid w:val="009F1A39"/>
    <w:rsid w:val="009F2183"/>
    <w:rsid w:val="009F429A"/>
    <w:rsid w:val="00A01866"/>
    <w:rsid w:val="00A039AE"/>
    <w:rsid w:val="00A04C8D"/>
    <w:rsid w:val="00A0616C"/>
    <w:rsid w:val="00A07117"/>
    <w:rsid w:val="00A1100C"/>
    <w:rsid w:val="00A119CC"/>
    <w:rsid w:val="00A16786"/>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4816"/>
    <w:rsid w:val="00A652D9"/>
    <w:rsid w:val="00A71269"/>
    <w:rsid w:val="00A72EA8"/>
    <w:rsid w:val="00A744AA"/>
    <w:rsid w:val="00A816A6"/>
    <w:rsid w:val="00A822FC"/>
    <w:rsid w:val="00A83096"/>
    <w:rsid w:val="00A85C6F"/>
    <w:rsid w:val="00A861A7"/>
    <w:rsid w:val="00A87B06"/>
    <w:rsid w:val="00A87F23"/>
    <w:rsid w:val="00A97269"/>
    <w:rsid w:val="00A97570"/>
    <w:rsid w:val="00A97D87"/>
    <w:rsid w:val="00AA1024"/>
    <w:rsid w:val="00AA3B02"/>
    <w:rsid w:val="00AA45FD"/>
    <w:rsid w:val="00AA58FE"/>
    <w:rsid w:val="00AA62E9"/>
    <w:rsid w:val="00AB0004"/>
    <w:rsid w:val="00AB3652"/>
    <w:rsid w:val="00AB432F"/>
    <w:rsid w:val="00AB45DE"/>
    <w:rsid w:val="00AC1F06"/>
    <w:rsid w:val="00AC72A0"/>
    <w:rsid w:val="00AC7C78"/>
    <w:rsid w:val="00AD72D7"/>
    <w:rsid w:val="00AE307F"/>
    <w:rsid w:val="00AE33AE"/>
    <w:rsid w:val="00AE33F3"/>
    <w:rsid w:val="00AE342F"/>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75E06"/>
    <w:rsid w:val="00B81761"/>
    <w:rsid w:val="00B81E86"/>
    <w:rsid w:val="00B86111"/>
    <w:rsid w:val="00B90462"/>
    <w:rsid w:val="00BA632E"/>
    <w:rsid w:val="00BA6A7A"/>
    <w:rsid w:val="00BA6AFF"/>
    <w:rsid w:val="00BA7CA1"/>
    <w:rsid w:val="00BB0A93"/>
    <w:rsid w:val="00BB564C"/>
    <w:rsid w:val="00BB742E"/>
    <w:rsid w:val="00BC0C19"/>
    <w:rsid w:val="00BC646A"/>
    <w:rsid w:val="00BD062B"/>
    <w:rsid w:val="00BD59B0"/>
    <w:rsid w:val="00BD77ED"/>
    <w:rsid w:val="00BD7B4F"/>
    <w:rsid w:val="00BE12F2"/>
    <w:rsid w:val="00BE2941"/>
    <w:rsid w:val="00BE3D11"/>
    <w:rsid w:val="00BE73C1"/>
    <w:rsid w:val="00BF3159"/>
    <w:rsid w:val="00BF34A5"/>
    <w:rsid w:val="00BF3858"/>
    <w:rsid w:val="00BF47B8"/>
    <w:rsid w:val="00BF5179"/>
    <w:rsid w:val="00BF5490"/>
    <w:rsid w:val="00C01506"/>
    <w:rsid w:val="00C02FA1"/>
    <w:rsid w:val="00C03F42"/>
    <w:rsid w:val="00C04064"/>
    <w:rsid w:val="00C05850"/>
    <w:rsid w:val="00C11821"/>
    <w:rsid w:val="00C11F82"/>
    <w:rsid w:val="00C162AA"/>
    <w:rsid w:val="00C24940"/>
    <w:rsid w:val="00C270A7"/>
    <w:rsid w:val="00C27D5A"/>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246"/>
    <w:rsid w:val="00C66C06"/>
    <w:rsid w:val="00C71B3A"/>
    <w:rsid w:val="00C71FFC"/>
    <w:rsid w:val="00C74264"/>
    <w:rsid w:val="00C77340"/>
    <w:rsid w:val="00C7745F"/>
    <w:rsid w:val="00C8097F"/>
    <w:rsid w:val="00C81091"/>
    <w:rsid w:val="00C811F5"/>
    <w:rsid w:val="00C86946"/>
    <w:rsid w:val="00C93223"/>
    <w:rsid w:val="00C976B2"/>
    <w:rsid w:val="00CA3F88"/>
    <w:rsid w:val="00CB0E26"/>
    <w:rsid w:val="00CB291C"/>
    <w:rsid w:val="00CB2E54"/>
    <w:rsid w:val="00CB4325"/>
    <w:rsid w:val="00CB655E"/>
    <w:rsid w:val="00CC1C79"/>
    <w:rsid w:val="00CC2D4E"/>
    <w:rsid w:val="00CC7D63"/>
    <w:rsid w:val="00CD13F4"/>
    <w:rsid w:val="00CD1D00"/>
    <w:rsid w:val="00CD29F8"/>
    <w:rsid w:val="00CE0D0D"/>
    <w:rsid w:val="00CE4C1B"/>
    <w:rsid w:val="00CE5C81"/>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5F67"/>
    <w:rsid w:val="00D47533"/>
    <w:rsid w:val="00D6086F"/>
    <w:rsid w:val="00D63556"/>
    <w:rsid w:val="00D64BFF"/>
    <w:rsid w:val="00D64F3B"/>
    <w:rsid w:val="00D65014"/>
    <w:rsid w:val="00D70F85"/>
    <w:rsid w:val="00D7130D"/>
    <w:rsid w:val="00D74895"/>
    <w:rsid w:val="00D766B0"/>
    <w:rsid w:val="00D85BF7"/>
    <w:rsid w:val="00D87C02"/>
    <w:rsid w:val="00D92583"/>
    <w:rsid w:val="00D94C39"/>
    <w:rsid w:val="00D95E7A"/>
    <w:rsid w:val="00DA1143"/>
    <w:rsid w:val="00DA209D"/>
    <w:rsid w:val="00DA221F"/>
    <w:rsid w:val="00DA5C61"/>
    <w:rsid w:val="00DA7040"/>
    <w:rsid w:val="00DA7A17"/>
    <w:rsid w:val="00DA7E64"/>
    <w:rsid w:val="00DB53D1"/>
    <w:rsid w:val="00DC654B"/>
    <w:rsid w:val="00DC78A0"/>
    <w:rsid w:val="00DD1D24"/>
    <w:rsid w:val="00DD3213"/>
    <w:rsid w:val="00DD3A95"/>
    <w:rsid w:val="00DD3F80"/>
    <w:rsid w:val="00DD506B"/>
    <w:rsid w:val="00DD667B"/>
    <w:rsid w:val="00DE1791"/>
    <w:rsid w:val="00DE42EE"/>
    <w:rsid w:val="00DE56B5"/>
    <w:rsid w:val="00DF4E1D"/>
    <w:rsid w:val="00DF597A"/>
    <w:rsid w:val="00E012AC"/>
    <w:rsid w:val="00E03921"/>
    <w:rsid w:val="00E10711"/>
    <w:rsid w:val="00E11320"/>
    <w:rsid w:val="00E14C49"/>
    <w:rsid w:val="00E15D0A"/>
    <w:rsid w:val="00E169F3"/>
    <w:rsid w:val="00E30746"/>
    <w:rsid w:val="00E32218"/>
    <w:rsid w:val="00E36B0A"/>
    <w:rsid w:val="00E457CA"/>
    <w:rsid w:val="00E47EAA"/>
    <w:rsid w:val="00E50C29"/>
    <w:rsid w:val="00E62FA2"/>
    <w:rsid w:val="00E716D7"/>
    <w:rsid w:val="00E71E88"/>
    <w:rsid w:val="00E72143"/>
    <w:rsid w:val="00E737D5"/>
    <w:rsid w:val="00E74621"/>
    <w:rsid w:val="00E76355"/>
    <w:rsid w:val="00E826A8"/>
    <w:rsid w:val="00E8299E"/>
    <w:rsid w:val="00E86A77"/>
    <w:rsid w:val="00E86C88"/>
    <w:rsid w:val="00E93418"/>
    <w:rsid w:val="00EA177E"/>
    <w:rsid w:val="00EA560D"/>
    <w:rsid w:val="00EA6FD2"/>
    <w:rsid w:val="00EA77BA"/>
    <w:rsid w:val="00EB0EEF"/>
    <w:rsid w:val="00EB2F81"/>
    <w:rsid w:val="00EB3273"/>
    <w:rsid w:val="00EB32B5"/>
    <w:rsid w:val="00EB4FCD"/>
    <w:rsid w:val="00EB6548"/>
    <w:rsid w:val="00EB6761"/>
    <w:rsid w:val="00EB714B"/>
    <w:rsid w:val="00EC1EFB"/>
    <w:rsid w:val="00EC2EB7"/>
    <w:rsid w:val="00ED0BDA"/>
    <w:rsid w:val="00ED2364"/>
    <w:rsid w:val="00ED2E6C"/>
    <w:rsid w:val="00ED3E2F"/>
    <w:rsid w:val="00EE39B0"/>
    <w:rsid w:val="00EF1E5E"/>
    <w:rsid w:val="00EF54E7"/>
    <w:rsid w:val="00EF576E"/>
    <w:rsid w:val="00EF58EE"/>
    <w:rsid w:val="00EF7AE6"/>
    <w:rsid w:val="00F01DAF"/>
    <w:rsid w:val="00F033AD"/>
    <w:rsid w:val="00F10641"/>
    <w:rsid w:val="00F14349"/>
    <w:rsid w:val="00F14E39"/>
    <w:rsid w:val="00F2122A"/>
    <w:rsid w:val="00F22DEC"/>
    <w:rsid w:val="00F244FC"/>
    <w:rsid w:val="00F26EF3"/>
    <w:rsid w:val="00F32F44"/>
    <w:rsid w:val="00F35382"/>
    <w:rsid w:val="00F37E83"/>
    <w:rsid w:val="00F43283"/>
    <w:rsid w:val="00F448C1"/>
    <w:rsid w:val="00F44EE5"/>
    <w:rsid w:val="00F50443"/>
    <w:rsid w:val="00F53382"/>
    <w:rsid w:val="00F54142"/>
    <w:rsid w:val="00F55152"/>
    <w:rsid w:val="00F626FE"/>
    <w:rsid w:val="00F64252"/>
    <w:rsid w:val="00F66AAA"/>
    <w:rsid w:val="00F72306"/>
    <w:rsid w:val="00F7336E"/>
    <w:rsid w:val="00F77793"/>
    <w:rsid w:val="00F90BE4"/>
    <w:rsid w:val="00F913EB"/>
    <w:rsid w:val="00F9150D"/>
    <w:rsid w:val="00F935A6"/>
    <w:rsid w:val="00FA601C"/>
    <w:rsid w:val="00FA7205"/>
    <w:rsid w:val="00FB131F"/>
    <w:rsid w:val="00FB4A9C"/>
    <w:rsid w:val="00FB5306"/>
    <w:rsid w:val="00FB5547"/>
    <w:rsid w:val="00FB5E89"/>
    <w:rsid w:val="00FC10C7"/>
    <w:rsid w:val="00FC134A"/>
    <w:rsid w:val="00FC1583"/>
    <w:rsid w:val="00FC1CD4"/>
    <w:rsid w:val="00FC238D"/>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6143"/>
    <w:pPr>
      <w:bidi/>
    </w:pPr>
    <w:rPr>
      <w:rFonts w:ascii="Calibri" w:eastAsia="Times New Roman" w:hAnsi="Calibri" w:cs="Arial"/>
    </w:rPr>
  </w:style>
  <w:style w:type="paragraph" w:styleId="1">
    <w:name w:val="heading 1"/>
    <w:basedOn w:val="a"/>
    <w:next w:val="a"/>
    <w:link w:val="10"/>
    <w:qFormat/>
    <w:rsid w:val="00586143"/>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586143"/>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586143"/>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586143"/>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586143"/>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586143"/>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586143"/>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586143"/>
    <w:rPr>
      <w:rFonts w:ascii="Cambria" w:eastAsia="Calibri" w:hAnsi="Cambria" w:cs="Times New Roman"/>
      <w:b/>
      <w:bCs/>
      <w:color w:val="4F81BD"/>
      <w:sz w:val="26"/>
      <w:szCs w:val="26"/>
    </w:rPr>
  </w:style>
  <w:style w:type="character" w:customStyle="1" w:styleId="30">
    <w:name w:val="כותרת 3 תו"/>
    <w:basedOn w:val="a0"/>
    <w:link w:val="3"/>
    <w:rsid w:val="00586143"/>
    <w:rPr>
      <w:rFonts w:ascii="Cambria" w:eastAsia="Calibri" w:hAnsi="Cambria" w:cs="Times New Roman"/>
      <w:b/>
      <w:bCs/>
      <w:color w:val="4F81BD"/>
    </w:rPr>
  </w:style>
  <w:style w:type="character" w:customStyle="1" w:styleId="40">
    <w:name w:val="כותרת 4 תו"/>
    <w:basedOn w:val="a0"/>
    <w:link w:val="4"/>
    <w:rsid w:val="00586143"/>
    <w:rPr>
      <w:rFonts w:ascii="Cambria" w:eastAsia="Calibri" w:hAnsi="Cambria" w:cs="Times New Roman"/>
      <w:b/>
      <w:bCs/>
      <w:i/>
      <w:iCs/>
      <w:color w:val="4F81BD"/>
    </w:rPr>
  </w:style>
  <w:style w:type="character" w:customStyle="1" w:styleId="50">
    <w:name w:val="כותרת 5 תו"/>
    <w:basedOn w:val="a0"/>
    <w:link w:val="5"/>
    <w:uiPriority w:val="99"/>
    <w:rsid w:val="00586143"/>
    <w:rPr>
      <w:rFonts w:ascii="Cambria" w:eastAsia="Calibri" w:hAnsi="Cambria" w:cs="Times New Roman"/>
      <w:color w:val="243F60"/>
      <w:sz w:val="20"/>
      <w:szCs w:val="24"/>
      <w:lang w:eastAsia="he-IL"/>
    </w:rPr>
  </w:style>
  <w:style w:type="character" w:customStyle="1" w:styleId="70">
    <w:name w:val="כותרת 7 תו"/>
    <w:basedOn w:val="a0"/>
    <w:link w:val="7"/>
    <w:rsid w:val="00586143"/>
    <w:rPr>
      <w:rFonts w:ascii="Times New Roman" w:eastAsia="Calibri" w:hAnsi="Times New Roman" w:cs="David"/>
      <w:b/>
      <w:bCs/>
      <w:spacing w:val="40"/>
      <w:sz w:val="24"/>
      <w:szCs w:val="24"/>
      <w:lang w:eastAsia="he-IL"/>
    </w:rPr>
  </w:style>
  <w:style w:type="paragraph" w:styleId="a3">
    <w:name w:val="caption"/>
    <w:basedOn w:val="a"/>
    <w:next w:val="a"/>
    <w:qFormat/>
    <w:rsid w:val="00586143"/>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586143"/>
    <w:pPr>
      <w:spacing w:after="0" w:line="240" w:lineRule="auto"/>
    </w:pPr>
    <w:rPr>
      <w:rFonts w:ascii="Tahoma" w:hAnsi="Tahoma" w:cs="Tahoma"/>
      <w:sz w:val="16"/>
      <w:szCs w:val="16"/>
    </w:rPr>
  </w:style>
  <w:style w:type="character" w:customStyle="1" w:styleId="a5">
    <w:name w:val="טקסט בלונים תו"/>
    <w:basedOn w:val="a0"/>
    <w:link w:val="a4"/>
    <w:semiHidden/>
    <w:rsid w:val="00586143"/>
    <w:rPr>
      <w:rFonts w:ascii="Tahoma" w:eastAsia="Times New Roman" w:hAnsi="Tahoma" w:cs="Tahoma"/>
      <w:sz w:val="16"/>
      <w:szCs w:val="16"/>
    </w:rPr>
  </w:style>
  <w:style w:type="paragraph" w:customStyle="1" w:styleId="11">
    <w:name w:val="פיסקת רשימה1"/>
    <w:basedOn w:val="a"/>
    <w:rsid w:val="00586143"/>
    <w:pPr>
      <w:ind w:left="720"/>
      <w:contextualSpacing/>
    </w:pPr>
  </w:style>
  <w:style w:type="paragraph" w:styleId="a6">
    <w:name w:val="header"/>
    <w:basedOn w:val="a"/>
    <w:link w:val="a7"/>
    <w:rsid w:val="00586143"/>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586143"/>
    <w:rPr>
      <w:rFonts w:ascii="Times New Roman" w:eastAsia="Calibri" w:hAnsi="Times New Roman" w:cs="David"/>
      <w:iCs/>
      <w:sz w:val="24"/>
      <w:szCs w:val="24"/>
      <w:lang w:eastAsia="he-IL"/>
    </w:rPr>
  </w:style>
  <w:style w:type="paragraph" w:styleId="a8">
    <w:name w:val="footer"/>
    <w:basedOn w:val="a"/>
    <w:link w:val="a9"/>
    <w:semiHidden/>
    <w:rsid w:val="00586143"/>
    <w:pPr>
      <w:tabs>
        <w:tab w:val="center" w:pos="4153"/>
        <w:tab w:val="right" w:pos="8306"/>
      </w:tabs>
      <w:spacing w:after="0" w:line="240" w:lineRule="auto"/>
    </w:pPr>
  </w:style>
  <w:style w:type="character" w:customStyle="1" w:styleId="a9">
    <w:name w:val="כותרת תחתונה תו"/>
    <w:basedOn w:val="a0"/>
    <w:link w:val="a8"/>
    <w:semiHidden/>
    <w:rsid w:val="00586143"/>
    <w:rPr>
      <w:rFonts w:ascii="Calibri" w:eastAsia="Times New Roman" w:hAnsi="Calibri" w:cs="Arial"/>
    </w:rPr>
  </w:style>
  <w:style w:type="character" w:customStyle="1" w:styleId="21">
    <w:name w:val="תו תו2"/>
    <w:basedOn w:val="a0"/>
    <w:rsid w:val="00586143"/>
    <w:rPr>
      <w:rFonts w:cs="David"/>
      <w:b/>
      <w:bCs/>
      <w:spacing w:val="40"/>
      <w:sz w:val="24"/>
      <w:szCs w:val="24"/>
      <w:lang w:val="en-US" w:eastAsia="he-IL" w:bidi="he-IL"/>
    </w:rPr>
  </w:style>
  <w:style w:type="paragraph" w:customStyle="1" w:styleId="aa">
    <w:name w:val="נבנצלים"/>
    <w:basedOn w:val="a"/>
    <w:next w:val="a"/>
    <w:link w:val="ab"/>
    <w:rsid w:val="00586143"/>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586143"/>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586143"/>
    <w:rPr>
      <w:rFonts w:ascii="Times New Roman" w:eastAsia="Calibri" w:hAnsi="Times New Roman" w:cs="David"/>
      <w:sz w:val="20"/>
      <w:szCs w:val="20"/>
      <w:lang w:eastAsia="he-IL"/>
    </w:rPr>
  </w:style>
  <w:style w:type="character" w:styleId="ac">
    <w:name w:val="footnote reference"/>
    <w:basedOn w:val="a0"/>
    <w:semiHidden/>
    <w:rsid w:val="00586143"/>
    <w:rPr>
      <w:rFonts w:cs="Times New Roman"/>
      <w:vertAlign w:val="superscript"/>
    </w:rPr>
  </w:style>
  <w:style w:type="paragraph" w:styleId="NormalWeb">
    <w:name w:val="Normal (Web)"/>
    <w:basedOn w:val="a"/>
    <w:semiHidden/>
    <w:rsid w:val="00586143"/>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586143"/>
    <w:rPr>
      <w:rFonts w:ascii="Times New Roman" w:hAnsi="Times New Roman" w:cs="David"/>
      <w:b/>
      <w:bCs/>
      <w:spacing w:val="40"/>
      <w:sz w:val="24"/>
      <w:szCs w:val="24"/>
      <w:lang w:eastAsia="he-IL" w:bidi="he-IL"/>
    </w:rPr>
  </w:style>
  <w:style w:type="paragraph" w:styleId="ad">
    <w:name w:val="footnote text"/>
    <w:basedOn w:val="a"/>
    <w:link w:val="ae"/>
    <w:semiHidden/>
    <w:rsid w:val="00586143"/>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586143"/>
    <w:rPr>
      <w:rFonts w:ascii="Times New Roman" w:eastAsia="Calibri" w:hAnsi="Times New Roman" w:cs="David"/>
      <w:sz w:val="24"/>
      <w:szCs w:val="20"/>
      <w:lang w:eastAsia="he-IL"/>
    </w:rPr>
  </w:style>
  <w:style w:type="character" w:styleId="af">
    <w:name w:val="annotation reference"/>
    <w:basedOn w:val="a0"/>
    <w:semiHidden/>
    <w:rsid w:val="00586143"/>
    <w:rPr>
      <w:rFonts w:ascii="Times New Roman" w:hAnsi="Times New Roman" w:cs="Times New Roman"/>
      <w:sz w:val="16"/>
      <w:szCs w:val="16"/>
    </w:rPr>
  </w:style>
  <w:style w:type="table" w:styleId="af0">
    <w:name w:val="Table Grid"/>
    <w:basedOn w:val="a1"/>
    <w:rsid w:val="00586143"/>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292A4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1">
    <w:name w:val="כותרת מאמר"/>
    <w:basedOn w:val="a"/>
    <w:uiPriority w:val="99"/>
    <w:rsid w:val="00292A4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f2">
    <w:name w:val="טקסט רץ"/>
    <w:basedOn w:val="a"/>
    <w:next w:val="a"/>
    <w:uiPriority w:val="99"/>
    <w:rsid w:val="00292A49"/>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76BC"/>
    <w:rsid w:val="001D6DD0"/>
    <w:rsid w:val="001E7FBF"/>
    <w:rsid w:val="00283D8B"/>
    <w:rsid w:val="004B5624"/>
    <w:rsid w:val="005B7376"/>
    <w:rsid w:val="00834F7C"/>
    <w:rsid w:val="009D5DED"/>
    <w:rsid w:val="00A51FD6"/>
    <w:rsid w:val="00AE45B2"/>
    <w:rsid w:val="00B276BC"/>
    <w:rsid w:val="00BA5513"/>
    <w:rsid w:val="00BB3DA7"/>
    <w:rsid w:val="00CA6C42"/>
    <w:rsid w:val="00EF678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DD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6C42"/>
    <w:rPr>
      <w:color w:val="808080"/>
    </w:rPr>
  </w:style>
  <w:style w:type="paragraph" w:customStyle="1" w:styleId="3ED6E64776A049A98074BDF0C52620E3">
    <w:name w:val="3ED6E64776A049A98074BDF0C52620E3"/>
    <w:rsid w:val="00B276BC"/>
    <w:pPr>
      <w:bidi/>
    </w:pPr>
  </w:style>
  <w:style w:type="paragraph" w:customStyle="1" w:styleId="15AC0081D09A4662906D2B87E0AA86C9">
    <w:name w:val="15AC0081D09A4662906D2B87E0AA86C9"/>
    <w:rsid w:val="00CA6C42"/>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50E3A-01D1-4F92-B952-87DB2086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5099</Words>
  <Characters>25497</Characters>
  <Application>Microsoft Office Word</Application>
  <DocSecurity>0</DocSecurity>
  <Lines>212</Lines>
  <Paragraphs>61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30535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AMD1</cp:lastModifiedBy>
  <cp:revision>2</cp:revision>
  <dcterms:created xsi:type="dcterms:W3CDTF">2010-12-12T10:21:00Z</dcterms:created>
  <dcterms:modified xsi:type="dcterms:W3CDTF">2010-12-12T10:21:00Z</dcterms:modified>
</cp:coreProperties>
</file>