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737" w:rsidRPr="004B1737" w:rsidRDefault="004B1737" w:rsidP="004B173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4B1737">
        <w:rPr>
          <w:rFonts w:ascii="David" w:eastAsiaTheme="minorHAnsi" w:hAnsiTheme="minorHAnsi" w:cs="David" w:hint="cs"/>
          <w:b/>
          <w:bCs/>
          <w:color w:val="000000"/>
          <w:sz w:val="36"/>
          <w:szCs w:val="36"/>
          <w:rtl/>
        </w:rPr>
        <w:t>משרד האוצר</w:t>
      </w:r>
    </w:p>
    <w:p w:rsidR="004B1737" w:rsidRPr="004B1737" w:rsidRDefault="004B1737" w:rsidP="004B173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4B1737">
        <w:rPr>
          <w:rFonts w:ascii="David" w:eastAsiaTheme="minorHAnsi" w:hAnsiTheme="minorHAnsi" w:cs="David" w:hint="cs"/>
          <w:b/>
          <w:bCs/>
          <w:color w:val="000000"/>
          <w:sz w:val="32"/>
          <w:szCs w:val="32"/>
          <w:rtl/>
        </w:rPr>
        <w:t>רשות המסים בישראל</w:t>
      </w:r>
    </w:p>
    <w:p w:rsidR="004B1737" w:rsidRPr="004B1737" w:rsidRDefault="004B1737" w:rsidP="004B173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4B1737">
        <w:rPr>
          <w:rFonts w:ascii="David" w:eastAsiaTheme="minorHAnsi" w:hAnsiTheme="minorHAnsi" w:cs="David" w:hint="cs"/>
          <w:b/>
          <w:bCs/>
          <w:color w:val="000000"/>
          <w:sz w:val="32"/>
          <w:szCs w:val="32"/>
          <w:rtl/>
        </w:rPr>
        <w:t>פיקוח רשות המסים על העמידה בתנאי החוק</w:t>
      </w:r>
      <w:r w:rsidRPr="004B1737">
        <w:rPr>
          <w:rFonts w:ascii="David" w:eastAsiaTheme="minorHAnsi" w:hAnsiTheme="minorHAnsi" w:cs="David"/>
          <w:b/>
          <w:bCs/>
          <w:color w:val="000000"/>
          <w:sz w:val="32"/>
          <w:szCs w:val="32"/>
          <w:rtl/>
        </w:rPr>
        <w:br/>
      </w:r>
      <w:r w:rsidRPr="004B1737">
        <w:rPr>
          <w:rFonts w:ascii="David" w:eastAsiaTheme="minorHAnsi" w:hAnsiTheme="minorHAnsi" w:cs="David" w:hint="cs"/>
          <w:b/>
          <w:bCs/>
          <w:color w:val="000000"/>
          <w:sz w:val="32"/>
          <w:szCs w:val="32"/>
          <w:rtl/>
        </w:rPr>
        <w:t>לעידוד השקעות הון</w:t>
      </w:r>
    </w:p>
    <w:p w:rsidR="004B1737" w:rsidRPr="004B1737" w:rsidRDefault="004B1737" w:rsidP="004B1737">
      <w:pPr>
        <w:suppressAutoHyphens/>
        <w:autoSpaceDE w:val="0"/>
        <w:autoSpaceDN w:val="0"/>
        <w:adjustRightInd w:val="0"/>
        <w:spacing w:after="170" w:line="260" w:lineRule="atLeast"/>
        <w:jc w:val="both"/>
        <w:textAlignment w:val="center"/>
        <w:rPr>
          <w:rFonts w:ascii="David" w:eastAsiaTheme="minorHAnsi" w:hAnsiTheme="minorHAnsi" w:cs="David"/>
          <w:b/>
          <w:bCs/>
          <w:color w:val="000000"/>
          <w:szCs w:val="24"/>
          <w:rtl/>
        </w:rPr>
      </w:pPr>
      <w:r w:rsidRPr="004B1737">
        <w:rPr>
          <w:rFonts w:ascii="David" w:eastAsiaTheme="minorHAnsi" w:hAnsiTheme="minorHAnsi" w:cs="David" w:hint="cs"/>
          <w:b/>
          <w:bCs/>
          <w:color w:val="000000"/>
          <w:spacing w:val="-2"/>
          <w:szCs w:val="24"/>
          <w:rtl/>
        </w:rPr>
        <w:t>הגופים המבוקרים: משרד האוצר - רשות המסים בישראל; משרד התעשייה, המסחר והתעסוקה - מרכז ההשקעות</w:t>
      </w: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r w:rsidRPr="004B1737">
        <w:rPr>
          <w:rFonts w:ascii="David" w:eastAsiaTheme="minorHAnsi" w:hAnsiTheme="minorHAnsi" w:cs="David" w:hint="cs"/>
          <w:b/>
          <w:bCs/>
          <w:color w:val="000000"/>
          <w:sz w:val="24"/>
          <w:szCs w:val="24"/>
          <w:rtl/>
        </w:rPr>
        <w:t>ליקוי</w:t>
      </w:r>
    </w:p>
    <w:p w:rsidR="004B1737" w:rsidRPr="004B1737" w:rsidRDefault="004B1737" w:rsidP="004B1737">
      <w:pPr>
        <w:suppressAutoHyphens/>
        <w:autoSpaceDE w:val="0"/>
        <w:autoSpaceDN w:val="0"/>
        <w:adjustRightInd w:val="0"/>
        <w:spacing w:after="0" w:line="288" w:lineRule="auto"/>
        <w:ind w:left="516" w:hanging="516"/>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 xml:space="preserve">1. </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 xml:space="preserve">הביקורת העלתה כי רשות המסים בישראל, במסגרת שומות שהיא עושה למפעלים מאושרים, אינה מקיימת בקרה מספקת על עמידתם בתנאים שנקבעו להם. עקב כך מתעורר חשש כי המדינה מאבדת הכנסות ממסים בסכום ניכר. על הרשות לבחון את הממצאים שהועלו בדוח זה ולגבש מדיניות חדשה לטיפול שומתי במפעלים מאושרים שבמסגרתה ישופרו סדרי בדיקות השומות של המפעלים המאושרים. </w:t>
      </w: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r w:rsidRPr="004B1737">
        <w:rPr>
          <w:rFonts w:ascii="David" w:eastAsiaTheme="minorHAnsi" w:hAnsiTheme="minorHAnsi" w:cs="David" w:hint="cs"/>
          <w:b/>
          <w:bCs/>
          <w:color w:val="000000"/>
          <w:sz w:val="24"/>
          <w:szCs w:val="24"/>
          <w:rtl/>
        </w:rPr>
        <w:t>ליקוי</w:t>
      </w:r>
    </w:p>
    <w:p w:rsidR="004B1737" w:rsidRPr="004B1737" w:rsidRDefault="004B1737" w:rsidP="004B1737">
      <w:pPr>
        <w:suppressAutoHyphens/>
        <w:autoSpaceDE w:val="0"/>
        <w:autoSpaceDN w:val="0"/>
        <w:adjustRightInd w:val="0"/>
        <w:spacing w:after="0" w:line="288" w:lineRule="auto"/>
        <w:ind w:left="516" w:hanging="516"/>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2.</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 xml:space="preserve">בתכניות העבודה של הרשות לשנת 2005 ואילך נקבע כי תינתן עדיפות גבוהה לטיפול בתיקי מפעלים מאושרים. אולם, בשנים האחרונות פחת במידה ניכרת מספר תיקי המפעלים המאושרים הנבדקים במסגרת תכנית העבודה השנתית של הרשות. </w:t>
      </w: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r w:rsidRPr="004B1737">
        <w:rPr>
          <w:rFonts w:ascii="David" w:eastAsiaTheme="minorHAnsi" w:hAnsiTheme="minorHAnsi" w:cs="David" w:hint="cs"/>
          <w:b/>
          <w:bCs/>
          <w:color w:val="000000"/>
          <w:sz w:val="24"/>
          <w:szCs w:val="24"/>
          <w:rtl/>
        </w:rPr>
        <w:t>ליקוי</w:t>
      </w:r>
    </w:p>
    <w:p w:rsidR="004B1737" w:rsidRPr="004B1737" w:rsidRDefault="004B1737" w:rsidP="004B1737">
      <w:pPr>
        <w:suppressAutoHyphens/>
        <w:autoSpaceDE w:val="0"/>
        <w:autoSpaceDN w:val="0"/>
        <w:adjustRightInd w:val="0"/>
        <w:spacing w:after="0" w:line="288" w:lineRule="auto"/>
        <w:ind w:left="516" w:hanging="516"/>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3.</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בביקורת נבדקו 25 תיקים של מפעלים מאושרים. בתיקים לא נמצאו העתקים מתכניות שיווק, אף שמתן ההטבות מותנה בביצוען.</w:t>
      </w: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r w:rsidRPr="004B1737">
        <w:rPr>
          <w:rFonts w:ascii="David" w:eastAsiaTheme="minorHAnsi" w:hAnsiTheme="minorHAnsi" w:cs="David" w:hint="cs"/>
          <w:b/>
          <w:bCs/>
          <w:color w:val="000000"/>
          <w:sz w:val="24"/>
          <w:szCs w:val="24"/>
          <w:rtl/>
        </w:rPr>
        <w:t>ליקוי</w:t>
      </w:r>
    </w:p>
    <w:p w:rsidR="004B1737" w:rsidRPr="004B1737" w:rsidRDefault="004B1737" w:rsidP="004B1737">
      <w:pPr>
        <w:suppressAutoHyphens/>
        <w:autoSpaceDE w:val="0"/>
        <w:autoSpaceDN w:val="0"/>
        <w:adjustRightInd w:val="0"/>
        <w:spacing w:after="0" w:line="288" w:lineRule="auto"/>
        <w:ind w:left="516" w:hanging="516"/>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4.</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הרשות לא קבעה הסדרי דיווח שיאפשרו לה לקבל מידע עדכני על מפעלים מאושרים שאינם עומדים בתנאי כתב האישור. בהיעדר מידע זה, אין הרשות יכולה לפעול במקרי הצורך במהירות וביעילות, לחיוב המפעלים האמורים במלוא סכום המס שעליהם לשלם.</w:t>
      </w:r>
    </w:p>
    <w:p w:rsidR="004B1737" w:rsidRPr="004B1737" w:rsidRDefault="004B1737" w:rsidP="004B173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sz w:val="24"/>
          <w:szCs w:val="24"/>
          <w:rtl/>
        </w:rPr>
      </w:pPr>
      <w:r w:rsidRPr="004B1737">
        <w:rPr>
          <w:rFonts w:ascii="David" w:eastAsiaTheme="minorHAnsi" w:hAnsiTheme="minorHAnsi" w:cs="David" w:hint="cs"/>
          <w:b/>
          <w:bCs/>
          <w:color w:val="000000"/>
          <w:sz w:val="24"/>
          <w:szCs w:val="24"/>
          <w:rtl/>
        </w:rPr>
        <w:t>ליקוי</w:t>
      </w:r>
    </w:p>
    <w:p w:rsidR="004B1737" w:rsidRPr="004B1737" w:rsidRDefault="004B1737" w:rsidP="004B1737">
      <w:pPr>
        <w:suppressAutoHyphens/>
        <w:autoSpaceDE w:val="0"/>
        <w:autoSpaceDN w:val="0"/>
        <w:adjustRightInd w:val="0"/>
        <w:spacing w:after="0" w:line="288" w:lineRule="auto"/>
        <w:ind w:left="516" w:hanging="516"/>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5.</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 xml:space="preserve">ב-31.12.06 הפכו כ-46% מהשומות העצמיות של מפעלים מאושרים לשנים 2002-1999 לשומות סופיות, בלא שהן נבדקו. בהיעדר טיפול של משרדי השומה בשומות הללו, זכו מפעלים להטבות מס בלא שנבדקה באופן מעמיק עמידתם בתנאים שנקבעו בכתב האישור. </w:t>
      </w:r>
    </w:p>
    <w:p w:rsidR="004B1737" w:rsidRPr="004B1737" w:rsidRDefault="004B1737" w:rsidP="004B173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B1737" w:rsidRPr="004B1737" w:rsidRDefault="004B1737" w:rsidP="004B173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B1737">
        <w:rPr>
          <w:rFonts w:ascii="David" w:eastAsiaTheme="minorHAnsi" w:hAnsi="Times New Roman" w:cs="David" w:hint="cs"/>
          <w:b/>
          <w:bCs/>
          <w:color w:val="000000"/>
          <w:sz w:val="24"/>
          <w:szCs w:val="24"/>
          <w:rtl/>
        </w:rPr>
        <w:t>מעקב</w:t>
      </w:r>
    </w:p>
    <w:p w:rsidR="004B1737" w:rsidRPr="004B1737" w:rsidRDefault="004B1737" w:rsidP="004B173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B1737">
        <w:rPr>
          <w:rFonts w:ascii="David" w:eastAsiaTheme="minorHAnsi" w:hAnsi="Times New Roman" w:cs="David" w:hint="cs"/>
          <w:b/>
          <w:bCs/>
          <w:color w:val="000000"/>
          <w:sz w:val="24"/>
          <w:szCs w:val="24"/>
          <w:rtl/>
        </w:rPr>
        <w:t>רשות המסים בישראל</w:t>
      </w:r>
    </w:p>
    <w:p w:rsidR="004B1737" w:rsidRPr="004B1737" w:rsidRDefault="004B1737" w:rsidP="004B173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B1737" w:rsidRPr="004B1737" w:rsidRDefault="004B1737" w:rsidP="004B1737">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B1737">
        <w:rPr>
          <w:rFonts w:ascii="David" w:eastAsiaTheme="minorHAnsi" w:hAnsi="Times New Roman" w:cs="David" w:hint="cs"/>
          <w:color w:val="000000"/>
          <w:sz w:val="24"/>
          <w:szCs w:val="24"/>
          <w:rtl/>
        </w:rPr>
        <w:t xml:space="preserve">1-5. </w:t>
      </w:r>
      <w:r w:rsidRPr="004B1737">
        <w:rPr>
          <w:rFonts w:ascii="David" w:eastAsiaTheme="minorHAnsi" w:hAnsi="Times New Roman" w:cs="David"/>
          <w:color w:val="000000"/>
          <w:sz w:val="24"/>
          <w:szCs w:val="24"/>
          <w:rtl/>
        </w:rPr>
        <w:tab/>
      </w:r>
      <w:r w:rsidRPr="004B1737">
        <w:rPr>
          <w:rFonts w:ascii="David" w:eastAsiaTheme="minorHAnsi" w:hAnsi="Times New Roman" w:cs="David" w:hint="cs"/>
          <w:color w:val="000000"/>
          <w:sz w:val="24"/>
          <w:szCs w:val="24"/>
          <w:rtl/>
        </w:rPr>
        <w:t>קיימת התייחסות למפעלים להם יש אישור כ"מפעל מאושר". הפרמטר לבחירת תיקים לתוכנית העבודה של "מפעל מאושר" הינו בעל משקל גבוה יחסית; אם יש למפעל "אישור ביצוע" של מרכז ההשקעות, ואינו מתחיל בפעילות או שעדיין אין לו הכנסות, אינו מטופל שומתית עד קיום הכנסות ממנו.</w:t>
      </w:r>
    </w:p>
    <w:p w:rsidR="009021C2" w:rsidRPr="004B1737" w:rsidRDefault="004B1737" w:rsidP="004B1737">
      <w:pPr>
        <w:rPr>
          <w:szCs w:val="24"/>
        </w:rPr>
      </w:pPr>
      <w:r w:rsidRPr="004B1737">
        <w:rPr>
          <w:rFonts w:ascii="David" w:eastAsiaTheme="minorHAnsi" w:hAnsi="Times New Roman" w:cs="David"/>
          <w:color w:val="000000"/>
          <w:sz w:val="24"/>
          <w:szCs w:val="24"/>
          <w:rtl/>
        </w:rPr>
        <w:lastRenderedPageBreak/>
        <w:tab/>
      </w:r>
      <w:r w:rsidRPr="004B1737">
        <w:rPr>
          <w:rFonts w:ascii="David" w:eastAsiaTheme="minorHAnsi" w:hAnsi="Times New Roman" w:cs="David" w:hint="cs"/>
          <w:color w:val="000000"/>
          <w:sz w:val="24"/>
          <w:szCs w:val="24"/>
          <w:rtl/>
        </w:rPr>
        <w:t>החל משנת 2004, ניתן לדרוש הטבות גם במסלול "מפעל מוטב", בו לא נדרשת כלל פנייה למרכז ההשקעות. משקלו של מסלול זה הלך ועלה עם השנים (במקביל לצמצום תקציב מרכז ההשקעות). מסלול זה ממוחשב באופן מפורט, לכן בתוכנית העבודה ניתן להיות סלקטיביים בבחירה, ולקבל תוצאות מיטביות בבדיקה, גם במספר קטן של תיקים.</w:t>
      </w:r>
    </w:p>
    <w:sectPr w:rsidR="009021C2" w:rsidRPr="004B1737" w:rsidSect="00533C7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744" w:rsidRDefault="002C4744" w:rsidP="002C4744">
      <w:pPr>
        <w:spacing w:after="0" w:line="240" w:lineRule="auto"/>
      </w:pPr>
      <w:r>
        <w:separator/>
      </w:r>
    </w:p>
  </w:endnote>
  <w:endnote w:type="continuationSeparator" w:id="1">
    <w:p w:rsidR="002C4744" w:rsidRDefault="002C4744" w:rsidP="002C4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EB" w:rsidRDefault="000777E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EB" w:rsidRDefault="000777E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EB" w:rsidRDefault="000777E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744" w:rsidRDefault="002C4744" w:rsidP="002C4744">
      <w:pPr>
        <w:spacing w:after="0" w:line="240" w:lineRule="auto"/>
      </w:pPr>
      <w:r>
        <w:separator/>
      </w:r>
    </w:p>
  </w:footnote>
  <w:footnote w:type="continuationSeparator" w:id="1">
    <w:p w:rsidR="002C4744" w:rsidRDefault="002C4744" w:rsidP="002C47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EB" w:rsidRDefault="000777E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744" w:rsidRPr="00B45DE5" w:rsidRDefault="00D07797" w:rsidP="002C4744">
    <w:pPr>
      <w:tabs>
        <w:tab w:val="right" w:pos="8306"/>
      </w:tabs>
      <w:rPr>
        <w:noProof/>
        <w:sz w:val="16"/>
        <w:szCs w:val="16"/>
        <w:rtl/>
      </w:rPr>
    </w:pPr>
    <w:r w:rsidRPr="00B45DE5">
      <w:rPr>
        <w:rFonts w:cs="David" w:hint="cs"/>
        <w:sz w:val="16"/>
        <w:szCs w:val="16"/>
        <w:rtl/>
      </w:rPr>
      <w:fldChar w:fldCharType="begin"/>
    </w:r>
    <w:r w:rsidR="002C4744" w:rsidRPr="00B45DE5">
      <w:rPr>
        <w:rFonts w:cs="David" w:hint="cs"/>
        <w:sz w:val="16"/>
        <w:szCs w:val="16"/>
        <w:rtl/>
      </w:rPr>
      <w:instrText xml:space="preserve"> </w:instrText>
    </w:r>
    <w:r w:rsidR="002C4744" w:rsidRPr="00B45DE5">
      <w:rPr>
        <w:rFonts w:cs="David"/>
        <w:sz w:val="16"/>
        <w:szCs w:val="16"/>
      </w:rPr>
      <w:instrText>TIME  \@ "HH:mm"  \* MERGEFORMAT</w:instrText>
    </w:r>
    <w:r w:rsidR="002C4744" w:rsidRPr="00B45DE5">
      <w:rPr>
        <w:rFonts w:cs="David"/>
        <w:sz w:val="16"/>
        <w:szCs w:val="16"/>
        <w:rtl/>
      </w:rPr>
      <w:instrText xml:space="preserve"> </w:instrText>
    </w:r>
    <w:r w:rsidRPr="00B45DE5">
      <w:rPr>
        <w:rFonts w:cs="David" w:hint="cs"/>
        <w:sz w:val="16"/>
        <w:szCs w:val="16"/>
        <w:rtl/>
      </w:rPr>
      <w:fldChar w:fldCharType="separate"/>
    </w:r>
    <w:r w:rsidR="004B1737">
      <w:rPr>
        <w:rFonts w:cs="David" w:hint="eastAsia"/>
        <w:noProof/>
        <w:sz w:val="16"/>
        <w:szCs w:val="16"/>
        <w:rtl/>
      </w:rPr>
      <w:t>‏</w:t>
    </w:r>
    <w:r w:rsidR="004B1737">
      <w:rPr>
        <w:rFonts w:cs="David"/>
        <w:noProof/>
        <w:sz w:val="16"/>
        <w:szCs w:val="16"/>
        <w:rtl/>
      </w:rPr>
      <w:t>13:50</w:t>
    </w:r>
    <w:r w:rsidRPr="00B45DE5">
      <w:rPr>
        <w:rFonts w:cs="David" w:hint="cs"/>
        <w:sz w:val="16"/>
        <w:szCs w:val="16"/>
        <w:rtl/>
      </w:rPr>
      <w:fldChar w:fldCharType="end"/>
    </w:r>
    <w:r w:rsidR="002C4744" w:rsidRPr="00B45DE5">
      <w:rPr>
        <w:rFonts w:cs="David" w:hint="cs"/>
        <w:sz w:val="16"/>
        <w:szCs w:val="16"/>
        <w:rtl/>
      </w:rPr>
      <w:t xml:space="preserve">  </w:t>
    </w:r>
    <w:r w:rsidRPr="00B45DE5">
      <w:rPr>
        <w:rFonts w:cs="David" w:hint="cs"/>
        <w:sz w:val="16"/>
        <w:szCs w:val="16"/>
        <w:rtl/>
      </w:rPr>
      <w:fldChar w:fldCharType="begin"/>
    </w:r>
    <w:r w:rsidR="002C4744" w:rsidRPr="00B45DE5">
      <w:rPr>
        <w:rFonts w:cs="David" w:hint="cs"/>
        <w:sz w:val="16"/>
        <w:szCs w:val="16"/>
        <w:rtl/>
      </w:rPr>
      <w:instrText xml:space="preserve"> </w:instrText>
    </w:r>
    <w:r w:rsidR="002C4744" w:rsidRPr="00B45DE5">
      <w:rPr>
        <w:rFonts w:cs="David"/>
        <w:sz w:val="16"/>
        <w:szCs w:val="16"/>
      </w:rPr>
      <w:instrText>DATE  \@ "yyyy-MM-dd"  \* MERGEFORMAT</w:instrText>
    </w:r>
    <w:r w:rsidR="002C4744" w:rsidRPr="00B45DE5">
      <w:rPr>
        <w:rFonts w:cs="David"/>
        <w:sz w:val="16"/>
        <w:szCs w:val="16"/>
        <w:rtl/>
      </w:rPr>
      <w:instrText xml:space="preserve"> </w:instrText>
    </w:r>
    <w:r w:rsidRPr="00B45DE5">
      <w:rPr>
        <w:rFonts w:cs="David" w:hint="cs"/>
        <w:sz w:val="16"/>
        <w:szCs w:val="16"/>
        <w:rtl/>
      </w:rPr>
      <w:fldChar w:fldCharType="separate"/>
    </w:r>
    <w:r w:rsidR="004B1737" w:rsidRPr="004B1737">
      <w:rPr>
        <w:rFonts w:hint="eastAsia"/>
        <w:noProof/>
        <w:sz w:val="16"/>
        <w:szCs w:val="16"/>
        <w:rtl/>
      </w:rPr>
      <w:t>‏</w:t>
    </w:r>
    <w:r w:rsidR="004B1737" w:rsidRPr="004B1737">
      <w:rPr>
        <w:noProof/>
        <w:sz w:val="16"/>
        <w:szCs w:val="16"/>
        <w:rtl/>
      </w:rPr>
      <w:t>2010–12–13</w:t>
    </w:r>
    <w:r w:rsidRPr="00B45DE5">
      <w:rPr>
        <w:rFonts w:cs="David" w:hint="cs"/>
        <w:sz w:val="16"/>
        <w:szCs w:val="16"/>
        <w:rtl/>
      </w:rPr>
      <w:fldChar w:fldCharType="end"/>
    </w:r>
    <w:r w:rsidR="002C4744" w:rsidRPr="00B45DE5">
      <w:rPr>
        <w:rFonts w:cs="David" w:hint="cs"/>
        <w:sz w:val="16"/>
        <w:szCs w:val="16"/>
        <w:rtl/>
      </w:rPr>
      <w:t xml:space="preserve">   </w:t>
    </w:r>
    <w:fldSimple w:instr=" FILENAME  \p  \* MERGEFORMAT ">
      <w:r w:rsidR="00D06EC8" w:rsidRPr="00D06EC8">
        <w:rPr>
          <w:noProof/>
          <w:sz w:val="16"/>
          <w:szCs w:val="16"/>
        </w:rPr>
        <w:t>L:\</w:t>
      </w:r>
      <w:r w:rsidR="00D06EC8" w:rsidRPr="00D06EC8">
        <w:rPr>
          <w:rFonts w:hint="eastAsia"/>
          <w:noProof/>
          <w:sz w:val="16"/>
          <w:szCs w:val="16"/>
          <w:rtl/>
        </w:rPr>
        <w:t>הספר</w:t>
      </w:r>
      <w:r w:rsidR="00D06EC8" w:rsidRPr="00D06EC8">
        <w:rPr>
          <w:noProof/>
          <w:sz w:val="16"/>
          <w:szCs w:val="16"/>
          <w:rtl/>
        </w:rPr>
        <w:t xml:space="preserve"> - </w:t>
      </w:r>
      <w:r w:rsidR="00D06EC8" w:rsidRPr="00D06EC8">
        <w:rPr>
          <w:rFonts w:hint="eastAsia"/>
          <w:noProof/>
          <w:sz w:val="16"/>
          <w:szCs w:val="16"/>
          <w:rtl/>
        </w:rPr>
        <w:t>מעקבים</w:t>
      </w:r>
      <w:r w:rsidR="00D06EC8" w:rsidRPr="00D06EC8">
        <w:rPr>
          <w:noProof/>
          <w:sz w:val="16"/>
          <w:szCs w:val="16"/>
          <w:rtl/>
        </w:rPr>
        <w:t xml:space="preserve"> 60</w:t>
      </w:r>
      <w:r w:rsidR="00D06EC8" w:rsidRPr="00D06EC8">
        <w:rPr>
          <w:rFonts w:hint="eastAsia"/>
          <w:noProof/>
          <w:sz w:val="16"/>
          <w:szCs w:val="16"/>
          <w:rtl/>
        </w:rPr>
        <w:t>ב</w:t>
      </w:r>
      <w:r w:rsidR="00D06EC8" w:rsidRPr="00D06EC8">
        <w:rPr>
          <w:noProof/>
          <w:sz w:val="16"/>
          <w:szCs w:val="16"/>
          <w:rtl/>
        </w:rPr>
        <w:t>\</w:t>
      </w:r>
      <w:r w:rsidR="00D06EC8" w:rsidRPr="00D06EC8">
        <w:rPr>
          <w:rFonts w:hint="eastAsia"/>
          <w:noProof/>
          <w:sz w:val="16"/>
          <w:szCs w:val="16"/>
          <w:rtl/>
        </w:rPr>
        <w:t>פנינה</w:t>
      </w:r>
      <w:r w:rsidR="00D06EC8" w:rsidRPr="00D06EC8">
        <w:rPr>
          <w:noProof/>
          <w:sz w:val="16"/>
          <w:szCs w:val="16"/>
          <w:rtl/>
        </w:rPr>
        <w:t>\58</w:t>
      </w:r>
      <w:r w:rsidR="00D06EC8" w:rsidRPr="00D06EC8">
        <w:rPr>
          <w:rFonts w:hint="eastAsia"/>
          <w:noProof/>
          <w:sz w:val="16"/>
          <w:szCs w:val="16"/>
          <w:rtl/>
        </w:rPr>
        <w:t>ב</w:t>
      </w:r>
      <w:r w:rsidR="00D06EC8" w:rsidRPr="00D06EC8">
        <w:rPr>
          <w:noProof/>
          <w:sz w:val="16"/>
          <w:szCs w:val="16"/>
          <w:rtl/>
        </w:rPr>
        <w:t>\</w:t>
      </w:r>
      <w:r w:rsidR="00D06EC8" w:rsidRPr="00D06EC8">
        <w:rPr>
          <w:rFonts w:hint="eastAsia"/>
          <w:noProof/>
          <w:sz w:val="16"/>
          <w:szCs w:val="16"/>
          <w:rtl/>
        </w:rPr>
        <w:t>משרד</w:t>
      </w:r>
      <w:r w:rsidR="00D06EC8" w:rsidRPr="00D06EC8">
        <w:rPr>
          <w:noProof/>
          <w:sz w:val="16"/>
          <w:szCs w:val="16"/>
          <w:rtl/>
        </w:rPr>
        <w:t xml:space="preserve"> </w:t>
      </w:r>
      <w:r w:rsidR="00D06EC8" w:rsidRPr="00D06EC8">
        <w:rPr>
          <w:rFonts w:hint="eastAsia"/>
          <w:noProof/>
          <w:sz w:val="16"/>
          <w:szCs w:val="16"/>
          <w:rtl/>
        </w:rPr>
        <w:t>האוצר</w:t>
      </w:r>
      <w:r w:rsidR="00D06EC8" w:rsidRPr="00D06EC8">
        <w:rPr>
          <w:noProof/>
          <w:sz w:val="16"/>
          <w:szCs w:val="16"/>
          <w:rtl/>
        </w:rPr>
        <w:t>\</w:t>
      </w:r>
      <w:r w:rsidR="00D06EC8" w:rsidRPr="00D06EC8">
        <w:rPr>
          <w:rFonts w:hint="eastAsia"/>
          <w:noProof/>
          <w:sz w:val="16"/>
          <w:szCs w:val="16"/>
          <w:rtl/>
        </w:rPr>
        <w:t>פיקוח</w:t>
      </w:r>
      <w:r w:rsidR="00D06EC8" w:rsidRPr="00D06EC8">
        <w:rPr>
          <w:noProof/>
          <w:sz w:val="16"/>
          <w:szCs w:val="16"/>
          <w:rtl/>
        </w:rPr>
        <w:t xml:space="preserve"> </w:t>
      </w:r>
      <w:r w:rsidR="00D06EC8" w:rsidRPr="00D06EC8">
        <w:rPr>
          <w:rFonts w:hint="eastAsia"/>
          <w:noProof/>
          <w:sz w:val="16"/>
          <w:szCs w:val="16"/>
          <w:rtl/>
        </w:rPr>
        <w:t>רשות</w:t>
      </w:r>
      <w:r w:rsidR="00D06EC8" w:rsidRPr="00D06EC8">
        <w:rPr>
          <w:noProof/>
          <w:sz w:val="16"/>
          <w:szCs w:val="16"/>
          <w:rtl/>
        </w:rPr>
        <w:t xml:space="preserve"> </w:t>
      </w:r>
      <w:r w:rsidR="00D06EC8" w:rsidRPr="00D06EC8">
        <w:rPr>
          <w:rFonts w:hint="eastAsia"/>
          <w:noProof/>
          <w:sz w:val="16"/>
          <w:szCs w:val="16"/>
          <w:rtl/>
        </w:rPr>
        <w:t>המסים</w:t>
      </w:r>
      <w:r w:rsidR="00D06EC8" w:rsidRPr="00D06EC8">
        <w:rPr>
          <w:noProof/>
          <w:sz w:val="16"/>
          <w:szCs w:val="16"/>
          <w:rtl/>
        </w:rPr>
        <w:t xml:space="preserve"> </w:t>
      </w:r>
      <w:r w:rsidR="00D06EC8" w:rsidRPr="00D06EC8">
        <w:rPr>
          <w:rFonts w:hint="eastAsia"/>
          <w:noProof/>
          <w:sz w:val="16"/>
          <w:szCs w:val="16"/>
          <w:rtl/>
        </w:rPr>
        <w:t>על</w:t>
      </w:r>
      <w:r w:rsidR="00D06EC8" w:rsidRPr="00D06EC8">
        <w:rPr>
          <w:noProof/>
          <w:sz w:val="16"/>
          <w:szCs w:val="16"/>
          <w:rtl/>
        </w:rPr>
        <w:t xml:space="preserve"> </w:t>
      </w:r>
      <w:r w:rsidR="00D06EC8" w:rsidRPr="00D06EC8">
        <w:rPr>
          <w:rFonts w:hint="eastAsia"/>
          <w:noProof/>
          <w:sz w:val="16"/>
          <w:szCs w:val="16"/>
          <w:rtl/>
        </w:rPr>
        <w:t>העמידה</w:t>
      </w:r>
      <w:r w:rsidR="00D06EC8" w:rsidRPr="00D06EC8">
        <w:rPr>
          <w:noProof/>
          <w:sz w:val="16"/>
          <w:szCs w:val="16"/>
          <w:rtl/>
        </w:rPr>
        <w:t xml:space="preserve"> </w:t>
      </w:r>
      <w:r w:rsidR="00D06EC8" w:rsidRPr="00D06EC8">
        <w:rPr>
          <w:rFonts w:hint="eastAsia"/>
          <w:noProof/>
          <w:sz w:val="16"/>
          <w:szCs w:val="16"/>
          <w:rtl/>
        </w:rPr>
        <w:t>בתנאי</w:t>
      </w:r>
      <w:r w:rsidR="00D06EC8" w:rsidRPr="00D06EC8">
        <w:rPr>
          <w:noProof/>
          <w:sz w:val="16"/>
          <w:szCs w:val="16"/>
          <w:rtl/>
        </w:rPr>
        <w:t xml:space="preserve"> </w:t>
      </w:r>
      <w:r w:rsidR="00D06EC8" w:rsidRPr="00D06EC8">
        <w:rPr>
          <w:rFonts w:hint="eastAsia"/>
          <w:noProof/>
          <w:sz w:val="16"/>
          <w:szCs w:val="16"/>
          <w:rtl/>
        </w:rPr>
        <w:t>החוק</w:t>
      </w:r>
      <w:r w:rsidR="00D06EC8" w:rsidRPr="00D06EC8">
        <w:rPr>
          <w:noProof/>
          <w:sz w:val="16"/>
          <w:szCs w:val="16"/>
          <w:rtl/>
        </w:rPr>
        <w:t xml:space="preserve"> </w:t>
      </w:r>
      <w:r w:rsidR="00D06EC8" w:rsidRPr="00D06EC8">
        <w:rPr>
          <w:rFonts w:hint="eastAsia"/>
          <w:noProof/>
          <w:sz w:val="16"/>
          <w:szCs w:val="16"/>
          <w:rtl/>
        </w:rPr>
        <w:t>לעידוד</w:t>
      </w:r>
      <w:r w:rsidR="00D06EC8" w:rsidRPr="00D06EC8">
        <w:rPr>
          <w:noProof/>
          <w:sz w:val="16"/>
          <w:szCs w:val="16"/>
          <w:rtl/>
        </w:rPr>
        <w:t xml:space="preserve"> </w:t>
      </w:r>
      <w:r w:rsidR="00D06EC8" w:rsidRPr="00D06EC8">
        <w:rPr>
          <w:rFonts w:hint="eastAsia"/>
          <w:noProof/>
          <w:sz w:val="16"/>
          <w:szCs w:val="16"/>
          <w:rtl/>
        </w:rPr>
        <w:t>השקעות</w:t>
      </w:r>
      <w:r w:rsidR="00D06EC8">
        <w:rPr>
          <w:noProof/>
          <w:rtl/>
        </w:rPr>
        <w:t xml:space="preserve"> </w:t>
      </w:r>
      <w:r w:rsidR="00D06EC8">
        <w:rPr>
          <w:rFonts w:hint="eastAsia"/>
          <w:noProof/>
          <w:rtl/>
        </w:rPr>
        <w:t>הון</w:t>
      </w:r>
      <w:r w:rsidR="00D06EC8">
        <w:rPr>
          <w:noProof/>
        </w:rPr>
        <w:t>.docx</w:t>
      </w:r>
    </w:fldSimple>
    <w:r w:rsidR="002C4744" w:rsidRPr="00B45DE5">
      <w:rPr>
        <w:rFonts w:cs="David" w:hint="cs"/>
        <w:noProof/>
        <w:sz w:val="16"/>
        <w:szCs w:val="16"/>
        <w:rtl/>
      </w:rPr>
      <w:t xml:space="preserve">    -</w:t>
    </w:r>
    <w:r w:rsidRPr="00B45DE5">
      <w:rPr>
        <w:rFonts w:cs="David" w:hint="cs"/>
        <w:noProof/>
        <w:sz w:val="16"/>
        <w:szCs w:val="16"/>
        <w:rtl/>
      </w:rPr>
      <w:fldChar w:fldCharType="begin"/>
    </w:r>
    <w:r w:rsidR="002C4744" w:rsidRPr="00B45DE5">
      <w:rPr>
        <w:rFonts w:cs="David" w:hint="cs"/>
        <w:noProof/>
        <w:sz w:val="16"/>
        <w:szCs w:val="16"/>
        <w:rtl/>
      </w:rPr>
      <w:instrText xml:space="preserve"> </w:instrText>
    </w:r>
    <w:r w:rsidR="002C4744" w:rsidRPr="00B45DE5">
      <w:rPr>
        <w:rFonts w:cs="David"/>
        <w:noProof/>
        <w:sz w:val="16"/>
        <w:szCs w:val="16"/>
      </w:rPr>
      <w:instrText>PAGE   \* MERGEFORMAT</w:instrText>
    </w:r>
    <w:r w:rsidR="002C4744" w:rsidRPr="00B45DE5">
      <w:rPr>
        <w:rFonts w:cs="David"/>
        <w:noProof/>
        <w:sz w:val="16"/>
        <w:szCs w:val="16"/>
        <w:rtl/>
      </w:rPr>
      <w:instrText xml:space="preserve"> </w:instrText>
    </w:r>
    <w:r w:rsidRPr="00B45DE5">
      <w:rPr>
        <w:rFonts w:cs="David" w:hint="cs"/>
        <w:noProof/>
        <w:sz w:val="16"/>
        <w:szCs w:val="16"/>
        <w:rtl/>
      </w:rPr>
      <w:fldChar w:fldCharType="separate"/>
    </w:r>
    <w:r w:rsidR="004B1737" w:rsidRPr="004B1737">
      <w:rPr>
        <w:rFonts w:cs="MF Narkisim"/>
        <w:noProof/>
        <w:sz w:val="16"/>
        <w:szCs w:val="16"/>
        <w:rtl/>
      </w:rPr>
      <w:t>2</w:t>
    </w:r>
    <w:r w:rsidRPr="00B45DE5">
      <w:rPr>
        <w:rFonts w:cs="David" w:hint="cs"/>
        <w:noProof/>
        <w:sz w:val="16"/>
        <w:szCs w:val="16"/>
        <w:rtl/>
      </w:rPr>
      <w:fldChar w:fldCharType="end"/>
    </w:r>
    <w:r w:rsidR="002C4744" w:rsidRPr="00B45DE5">
      <w:rPr>
        <w:rFonts w:cs="David" w:hint="cs"/>
        <w:noProof/>
        <w:sz w:val="16"/>
        <w:szCs w:val="16"/>
        <w:rtl/>
      </w:rPr>
      <w:t>-</w:t>
    </w:r>
  </w:p>
  <w:p w:rsidR="002C4744" w:rsidRPr="00000C8C" w:rsidRDefault="002C4744" w:rsidP="002C4744">
    <w:pPr>
      <w:pStyle w:val="1"/>
      <w:spacing w:before="0" w:after="0" w:line="240" w:lineRule="auto"/>
      <w:ind w:hanging="625"/>
      <w:rPr>
        <w:b w:val="0"/>
        <w:bCs w:val="0"/>
        <w:i/>
        <w:iCs/>
        <w:szCs w:val="32"/>
        <w:u w:val="none"/>
        <w:rtl/>
      </w:rPr>
    </w:pPr>
    <w:r w:rsidRPr="00000C8C">
      <w:rPr>
        <w:rFonts w:hint="cs"/>
        <w:b w:val="0"/>
        <w:bCs w:val="0"/>
        <w:sz w:val="18"/>
        <w:szCs w:val="18"/>
        <w:rtl/>
      </w:rPr>
      <w:t xml:space="preserve">מעקב אחר תיקון ליקויים, אגף המפקח הכללי לענייני ביקורת המדינה                                                         רשות המסים בישראל </w:t>
    </w:r>
  </w:p>
  <w:p w:rsidR="002C4744" w:rsidRDefault="002C4744">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EB" w:rsidRDefault="000777EB">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4744"/>
    <w:rsid w:val="00000243"/>
    <w:rsid w:val="00000739"/>
    <w:rsid w:val="00027667"/>
    <w:rsid w:val="00043D5A"/>
    <w:rsid w:val="000510D6"/>
    <w:rsid w:val="00073FA9"/>
    <w:rsid w:val="000777EB"/>
    <w:rsid w:val="00082BAA"/>
    <w:rsid w:val="0008340C"/>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031CC"/>
    <w:rsid w:val="002279C8"/>
    <w:rsid w:val="00232852"/>
    <w:rsid w:val="00237AB5"/>
    <w:rsid w:val="00250C36"/>
    <w:rsid w:val="00274039"/>
    <w:rsid w:val="00280509"/>
    <w:rsid w:val="00282D49"/>
    <w:rsid w:val="002831EA"/>
    <w:rsid w:val="0029553E"/>
    <w:rsid w:val="00297441"/>
    <w:rsid w:val="002A6F8F"/>
    <w:rsid w:val="002B3D39"/>
    <w:rsid w:val="002B6CF7"/>
    <w:rsid w:val="002C4744"/>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737"/>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4D49"/>
    <w:rsid w:val="005550C4"/>
    <w:rsid w:val="005578C3"/>
    <w:rsid w:val="00563607"/>
    <w:rsid w:val="00576A81"/>
    <w:rsid w:val="005A548B"/>
    <w:rsid w:val="005A6E05"/>
    <w:rsid w:val="005C720D"/>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A22BA"/>
    <w:rsid w:val="007B0C4D"/>
    <w:rsid w:val="007B4AAF"/>
    <w:rsid w:val="007D1079"/>
    <w:rsid w:val="007F2C9B"/>
    <w:rsid w:val="00810562"/>
    <w:rsid w:val="00810E64"/>
    <w:rsid w:val="0081406C"/>
    <w:rsid w:val="00817201"/>
    <w:rsid w:val="00867F44"/>
    <w:rsid w:val="0088076B"/>
    <w:rsid w:val="008A1154"/>
    <w:rsid w:val="008A3C6F"/>
    <w:rsid w:val="008B1C1D"/>
    <w:rsid w:val="008B5AD7"/>
    <w:rsid w:val="008D6336"/>
    <w:rsid w:val="008F2398"/>
    <w:rsid w:val="008F498E"/>
    <w:rsid w:val="009021C2"/>
    <w:rsid w:val="00917859"/>
    <w:rsid w:val="00922D8C"/>
    <w:rsid w:val="009409FE"/>
    <w:rsid w:val="00963FFB"/>
    <w:rsid w:val="00973104"/>
    <w:rsid w:val="00984194"/>
    <w:rsid w:val="00993D03"/>
    <w:rsid w:val="009949DA"/>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D4489"/>
    <w:rsid w:val="00AF66AA"/>
    <w:rsid w:val="00AF7804"/>
    <w:rsid w:val="00B00D9A"/>
    <w:rsid w:val="00B16BE4"/>
    <w:rsid w:val="00B24388"/>
    <w:rsid w:val="00B3265D"/>
    <w:rsid w:val="00B45DE5"/>
    <w:rsid w:val="00B571BA"/>
    <w:rsid w:val="00B613C7"/>
    <w:rsid w:val="00B669B1"/>
    <w:rsid w:val="00B71422"/>
    <w:rsid w:val="00B82574"/>
    <w:rsid w:val="00B83D24"/>
    <w:rsid w:val="00B96C6C"/>
    <w:rsid w:val="00BA4815"/>
    <w:rsid w:val="00BA5E48"/>
    <w:rsid w:val="00BA7B4B"/>
    <w:rsid w:val="00BB4131"/>
    <w:rsid w:val="00BC6FA3"/>
    <w:rsid w:val="00BD032B"/>
    <w:rsid w:val="00BD08C2"/>
    <w:rsid w:val="00BE0D3F"/>
    <w:rsid w:val="00BF7A7D"/>
    <w:rsid w:val="00C038DE"/>
    <w:rsid w:val="00C03A0E"/>
    <w:rsid w:val="00C3301D"/>
    <w:rsid w:val="00C33725"/>
    <w:rsid w:val="00C34195"/>
    <w:rsid w:val="00C366AF"/>
    <w:rsid w:val="00C41FFA"/>
    <w:rsid w:val="00C51C1D"/>
    <w:rsid w:val="00C6659C"/>
    <w:rsid w:val="00C723C0"/>
    <w:rsid w:val="00CA2206"/>
    <w:rsid w:val="00CB6CA1"/>
    <w:rsid w:val="00CC3E2F"/>
    <w:rsid w:val="00CC683F"/>
    <w:rsid w:val="00CE2D49"/>
    <w:rsid w:val="00D02568"/>
    <w:rsid w:val="00D038BA"/>
    <w:rsid w:val="00D04CE8"/>
    <w:rsid w:val="00D06EC8"/>
    <w:rsid w:val="00D07797"/>
    <w:rsid w:val="00D20800"/>
    <w:rsid w:val="00D37D9E"/>
    <w:rsid w:val="00D57A3C"/>
    <w:rsid w:val="00D66429"/>
    <w:rsid w:val="00D84103"/>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31618"/>
    <w:rsid w:val="00F3364B"/>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744"/>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2C4744"/>
    <w:pPr>
      <w:keepNext/>
      <w:widowControl w:val="0"/>
      <w:spacing w:before="240" w:after="480" w:line="312" w:lineRule="auto"/>
      <w:ind w:left="567" w:firstLine="142"/>
      <w:jc w:val="center"/>
      <w:outlineLvl w:val="0"/>
    </w:pPr>
    <w:rPr>
      <w:rFonts w:ascii="Times New Roman" w:eastAsia="Calibri" w:hAnsi="Times New Roman" w:cs="David"/>
      <w:b/>
      <w:bCs/>
      <w:kern w:val="32"/>
      <w:sz w:val="32"/>
      <w:szCs w:val="36"/>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C4744"/>
    <w:rPr>
      <w:rFonts w:ascii="Times New Roman" w:eastAsia="Calibri" w:hAnsi="Times New Roman"/>
      <w:b/>
      <w:bCs/>
      <w:kern w:val="32"/>
      <w:sz w:val="32"/>
      <w:szCs w:val="36"/>
      <w:u w:val="single"/>
      <w:lang w:eastAsia="he-IL"/>
    </w:rPr>
  </w:style>
  <w:style w:type="paragraph" w:customStyle="1" w:styleId="a3">
    <w:name w:val="כותרת ליקוי"/>
    <w:basedOn w:val="a"/>
    <w:uiPriority w:val="99"/>
    <w:rsid w:val="002C4744"/>
    <w:pPr>
      <w:keepNext/>
      <w:spacing w:after="0" w:line="240" w:lineRule="auto"/>
      <w:ind w:left="567" w:hanging="567"/>
      <w:jc w:val="both"/>
    </w:pPr>
    <w:rPr>
      <w:rFonts w:ascii="Times New Roman" w:eastAsia="Calibri" w:hAnsi="Times New Roman" w:cs="David"/>
      <w:b/>
      <w:sz w:val="24"/>
      <w:szCs w:val="24"/>
    </w:rPr>
  </w:style>
  <w:style w:type="paragraph" w:styleId="a4">
    <w:name w:val="header"/>
    <w:basedOn w:val="a"/>
    <w:link w:val="a5"/>
    <w:uiPriority w:val="99"/>
    <w:semiHidden/>
    <w:unhideWhenUsed/>
    <w:rsid w:val="002C4744"/>
    <w:pPr>
      <w:tabs>
        <w:tab w:val="center" w:pos="4153"/>
        <w:tab w:val="right" w:pos="8306"/>
      </w:tabs>
      <w:spacing w:after="0" w:line="240" w:lineRule="auto"/>
    </w:pPr>
  </w:style>
  <w:style w:type="character" w:customStyle="1" w:styleId="a5">
    <w:name w:val="כותרת עליונה תו"/>
    <w:basedOn w:val="a0"/>
    <w:link w:val="a4"/>
    <w:uiPriority w:val="99"/>
    <w:semiHidden/>
    <w:rsid w:val="002C4744"/>
    <w:rPr>
      <w:rFonts w:ascii="Calibri" w:eastAsia="Times New Roman" w:hAnsi="Calibri" w:cs="Arial"/>
      <w:sz w:val="22"/>
      <w:szCs w:val="22"/>
    </w:rPr>
  </w:style>
  <w:style w:type="paragraph" w:styleId="a6">
    <w:name w:val="footer"/>
    <w:basedOn w:val="a"/>
    <w:link w:val="a7"/>
    <w:uiPriority w:val="99"/>
    <w:semiHidden/>
    <w:unhideWhenUsed/>
    <w:rsid w:val="002C4744"/>
    <w:pPr>
      <w:tabs>
        <w:tab w:val="center" w:pos="4153"/>
        <w:tab w:val="right" w:pos="8306"/>
      </w:tabs>
      <w:spacing w:after="0" w:line="240" w:lineRule="auto"/>
    </w:pPr>
  </w:style>
  <w:style w:type="character" w:customStyle="1" w:styleId="a7">
    <w:name w:val="כותרת תחתונה תו"/>
    <w:basedOn w:val="a0"/>
    <w:link w:val="a6"/>
    <w:uiPriority w:val="99"/>
    <w:semiHidden/>
    <w:rsid w:val="002C4744"/>
    <w:rPr>
      <w:rFonts w:ascii="Calibri" w:eastAsia="Times New Roman" w:hAnsi="Calibri" w:cs="Arial"/>
      <w:sz w:val="22"/>
      <w:szCs w:val="22"/>
    </w:rPr>
  </w:style>
  <w:style w:type="paragraph" w:styleId="a8">
    <w:name w:val="Balloon Text"/>
    <w:basedOn w:val="a"/>
    <w:link w:val="a9"/>
    <w:uiPriority w:val="99"/>
    <w:semiHidden/>
    <w:unhideWhenUsed/>
    <w:rsid w:val="002C474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2C4744"/>
    <w:rPr>
      <w:rFonts w:ascii="Tahoma" w:eastAsia="Times New Roman" w:hAnsi="Tahoma" w:cs="Tahoma"/>
      <w:sz w:val="16"/>
      <w:szCs w:val="16"/>
    </w:rPr>
  </w:style>
  <w:style w:type="paragraph" w:customStyle="1" w:styleId="-">
    <w:name w:val="כותרת מאמר-נטוי"/>
    <w:basedOn w:val="a"/>
    <w:uiPriority w:val="99"/>
    <w:rsid w:val="004B173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a">
    <w:name w:val="כותרת מאמר"/>
    <w:basedOn w:val="a"/>
    <w:uiPriority w:val="99"/>
    <w:rsid w:val="004B173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b">
    <w:name w:val="טקסט רץ"/>
    <w:basedOn w:val="a"/>
    <w:next w:val="a"/>
    <w:uiPriority w:val="99"/>
    <w:rsid w:val="004B1737"/>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 w:type="character" w:customStyle="1" w:styleId="ac">
    <w:name w:val="בולד"/>
    <w:uiPriority w:val="99"/>
    <w:rsid w:val="004B1737"/>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1582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2010-10-14T12:50:00Z</cp:lastPrinted>
  <dcterms:created xsi:type="dcterms:W3CDTF">2010-12-13T11:50:00Z</dcterms:created>
  <dcterms:modified xsi:type="dcterms:W3CDTF">2010-12-13T11:50:00Z</dcterms:modified>
</cp:coreProperties>
</file>