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FCD" w:rsidRPr="001C2FCD" w:rsidRDefault="001C2FCD" w:rsidP="001C2FCD">
      <w:pPr>
        <w:suppressAutoHyphens/>
        <w:autoSpaceDE w:val="0"/>
        <w:autoSpaceDN w:val="0"/>
        <w:adjustRightInd w:val="0"/>
        <w:spacing w:after="170" w:line="340" w:lineRule="atLeast"/>
        <w:jc w:val="center"/>
        <w:textAlignment w:val="center"/>
        <w:rPr>
          <w:rFonts w:ascii="David" w:eastAsiaTheme="minorHAnsi" w:hAnsiTheme="minorHAnsi" w:cs="David"/>
          <w:b/>
          <w:bCs/>
          <w:color w:val="000000"/>
          <w:sz w:val="32"/>
          <w:szCs w:val="32"/>
          <w:rtl/>
        </w:rPr>
      </w:pPr>
      <w:r w:rsidRPr="001C2FCD">
        <w:rPr>
          <w:rFonts w:ascii="David" w:eastAsiaTheme="minorHAnsi" w:hAnsiTheme="minorHAnsi" w:cs="David" w:hint="cs"/>
          <w:b/>
          <w:bCs/>
          <w:color w:val="000000"/>
          <w:sz w:val="32"/>
          <w:szCs w:val="32"/>
          <w:rtl/>
        </w:rPr>
        <w:t>הסדרת מנגנוני הגנה למחזיקי תעודות התחייבות</w:t>
      </w:r>
    </w:p>
    <w:p w:rsidR="001C2FCD" w:rsidRPr="001C2FCD" w:rsidRDefault="001C2FCD" w:rsidP="001C2FCD">
      <w:pPr>
        <w:autoSpaceDE w:val="0"/>
        <w:autoSpaceDN w:val="0"/>
        <w:adjustRightInd w:val="0"/>
        <w:spacing w:after="0" w:line="288" w:lineRule="auto"/>
        <w:jc w:val="right"/>
        <w:textAlignment w:val="center"/>
        <w:rPr>
          <w:rFonts w:ascii="Times New Roman" w:eastAsiaTheme="minorHAnsi" w:hAnsi="Times New Roman" w:cs="Times New Roman"/>
          <w:b/>
          <w:bCs/>
          <w:color w:val="000000"/>
          <w:sz w:val="20"/>
          <w:szCs w:val="20"/>
        </w:rPr>
      </w:pPr>
    </w:p>
    <w:p w:rsidR="001C2FCD" w:rsidRPr="001C2FCD" w:rsidRDefault="001C2FCD" w:rsidP="001C2FCD">
      <w:pPr>
        <w:suppressAutoHyphens/>
        <w:autoSpaceDE w:val="0"/>
        <w:autoSpaceDN w:val="0"/>
        <w:adjustRightInd w:val="0"/>
        <w:spacing w:after="0" w:line="288" w:lineRule="auto"/>
        <w:jc w:val="both"/>
        <w:textAlignment w:val="center"/>
        <w:rPr>
          <w:rFonts w:ascii="David" w:eastAsiaTheme="minorHAnsi" w:hAnsi="Times New Roman" w:cs="David"/>
          <w:b/>
          <w:bCs/>
          <w:color w:val="000000"/>
          <w:szCs w:val="24"/>
          <w:rtl/>
        </w:rPr>
      </w:pPr>
      <w:r w:rsidRPr="001C2FCD">
        <w:rPr>
          <w:rFonts w:ascii="David" w:eastAsiaTheme="minorHAnsi" w:hAnsi="Times New Roman" w:cs="David" w:hint="cs"/>
          <w:b/>
          <w:bCs/>
          <w:color w:val="000000"/>
          <w:szCs w:val="24"/>
          <w:rtl/>
        </w:rPr>
        <w:t xml:space="preserve">הגופים המבוקרים: משרד האוצר – אגף שוק ההון, הביטוח והחיסכון; משרד המשפטים; רשות ניירות ערך; </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FCD" w:rsidRPr="001C2FCD" w:rsidRDefault="001C2FCD" w:rsidP="001C2FCD">
      <w:p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1C2FCD">
        <w:rPr>
          <w:rFonts w:ascii="David" w:eastAsiaTheme="minorHAnsi" w:hAnsiTheme="minorHAnsi" w:cs="David" w:hint="cs"/>
          <w:color w:val="000000"/>
          <w:sz w:val="24"/>
          <w:szCs w:val="24"/>
          <w:rtl/>
        </w:rPr>
        <w:t xml:space="preserve">ליקוי 4 תוקן. ראה הערות רה"מ </w:t>
      </w:r>
      <w:proofErr w:type="spellStart"/>
      <w:r w:rsidRPr="001C2FCD">
        <w:rPr>
          <w:rFonts w:ascii="David" w:eastAsiaTheme="minorHAnsi" w:hAnsiTheme="minorHAnsi" w:cs="David" w:hint="cs"/>
          <w:color w:val="000000"/>
          <w:sz w:val="24"/>
          <w:szCs w:val="24"/>
          <w:rtl/>
        </w:rPr>
        <w:t>60ב</w:t>
      </w:r>
      <w:proofErr w:type="spellEnd"/>
      <w:r w:rsidRPr="001C2FCD">
        <w:rPr>
          <w:rFonts w:ascii="David" w:eastAsiaTheme="minorHAnsi" w:hAnsiTheme="minorHAnsi" w:cs="David" w:hint="cs"/>
          <w:color w:val="000000"/>
          <w:sz w:val="24"/>
          <w:szCs w:val="24"/>
          <w:rtl/>
        </w:rPr>
        <w:t xml:space="preserve">' </w:t>
      </w:r>
      <w:proofErr w:type="spellStart"/>
      <w:r w:rsidRPr="001C2FCD">
        <w:rPr>
          <w:rFonts w:ascii="David" w:eastAsiaTheme="minorHAnsi" w:hAnsiTheme="minorHAnsi" w:cs="David" w:hint="cs"/>
          <w:color w:val="000000"/>
          <w:sz w:val="24"/>
          <w:szCs w:val="24"/>
          <w:rtl/>
        </w:rPr>
        <w:t>עמ</w:t>
      </w:r>
      <w:proofErr w:type="spellEnd"/>
      <w:r w:rsidRPr="001C2FCD">
        <w:rPr>
          <w:rFonts w:ascii="David" w:eastAsiaTheme="minorHAnsi" w:hAnsiTheme="minorHAnsi" w:cs="David" w:hint="cs"/>
          <w:color w:val="000000"/>
          <w:sz w:val="24"/>
          <w:szCs w:val="24"/>
          <w:rtl/>
        </w:rPr>
        <w:t>' 43.</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 xml:space="preserve">ליקוי </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FCD" w:rsidRPr="001C2FCD" w:rsidRDefault="001C2FCD" w:rsidP="001C2FCD">
      <w:pPr>
        <w:pStyle w:val="a7"/>
        <w:numPr>
          <w:ilvl w:val="0"/>
          <w:numId w:val="3"/>
        </w:numPr>
        <w:suppressAutoHyphens/>
        <w:autoSpaceDE w:val="0"/>
        <w:autoSpaceDN w:val="0"/>
        <w:adjustRightInd w:val="0"/>
        <w:spacing w:after="170" w:line="260" w:lineRule="atLeast"/>
        <w:jc w:val="both"/>
        <w:textAlignment w:val="center"/>
        <w:rPr>
          <w:rFonts w:ascii="David" w:cs="David"/>
          <w:color w:val="000000"/>
          <w:sz w:val="24"/>
          <w:szCs w:val="24"/>
          <w:rtl/>
        </w:rPr>
      </w:pPr>
      <w:r w:rsidRPr="001C2FCD">
        <w:rPr>
          <w:rFonts w:ascii="David" w:cs="David" w:hint="cs"/>
          <w:color w:val="000000"/>
          <w:sz w:val="24"/>
          <w:szCs w:val="24"/>
          <w:rtl/>
        </w:rPr>
        <w:t xml:space="preserve">המשבר בשוק ההון בכלל ובשוק האג"ח </w:t>
      </w:r>
      <w:proofErr w:type="spellStart"/>
      <w:r w:rsidRPr="001C2FCD">
        <w:rPr>
          <w:rFonts w:ascii="David" w:cs="David" w:hint="cs"/>
          <w:color w:val="000000"/>
          <w:sz w:val="24"/>
          <w:szCs w:val="24"/>
          <w:rtl/>
        </w:rPr>
        <w:t>הקונצרניות</w:t>
      </w:r>
      <w:proofErr w:type="spellEnd"/>
      <w:r w:rsidRPr="001C2FCD">
        <w:rPr>
          <w:rFonts w:ascii="David" w:cs="David" w:hint="cs"/>
          <w:color w:val="000000"/>
          <w:sz w:val="24"/>
          <w:szCs w:val="24"/>
          <w:rtl/>
        </w:rPr>
        <w:t xml:space="preserve"> בפרט המחישו ביתר שאת את חשיבות ההסדרה והחקיקה בנושא הנאמנים לתעודות התחייבות. העמימות המשפטית השוררת כיום בתחום הגדרת תפקידם, אחריותם וסמכויותיהם של הנאמנים תורמת להחלשת מוסד הנאמן, ופוגעת בהגנה הניתנת למחזיקי תעודות התחייבות. מן הראוי להגביר את התיאום ואת שיתוף הפעולה שבין הרשות לאגף שוק ההון ולגורמים אחרים לפי הצורך, כדי לזרז את פעולות ההסדרה בשוק האג"ח </w:t>
      </w:r>
      <w:proofErr w:type="spellStart"/>
      <w:r w:rsidRPr="001C2FCD">
        <w:rPr>
          <w:rFonts w:ascii="David" w:cs="David" w:hint="cs"/>
          <w:color w:val="000000"/>
          <w:sz w:val="24"/>
          <w:szCs w:val="24"/>
          <w:rtl/>
        </w:rPr>
        <w:t>הקונצרניות</w:t>
      </w:r>
      <w:proofErr w:type="spellEnd"/>
      <w:r w:rsidRPr="001C2FCD">
        <w:rPr>
          <w:rFonts w:ascii="David" w:cs="David" w:hint="cs"/>
          <w:color w:val="000000"/>
          <w:sz w:val="24"/>
          <w:szCs w:val="24"/>
          <w:rtl/>
        </w:rPr>
        <w:t xml:space="preserve">. זאת במטרה לשפר את תפקודו של שוק ההון ואת סדרי הבקרה והפיקוח עליו. כבר בדוח 56ב שפורסם במאי 2006 העיר משרד מבקר המדינה כי יש להחיל עקרונות וכללים של ממשל תאגידי על חברות פרטיות המנפיקות אג"ח </w:t>
      </w:r>
      <w:proofErr w:type="spellStart"/>
      <w:r w:rsidRPr="001C2FCD">
        <w:rPr>
          <w:rFonts w:ascii="David" w:cs="David" w:hint="cs"/>
          <w:color w:val="000000"/>
          <w:sz w:val="24"/>
          <w:szCs w:val="24"/>
          <w:rtl/>
        </w:rPr>
        <w:t>קונצרניות</w:t>
      </w:r>
      <w:proofErr w:type="spellEnd"/>
      <w:r w:rsidRPr="001C2FCD">
        <w:rPr>
          <w:rFonts w:ascii="David" w:cs="David" w:hint="cs"/>
          <w:color w:val="000000"/>
          <w:sz w:val="24"/>
          <w:szCs w:val="24"/>
          <w:rtl/>
        </w:rPr>
        <w:t xml:space="preserve"> לציבור, אך עדיין לא הסתיים טיפולם של הרשות ומשרד המשפטים בעניין זה. אף שחלפו כארבע שנים מהתחלת הטיפול של הרשות בעדכון החקיקה הרלוונטית לנאמנים בדצמבר 2005, עדיין לא הוסדרה חקיקה זו עד מועד סיום הביקורת-ספטמבר 2009. על פי חוק ניירות ערך היה על שר האוצר להתקין תקנות שיסדירו את גובה ההון העצמי המינימאלי של נאמני תעודות ההתחייבות ואת דרכי השקעתו. אולם עד מועד סיום הביקורת תקנות אלו טרם הותקנו.</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מעקב</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משרד המשפטים</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FCD" w:rsidRPr="001C2FCD" w:rsidRDefault="001C2FCD" w:rsidP="001C2FC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hint="cs"/>
          <w:color w:val="000000"/>
          <w:sz w:val="24"/>
          <w:szCs w:val="24"/>
          <w:rtl/>
        </w:rPr>
        <w:t>1.</w:t>
      </w: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 xml:space="preserve">המשרד הכין תזכיר לתיקון חוק החברות המחיל הוראות ממשל תאגידי על חברות פרטיות שהציעו אגרות חוב לציבור. התזכיר אושר על ידי שר המשפטים והופץ בתאריך 26.1.2010. לבקשת לשכת עורכי הדין הוארך המועד לקבלת הערות הציבור ובתאריך 06.06.10 התקבלו הערותיהם. כמו כן המשרד נדרש להכריע בסוגיה הנוגעת לכללי חלוקה בעידן ה– </w:t>
      </w:r>
      <w:r w:rsidRPr="001C2FCD">
        <w:rPr>
          <w:rFonts w:ascii="David" w:eastAsiaTheme="minorHAnsi" w:hAnsi="Times New Roman" w:cs="David" w:hint="cs"/>
          <w:color w:val="000000"/>
          <w:sz w:val="24"/>
          <w:szCs w:val="24"/>
        </w:rPr>
        <w:t>IFRS</w:t>
      </w:r>
      <w:r w:rsidRPr="001C2FCD">
        <w:rPr>
          <w:rFonts w:ascii="David" w:eastAsiaTheme="minorHAnsi" w:hAnsi="Times New Roman" w:cs="David" w:hint="cs"/>
          <w:color w:val="000000"/>
          <w:sz w:val="24"/>
          <w:szCs w:val="24"/>
          <w:rtl/>
        </w:rPr>
        <w:t>. לאחר בחינת הערות הציבור ובחינת סוגיית החלוקה, המשרד מתכוון להביא את טיוטת הצעת החוק לאישור ועדת השרים לענייני חקיקה. נושא תקנות המסדירות גובה ההון העצמי – באחריות שר האוצר ורשות ניירות ערך.</w:t>
      </w:r>
    </w:p>
    <w:p w:rsidR="001C2FCD" w:rsidRPr="001C2FCD" w:rsidRDefault="001C2FCD" w:rsidP="001C2FCD">
      <w:pPr>
        <w:autoSpaceDE w:val="0"/>
        <w:autoSpaceDN w:val="0"/>
        <w:adjustRightInd w:val="0"/>
        <w:spacing w:after="0" w:line="288" w:lineRule="auto"/>
        <w:ind w:left="509" w:hanging="509"/>
        <w:jc w:val="right"/>
        <w:textAlignment w:val="center"/>
        <w:rPr>
          <w:rFonts w:ascii="David" w:eastAsiaTheme="minorHAnsi" w:hAnsi="Times New Roman" w:cs="David"/>
          <w:color w:val="000000"/>
          <w:sz w:val="24"/>
          <w:szCs w:val="24"/>
          <w:rtl/>
        </w:rPr>
      </w:pP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מעקב</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רשות ניירות ערך</w:t>
      </w:r>
    </w:p>
    <w:p w:rsidR="001C2FCD" w:rsidRPr="001C2FCD" w:rsidRDefault="001C2FCD" w:rsidP="001C2FCD">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1C2FCD" w:rsidRPr="001C2FCD" w:rsidRDefault="001C2FCD" w:rsidP="001C2FC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hint="cs"/>
          <w:color w:val="000000"/>
          <w:sz w:val="24"/>
          <w:szCs w:val="24"/>
          <w:rtl/>
        </w:rPr>
        <w:t xml:space="preserve">1. </w:t>
      </w: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התזכיר לתיקון חוק החברות המטפל בכללי ממשל תאגידי לחברות אג"ח הופץ על ידי משרד המשפטים ביום 26.1.2010, והוא מטופל על ידו.</w:t>
      </w:r>
    </w:p>
    <w:p w:rsidR="001C2FCD" w:rsidRPr="001C2FCD" w:rsidRDefault="001C2FCD" w:rsidP="001C2FC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 xml:space="preserve">ראה הערות רה"מ </w:t>
      </w:r>
      <w:proofErr w:type="spellStart"/>
      <w:r w:rsidRPr="001C2FCD">
        <w:rPr>
          <w:rFonts w:ascii="David" w:eastAsiaTheme="minorHAnsi" w:hAnsi="Times New Roman" w:cs="David" w:hint="cs"/>
          <w:color w:val="000000"/>
          <w:sz w:val="24"/>
          <w:szCs w:val="24"/>
          <w:rtl/>
        </w:rPr>
        <w:t>60ב</w:t>
      </w:r>
      <w:proofErr w:type="spellEnd"/>
      <w:r w:rsidRPr="001C2FCD">
        <w:rPr>
          <w:rFonts w:ascii="David" w:eastAsiaTheme="minorHAnsi" w:hAnsi="Times New Roman" w:cs="David" w:hint="cs"/>
          <w:color w:val="000000"/>
          <w:sz w:val="24"/>
          <w:szCs w:val="24"/>
          <w:rtl/>
        </w:rPr>
        <w:t xml:space="preserve">' </w:t>
      </w:r>
      <w:proofErr w:type="spellStart"/>
      <w:r w:rsidRPr="001C2FCD">
        <w:rPr>
          <w:rFonts w:ascii="David" w:eastAsiaTheme="minorHAnsi" w:hAnsi="Times New Roman" w:cs="David" w:hint="cs"/>
          <w:color w:val="000000"/>
          <w:sz w:val="24"/>
          <w:szCs w:val="24"/>
          <w:rtl/>
        </w:rPr>
        <w:t>עמ</w:t>
      </w:r>
      <w:proofErr w:type="spellEnd"/>
      <w:r w:rsidRPr="001C2FCD">
        <w:rPr>
          <w:rFonts w:ascii="David" w:eastAsiaTheme="minorHAnsi" w:hAnsi="Times New Roman" w:cs="David" w:hint="cs"/>
          <w:color w:val="000000"/>
          <w:sz w:val="24"/>
          <w:szCs w:val="24"/>
          <w:rtl/>
        </w:rPr>
        <w:t>' 42.</w:t>
      </w:r>
    </w:p>
    <w:p w:rsidR="001C2FCD" w:rsidRPr="001C2FCD" w:rsidRDefault="001C2FCD" w:rsidP="001C2FCD">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FCD" w:rsidRPr="001C2FCD" w:rsidRDefault="001C2FCD" w:rsidP="001C2FCD">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ליקוי</w:t>
      </w:r>
    </w:p>
    <w:p w:rsidR="001C2FCD" w:rsidRPr="001C2FCD" w:rsidRDefault="001C2FCD" w:rsidP="001C2FCD">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1C2FCD" w:rsidRPr="001C2FCD" w:rsidRDefault="001C2FCD" w:rsidP="001C2FC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hint="cs"/>
          <w:color w:val="000000"/>
          <w:sz w:val="24"/>
          <w:szCs w:val="24"/>
          <w:rtl/>
        </w:rPr>
        <w:t>2.</w:t>
      </w: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עד מועד סיום הביקורת לא עשו מבקרים מקצועיים מטעם הרשות ביקורת במשרדי הנאמנים עצמם. זאת על אף הודעת יו"ר הרשות במליאת הרשות מפברואר 2006 בדבר כוונתו לבצע ביקורת כזו.</w:t>
      </w:r>
    </w:p>
    <w:p w:rsidR="001C2FCD" w:rsidRPr="001C2FCD" w:rsidRDefault="001C2FCD" w:rsidP="001C2FCD">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1C2FCD" w:rsidRDefault="001C2FCD" w:rsidP="001C2FCD">
      <w:pPr>
        <w:autoSpaceDE w:val="0"/>
        <w:autoSpaceDN w:val="0"/>
        <w:adjustRightInd w:val="0"/>
        <w:spacing w:after="0" w:line="288" w:lineRule="auto"/>
        <w:ind w:left="509" w:hanging="509"/>
        <w:jc w:val="both"/>
        <w:textAlignment w:val="center"/>
        <w:rPr>
          <w:rFonts w:ascii="David" w:eastAsiaTheme="minorHAnsi" w:hAnsi="Times New Roman" w:cs="David" w:hint="cs"/>
          <w:b/>
          <w:bCs/>
          <w:color w:val="000000"/>
          <w:sz w:val="24"/>
          <w:szCs w:val="24"/>
          <w:rtl/>
        </w:rPr>
      </w:pPr>
    </w:p>
    <w:p w:rsidR="001C2FCD" w:rsidRPr="001C2FCD" w:rsidRDefault="001C2FCD" w:rsidP="001C2FCD">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lastRenderedPageBreak/>
        <w:t>מעקב</w:t>
      </w:r>
    </w:p>
    <w:p w:rsidR="001C2FCD" w:rsidRPr="001C2FCD" w:rsidRDefault="001C2FCD" w:rsidP="001C2FCD">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1C2FCD" w:rsidRPr="001C2FCD" w:rsidRDefault="001C2FCD" w:rsidP="001C2FC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hint="cs"/>
          <w:color w:val="000000"/>
          <w:sz w:val="24"/>
          <w:szCs w:val="24"/>
          <w:rtl/>
        </w:rPr>
        <w:t xml:space="preserve">2. </w:t>
      </w: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הצעה להתקנת תקנות ניירות ערך, בין היתר, בנושא תנאי כשירות ורישוי נאמנים לתעודות התחייבות הובאה לאישור מליאת הרשות ביום 30.3.2009 ופורסמה להערות הציבור. במקשה אחת פורסמה להערות הציבור גם הצעת תיקון חוק ניירות ערך בנושא תעודות התחייבות, שבמסגרתה הוצע להחליף את הסעיף המעגן היום את סמכות שר האוצר לקבוע הוראות לעניין ההון העצמי הנדרש מחברת נאמנות ודרכי השקעתו בסעיף חדש. הסעיף החדש הסמיך את שר האוצר לקבוע במקום הוראות לעניין ההון העצמי ודרכי השקעתו הוראות לעניין חובת הפקדת פיקדון לטובת ציבור המחזיקים, חובת עריכת ביטוח או הפקדת פיקדון או ערבות בנקאית חלף ביטוח. נוסח התקנות שהוצע כלל הוראות לגבי ביטוח ופיקדון, אך לא כלל הוראות לגבי הון עצמי ודרכי השקעתו, וזאת משום שהרשות סבורה כי דרישת הפקדת פיקדון אפקטיבית יותר מדרישת קיומו של הון עצמי מינימאלי. בעקבות הערות הציבור שהתקבלו עודכנה טיוטת הצעת תיקון החוק האמורה לקראת הבאתה לאישור ועדת השרים לענייני חקיקה ולפרסומה כהצעת חוק ממשלתית ברשומות, במסגרת תזכיר החוק שפורסם אף הוא להערות הציבור שמרה לעצמה הרשות את הסמכות לקבוע בעתיד דרישות לעניין הון עצמי ודרכי השקעתו במידה שיתברר כי נושא הפקדת הפיקדון והביטוח אינו מספק. בימים אלה פועלים לגיבוש נוסח סופי של הצעת החוק לקראת ישיבת ועדת השרים לענייני חקיקה. תיקון התקנות יקודם במקביל לקצב הליך חקיקת החוק. נוסח התקנות לא צפוי להכיל הוראות לעניין הון עצמי ודרכי השקעתו.</w:t>
      </w:r>
    </w:p>
    <w:p w:rsidR="001C2FCD" w:rsidRPr="001C2FCD" w:rsidRDefault="001C2FCD" w:rsidP="001C2FC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 xml:space="preserve">ראה הערות רה"מ </w:t>
      </w:r>
      <w:proofErr w:type="spellStart"/>
      <w:r w:rsidRPr="001C2FCD">
        <w:rPr>
          <w:rFonts w:ascii="David" w:eastAsiaTheme="minorHAnsi" w:hAnsi="Times New Roman" w:cs="David" w:hint="cs"/>
          <w:color w:val="000000"/>
          <w:sz w:val="24"/>
          <w:szCs w:val="24"/>
          <w:rtl/>
        </w:rPr>
        <w:t>60ב</w:t>
      </w:r>
      <w:proofErr w:type="spellEnd"/>
      <w:r w:rsidRPr="001C2FCD">
        <w:rPr>
          <w:rFonts w:ascii="David" w:eastAsiaTheme="minorHAnsi" w:hAnsi="Times New Roman" w:cs="David" w:hint="cs"/>
          <w:color w:val="000000"/>
          <w:sz w:val="24"/>
          <w:szCs w:val="24"/>
          <w:rtl/>
        </w:rPr>
        <w:t xml:space="preserve">' </w:t>
      </w:r>
      <w:proofErr w:type="spellStart"/>
      <w:r w:rsidRPr="001C2FCD">
        <w:rPr>
          <w:rFonts w:ascii="David" w:eastAsiaTheme="minorHAnsi" w:hAnsi="Times New Roman" w:cs="David" w:hint="cs"/>
          <w:color w:val="000000"/>
          <w:sz w:val="24"/>
          <w:szCs w:val="24"/>
          <w:rtl/>
        </w:rPr>
        <w:t>עמ</w:t>
      </w:r>
      <w:proofErr w:type="spellEnd"/>
      <w:r w:rsidRPr="001C2FCD">
        <w:rPr>
          <w:rFonts w:ascii="David" w:eastAsiaTheme="minorHAnsi" w:hAnsi="Times New Roman" w:cs="David" w:hint="cs"/>
          <w:color w:val="000000"/>
          <w:sz w:val="24"/>
          <w:szCs w:val="24"/>
          <w:rtl/>
        </w:rPr>
        <w:t>' 43.</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ליקוי</w:t>
      </w:r>
    </w:p>
    <w:p w:rsidR="001C2FCD" w:rsidRPr="001C2FCD" w:rsidRDefault="001C2FCD" w:rsidP="001C2FCD">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1C2FCD" w:rsidRPr="001C2FCD" w:rsidRDefault="001C2FCD" w:rsidP="001C2FCD">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hint="cs"/>
          <w:color w:val="000000"/>
          <w:sz w:val="24"/>
          <w:szCs w:val="24"/>
          <w:rtl/>
        </w:rPr>
        <w:t>3.</w:t>
      </w: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 xml:space="preserve">במאי 2009 מינה הממונה על אגף שוק ההון ועדה – "ועדת </w:t>
      </w:r>
      <w:proofErr w:type="spellStart"/>
      <w:r w:rsidRPr="001C2FCD">
        <w:rPr>
          <w:rFonts w:ascii="David" w:eastAsiaTheme="minorHAnsi" w:hAnsi="Times New Roman" w:cs="David" w:hint="cs"/>
          <w:color w:val="000000"/>
          <w:sz w:val="24"/>
          <w:szCs w:val="24"/>
          <w:rtl/>
        </w:rPr>
        <w:t>חודק</w:t>
      </w:r>
      <w:proofErr w:type="spellEnd"/>
      <w:r w:rsidRPr="001C2FCD">
        <w:rPr>
          <w:rFonts w:ascii="David" w:eastAsiaTheme="minorHAnsi" w:hAnsi="Times New Roman" w:cs="David" w:hint="cs"/>
          <w:color w:val="000000"/>
          <w:sz w:val="24"/>
          <w:szCs w:val="24"/>
          <w:rtl/>
        </w:rPr>
        <w:t xml:space="preserve">" - שתקבע פרמטרים שייבחנו על ידי גופים מוסדיים המבקשים לרכוש איגרות חוב לא ממשלתיות. מתברר כי במהלך מינוי חברי הוועדה לא דאגו הממונה והייעוץ המשפטי של משרד האוצר לקבוע הסדרים למניעת ניגוד עניינים ברוח הנחיות היועץ המשפטי לממשלה. </w:t>
      </w:r>
    </w:p>
    <w:p w:rsidR="001C2FCD" w:rsidRPr="001C2FCD" w:rsidRDefault="001C2FCD" w:rsidP="001C2FCD">
      <w:pPr>
        <w:autoSpaceDE w:val="0"/>
        <w:autoSpaceDN w:val="0"/>
        <w:adjustRightInd w:val="0"/>
        <w:spacing w:after="0" w:line="288" w:lineRule="auto"/>
        <w:ind w:left="509" w:hanging="509"/>
        <w:jc w:val="right"/>
        <w:textAlignment w:val="center"/>
        <w:rPr>
          <w:rFonts w:ascii="David" w:eastAsiaTheme="minorHAnsi" w:hAnsi="Times New Roman" w:cs="David"/>
          <w:color w:val="000000"/>
          <w:sz w:val="24"/>
          <w:szCs w:val="24"/>
          <w:rtl/>
        </w:rPr>
      </w:pPr>
    </w:p>
    <w:p w:rsidR="001C2FCD" w:rsidRPr="001C2FCD" w:rsidRDefault="001C2FCD" w:rsidP="001C2FCD">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1C2FCD">
        <w:rPr>
          <w:rFonts w:ascii="David" w:eastAsiaTheme="minorHAnsi" w:hAnsi="Times New Roman" w:cs="David" w:hint="cs"/>
          <w:b/>
          <w:bCs/>
          <w:color w:val="000000"/>
          <w:sz w:val="24"/>
          <w:szCs w:val="24"/>
          <w:rtl/>
        </w:rPr>
        <w:t>מעקב</w:t>
      </w:r>
    </w:p>
    <w:p w:rsidR="001C2FCD" w:rsidRPr="001C2FCD" w:rsidRDefault="001C2FCD" w:rsidP="001C2FCD">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1C2FCD" w:rsidRPr="001C2FCD" w:rsidRDefault="001C2FCD" w:rsidP="001C2FCD">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1C2FCD">
        <w:rPr>
          <w:rFonts w:ascii="David" w:eastAsiaTheme="minorHAnsi" w:hAnsi="Times New Roman" w:cs="David" w:hint="cs"/>
          <w:color w:val="000000"/>
          <w:sz w:val="24"/>
          <w:szCs w:val="24"/>
          <w:rtl/>
        </w:rPr>
        <w:t xml:space="preserve">3. </w:t>
      </w:r>
      <w:r w:rsidRPr="001C2FCD">
        <w:rPr>
          <w:rFonts w:ascii="David" w:eastAsiaTheme="minorHAnsi" w:hAnsi="Times New Roman" w:cs="David"/>
          <w:color w:val="000000"/>
          <w:sz w:val="24"/>
          <w:szCs w:val="24"/>
          <w:rtl/>
        </w:rPr>
        <w:tab/>
      </w:r>
      <w:r w:rsidRPr="001C2FCD">
        <w:rPr>
          <w:rFonts w:ascii="David" w:eastAsiaTheme="minorHAnsi" w:hAnsi="Times New Roman" w:cs="David" w:hint="cs"/>
          <w:color w:val="000000"/>
          <w:sz w:val="24"/>
          <w:szCs w:val="24"/>
          <w:rtl/>
        </w:rPr>
        <w:t xml:space="preserve">הרשות פרסמה בעבר מספר הנחיות והחלטות בנוגע לתעודות התחייבות, ואולם בכל הנוגע להחלת עקרונות של ממשל תאגידי על חברות פרטיות, המנפיקות אג"ח </w:t>
      </w:r>
      <w:proofErr w:type="spellStart"/>
      <w:r w:rsidRPr="001C2FCD">
        <w:rPr>
          <w:rFonts w:ascii="David" w:eastAsiaTheme="minorHAnsi" w:hAnsi="Times New Roman" w:cs="David" w:hint="cs"/>
          <w:color w:val="000000"/>
          <w:sz w:val="24"/>
          <w:szCs w:val="24"/>
          <w:rtl/>
        </w:rPr>
        <w:t>קונצרניות</w:t>
      </w:r>
      <w:proofErr w:type="spellEnd"/>
      <w:r w:rsidRPr="001C2FCD">
        <w:rPr>
          <w:rFonts w:ascii="David" w:eastAsiaTheme="minorHAnsi" w:hAnsi="Times New Roman" w:cs="David" w:hint="cs"/>
          <w:color w:val="000000"/>
          <w:sz w:val="24"/>
          <w:szCs w:val="24"/>
          <w:rtl/>
        </w:rPr>
        <w:t xml:space="preserve"> לציבור, לא ניתנו על ידי הרשות הוראות כלליות. בסוגיות פרטניות ניתנו, במסגרת הפיקוח השוטף, הוראות גילוי ספציפיות לחברה מסוימת, אך אין זה ברמה רוחבית. יודגש כי בדרך- כלל הוראות בעניין שלטון תאגידי של חברות, מוסדר בדין הישראלי במסגרת חוק החברות. הרשות פעלה מול משרד המשפטים על ייזום תיקון חוק החברות.</w:t>
      </w:r>
    </w:p>
    <w:p w:rsidR="00926179" w:rsidRPr="001C2FCD" w:rsidRDefault="001C2FCD" w:rsidP="001C2FCD">
      <w:pPr>
        <w:ind w:firstLine="935"/>
      </w:pPr>
      <w:r>
        <w:rPr>
          <w:rFonts w:ascii="David" w:eastAsiaTheme="minorHAnsi" w:hAnsi="Times New Roman" w:cs="David" w:hint="cs"/>
          <w:color w:val="000000"/>
          <w:sz w:val="24"/>
          <w:szCs w:val="24"/>
          <w:rtl/>
        </w:rPr>
        <w:t xml:space="preserve">  </w:t>
      </w:r>
      <w:r w:rsidRPr="001C2FCD">
        <w:rPr>
          <w:rFonts w:ascii="David" w:eastAsiaTheme="minorHAnsi" w:hAnsi="Times New Roman" w:cs="David" w:hint="cs"/>
          <w:color w:val="000000"/>
          <w:sz w:val="24"/>
          <w:szCs w:val="24"/>
          <w:rtl/>
        </w:rPr>
        <w:t xml:space="preserve">ראה הערות רה"מ </w:t>
      </w:r>
      <w:proofErr w:type="spellStart"/>
      <w:r w:rsidRPr="001C2FCD">
        <w:rPr>
          <w:rFonts w:ascii="David" w:eastAsiaTheme="minorHAnsi" w:hAnsi="Times New Roman" w:cs="David" w:hint="cs"/>
          <w:color w:val="000000"/>
          <w:sz w:val="24"/>
          <w:szCs w:val="24"/>
          <w:rtl/>
        </w:rPr>
        <w:t>60ב</w:t>
      </w:r>
      <w:proofErr w:type="spellEnd"/>
      <w:r w:rsidRPr="001C2FCD">
        <w:rPr>
          <w:rFonts w:ascii="David" w:eastAsiaTheme="minorHAnsi" w:hAnsi="Times New Roman" w:cs="David" w:hint="cs"/>
          <w:color w:val="000000"/>
          <w:sz w:val="24"/>
          <w:szCs w:val="24"/>
          <w:rtl/>
        </w:rPr>
        <w:t xml:space="preserve">' </w:t>
      </w:r>
      <w:proofErr w:type="spellStart"/>
      <w:r w:rsidRPr="001C2FCD">
        <w:rPr>
          <w:rFonts w:ascii="David" w:eastAsiaTheme="minorHAnsi" w:hAnsi="Times New Roman" w:cs="David" w:hint="cs"/>
          <w:color w:val="000000"/>
          <w:sz w:val="24"/>
          <w:szCs w:val="24"/>
          <w:rtl/>
        </w:rPr>
        <w:t>עמ</w:t>
      </w:r>
      <w:proofErr w:type="spellEnd"/>
      <w:r w:rsidRPr="001C2FCD">
        <w:rPr>
          <w:rFonts w:ascii="David" w:eastAsiaTheme="minorHAnsi" w:hAnsi="Times New Roman" w:cs="David" w:hint="cs"/>
          <w:color w:val="000000"/>
          <w:sz w:val="24"/>
          <w:szCs w:val="24"/>
          <w:rtl/>
        </w:rPr>
        <w:t>' 44.</w:t>
      </w:r>
    </w:p>
    <w:sectPr w:rsidR="00926179" w:rsidRPr="001C2FCD"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179" w:rsidRDefault="00926179" w:rsidP="00DA5380">
      <w:pPr>
        <w:spacing w:after="0" w:line="240" w:lineRule="auto"/>
      </w:pPr>
      <w:r>
        <w:separator/>
      </w:r>
    </w:p>
  </w:endnote>
  <w:endnote w:type="continuationSeparator" w:id="1">
    <w:p w:rsidR="00926179" w:rsidRDefault="00926179" w:rsidP="00DA5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179" w:rsidRDefault="00926179" w:rsidP="00DA5380">
      <w:pPr>
        <w:spacing w:after="0" w:line="240" w:lineRule="auto"/>
      </w:pPr>
      <w:r>
        <w:separator/>
      </w:r>
    </w:p>
  </w:footnote>
  <w:footnote w:type="continuationSeparator" w:id="1">
    <w:p w:rsidR="00926179" w:rsidRDefault="00926179" w:rsidP="00DA5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179" w:rsidRPr="008D6005" w:rsidRDefault="00716C3F" w:rsidP="009B5C00">
    <w:pPr>
      <w:pStyle w:val="a3"/>
      <w:tabs>
        <w:tab w:val="clear" w:pos="4153"/>
      </w:tabs>
      <w:ind w:left="84" w:hanging="483"/>
      <w:jc w:val="right"/>
      <w:rPr>
        <w:i/>
        <w:iCs w:val="0"/>
        <w:sz w:val="18"/>
        <w:szCs w:val="18"/>
        <w:rtl/>
      </w:rPr>
    </w:pPr>
    <w:r w:rsidRPr="008D6005">
      <w:rPr>
        <w:i/>
        <w:iCs w:val="0"/>
        <w:sz w:val="18"/>
        <w:szCs w:val="18"/>
        <w:rtl/>
      </w:rPr>
      <w:fldChar w:fldCharType="begin"/>
    </w:r>
    <w:r w:rsidR="00926179" w:rsidRPr="008D6005">
      <w:rPr>
        <w:i/>
        <w:iCs w:val="0"/>
        <w:sz w:val="18"/>
        <w:szCs w:val="18"/>
        <w:rtl/>
      </w:rPr>
      <w:instrText xml:space="preserve"> </w:instrText>
    </w:r>
    <w:r w:rsidR="00926179" w:rsidRPr="008D6005">
      <w:rPr>
        <w:rFonts w:hint="cs"/>
        <w:i/>
        <w:iCs w:val="0"/>
        <w:sz w:val="18"/>
        <w:szCs w:val="18"/>
      </w:rPr>
      <w:instrText>TIME  \@ "HH:mm"  \* MERGEFORMAT</w:instrText>
    </w:r>
    <w:r w:rsidR="00926179" w:rsidRPr="008D6005">
      <w:rPr>
        <w:i/>
        <w:iCs w:val="0"/>
        <w:sz w:val="18"/>
        <w:szCs w:val="18"/>
        <w:rtl/>
      </w:rPr>
      <w:instrText xml:space="preserve"> </w:instrText>
    </w:r>
    <w:r w:rsidRPr="008D6005">
      <w:rPr>
        <w:i/>
        <w:iCs w:val="0"/>
        <w:sz w:val="18"/>
        <w:szCs w:val="18"/>
        <w:rtl/>
      </w:rPr>
      <w:fldChar w:fldCharType="separate"/>
    </w:r>
    <w:r w:rsidR="001C2FCD">
      <w:rPr>
        <w:i/>
        <w:iCs w:val="0"/>
        <w:noProof/>
        <w:sz w:val="18"/>
        <w:szCs w:val="18"/>
        <w:rtl/>
      </w:rPr>
      <w:t>‏10:26</w:t>
    </w:r>
    <w:r w:rsidRPr="008D6005">
      <w:rPr>
        <w:i/>
        <w:iCs w:val="0"/>
        <w:sz w:val="18"/>
        <w:szCs w:val="18"/>
        <w:rtl/>
      </w:rPr>
      <w:fldChar w:fldCharType="end"/>
    </w:r>
    <w:r w:rsidR="00926179" w:rsidRPr="008D6005">
      <w:rPr>
        <w:rFonts w:hint="cs"/>
        <w:i/>
        <w:iCs w:val="0"/>
        <w:sz w:val="18"/>
        <w:szCs w:val="18"/>
        <w:rtl/>
      </w:rPr>
      <w:t xml:space="preserve">  </w:t>
    </w:r>
    <w:r w:rsidRPr="008D6005">
      <w:rPr>
        <w:i/>
        <w:iCs w:val="0"/>
        <w:sz w:val="18"/>
        <w:szCs w:val="18"/>
        <w:rtl/>
      </w:rPr>
      <w:fldChar w:fldCharType="begin"/>
    </w:r>
    <w:r w:rsidR="00926179" w:rsidRPr="008D6005">
      <w:rPr>
        <w:i/>
        <w:iCs w:val="0"/>
        <w:sz w:val="18"/>
        <w:szCs w:val="18"/>
        <w:rtl/>
      </w:rPr>
      <w:instrText xml:space="preserve"> </w:instrText>
    </w:r>
    <w:r w:rsidR="00926179" w:rsidRPr="008D6005">
      <w:rPr>
        <w:rFonts w:hint="cs"/>
        <w:i/>
        <w:iCs w:val="0"/>
        <w:sz w:val="18"/>
        <w:szCs w:val="18"/>
      </w:rPr>
      <w:instrText>DATE  \@ "yyyy-MM-dd"  \* MERGEFORMAT</w:instrText>
    </w:r>
    <w:r w:rsidR="00926179" w:rsidRPr="008D6005">
      <w:rPr>
        <w:i/>
        <w:iCs w:val="0"/>
        <w:sz w:val="18"/>
        <w:szCs w:val="18"/>
        <w:rtl/>
      </w:rPr>
      <w:instrText xml:space="preserve"> </w:instrText>
    </w:r>
    <w:r w:rsidRPr="008D6005">
      <w:rPr>
        <w:i/>
        <w:iCs w:val="0"/>
        <w:sz w:val="18"/>
        <w:szCs w:val="18"/>
        <w:rtl/>
      </w:rPr>
      <w:fldChar w:fldCharType="separate"/>
    </w:r>
    <w:r w:rsidR="001C2FCD">
      <w:rPr>
        <w:i/>
        <w:iCs w:val="0"/>
        <w:noProof/>
        <w:sz w:val="18"/>
        <w:szCs w:val="18"/>
        <w:rtl/>
      </w:rPr>
      <w:t>‏2010–12–12</w:t>
    </w:r>
    <w:r w:rsidRPr="008D6005">
      <w:rPr>
        <w:i/>
        <w:iCs w:val="0"/>
        <w:sz w:val="18"/>
        <w:szCs w:val="18"/>
        <w:rtl/>
      </w:rPr>
      <w:fldChar w:fldCharType="end"/>
    </w:r>
    <w:r w:rsidR="00926179" w:rsidRPr="008D6005">
      <w:rPr>
        <w:rFonts w:hint="cs"/>
        <w:i/>
        <w:iCs w:val="0"/>
        <w:sz w:val="18"/>
        <w:szCs w:val="18"/>
        <w:rtl/>
      </w:rPr>
      <w:t xml:space="preserve">   </w:t>
    </w:r>
    <w:fldSimple w:instr=" FILENAME  \* FirstCap \p  \* MERGEFORMAT ">
      <w:r w:rsidR="00E65FBC" w:rsidRPr="00E65FBC">
        <w:rPr>
          <w:i/>
          <w:iCs w:val="0"/>
          <w:noProof/>
          <w:sz w:val="18"/>
          <w:szCs w:val="18"/>
        </w:rPr>
        <w:t>L:\</w:t>
      </w:r>
      <w:r w:rsidR="00E65FBC" w:rsidRPr="00E65FBC">
        <w:rPr>
          <w:i/>
          <w:iCs w:val="0"/>
          <w:noProof/>
          <w:sz w:val="18"/>
          <w:szCs w:val="18"/>
          <w:rtl/>
        </w:rPr>
        <w:t>הספר - מעקבים 60ב\פנינה\60ב\משרד האוצר\הסדרת מנגנוני הגנה למחזיקי תעודות התחייבות</w:t>
      </w:r>
      <w:r w:rsidR="00E65FBC">
        <w:rPr>
          <w:noProof/>
        </w:rPr>
        <w:t>.docx</w:t>
      </w:r>
    </w:fldSimple>
    <w:r w:rsidR="00926179" w:rsidRPr="008D6005">
      <w:rPr>
        <w:rFonts w:hint="cs"/>
        <w:i/>
        <w:iCs w:val="0"/>
        <w:sz w:val="18"/>
        <w:szCs w:val="18"/>
        <w:rtl/>
      </w:rPr>
      <w:t xml:space="preserve">    -</w:t>
    </w:r>
    <w:r w:rsidRPr="008D6005">
      <w:rPr>
        <w:i/>
        <w:iCs w:val="0"/>
        <w:sz w:val="18"/>
        <w:szCs w:val="18"/>
        <w:rtl/>
      </w:rPr>
      <w:fldChar w:fldCharType="begin"/>
    </w:r>
    <w:r w:rsidR="00926179" w:rsidRPr="008D6005">
      <w:rPr>
        <w:i/>
        <w:iCs w:val="0"/>
        <w:sz w:val="18"/>
        <w:szCs w:val="18"/>
        <w:rtl/>
      </w:rPr>
      <w:instrText xml:space="preserve"> </w:instrText>
    </w:r>
    <w:r w:rsidR="00926179" w:rsidRPr="008D6005">
      <w:rPr>
        <w:i/>
        <w:iCs w:val="0"/>
        <w:sz w:val="18"/>
        <w:szCs w:val="18"/>
      </w:rPr>
      <w:instrText>PAGE   \* MERGEFORMAT</w:instrText>
    </w:r>
    <w:r w:rsidR="00926179" w:rsidRPr="008D6005">
      <w:rPr>
        <w:i/>
        <w:iCs w:val="0"/>
        <w:sz w:val="18"/>
        <w:szCs w:val="18"/>
        <w:rtl/>
      </w:rPr>
      <w:instrText xml:space="preserve"> </w:instrText>
    </w:r>
    <w:r w:rsidRPr="008D6005">
      <w:rPr>
        <w:i/>
        <w:iCs w:val="0"/>
        <w:sz w:val="18"/>
        <w:szCs w:val="18"/>
        <w:rtl/>
      </w:rPr>
      <w:fldChar w:fldCharType="separate"/>
    </w:r>
    <w:r w:rsidR="001C2FCD">
      <w:rPr>
        <w:i/>
        <w:iCs w:val="0"/>
        <w:noProof/>
        <w:sz w:val="18"/>
        <w:szCs w:val="18"/>
        <w:rtl/>
      </w:rPr>
      <w:t>2</w:t>
    </w:r>
    <w:r w:rsidRPr="008D6005">
      <w:rPr>
        <w:i/>
        <w:iCs w:val="0"/>
        <w:sz w:val="18"/>
        <w:szCs w:val="18"/>
        <w:rtl/>
      </w:rPr>
      <w:fldChar w:fldCharType="end"/>
    </w:r>
    <w:r w:rsidR="00926179" w:rsidRPr="008D6005">
      <w:rPr>
        <w:rFonts w:hint="cs"/>
        <w:i/>
        <w:iCs w:val="0"/>
        <w:sz w:val="18"/>
        <w:szCs w:val="18"/>
        <w:rtl/>
      </w:rPr>
      <w:t>-</w:t>
    </w:r>
  </w:p>
  <w:p w:rsidR="00926179" w:rsidRPr="009F59BD" w:rsidRDefault="00926179" w:rsidP="009B5C00">
    <w:pPr>
      <w:pStyle w:val="a3"/>
      <w:tabs>
        <w:tab w:val="clear" w:pos="4153"/>
      </w:tabs>
      <w:ind w:left="84" w:hanging="483"/>
      <w:jc w:val="right"/>
      <w:rPr>
        <w:sz w:val="18"/>
        <w:szCs w:val="18"/>
        <w:rtl/>
      </w:rPr>
    </w:pPr>
  </w:p>
  <w:p w:rsidR="00926179" w:rsidRPr="00B90376" w:rsidRDefault="00926179" w:rsidP="009B5C00">
    <w:pPr>
      <w:tabs>
        <w:tab w:val="left" w:pos="1316"/>
        <w:tab w:val="center" w:pos="4153"/>
      </w:tabs>
      <w:ind w:hanging="483"/>
      <w:rPr>
        <w:rFonts w:cs="David"/>
        <w:sz w:val="18"/>
        <w:szCs w:val="18"/>
        <w:u w:val="single"/>
        <w:rtl/>
      </w:rPr>
    </w:pPr>
    <w:r w:rsidRPr="00B90376">
      <w:rPr>
        <w:rFonts w:cs="David" w:hint="cs"/>
        <w:sz w:val="18"/>
        <w:szCs w:val="18"/>
        <w:u w:val="single"/>
        <w:rtl/>
      </w:rPr>
      <w:t xml:space="preserve">מעקב אחר תיקון ליקויים, אגף המפקח הכללי  לענייני ביקורת המדינה         </w:t>
    </w:r>
    <w:r w:rsidRPr="00316967">
      <w:rPr>
        <w:rFonts w:cs="David" w:hint="cs"/>
        <w:sz w:val="18"/>
        <w:szCs w:val="18"/>
        <w:u w:val="single"/>
        <w:rtl/>
      </w:rPr>
      <w:t xml:space="preserve"> </w:t>
    </w:r>
    <w:r w:rsidRPr="00B90376">
      <w:rPr>
        <w:rFonts w:cs="David" w:hint="cs"/>
        <w:sz w:val="18"/>
        <w:szCs w:val="18"/>
        <w:u w:val="single"/>
        <w:rtl/>
      </w:rPr>
      <w:t xml:space="preserve">     </w:t>
    </w:r>
    <w:r>
      <w:rPr>
        <w:rFonts w:cs="David" w:hint="cs"/>
        <w:sz w:val="18"/>
        <w:szCs w:val="18"/>
        <w:u w:val="single"/>
        <w:rtl/>
      </w:rPr>
      <w:t xml:space="preserve">  </w:t>
    </w:r>
    <w:r w:rsidRPr="00316967">
      <w:rPr>
        <w:rFonts w:cs="David" w:hint="cs"/>
        <w:sz w:val="18"/>
        <w:szCs w:val="18"/>
        <w:u w:val="single"/>
        <w:rtl/>
      </w:rPr>
      <w:t xml:space="preserve">                    </w:t>
    </w:r>
    <w:r w:rsidRPr="00B90376">
      <w:rPr>
        <w:rFonts w:cs="David" w:hint="cs"/>
        <w:sz w:val="18"/>
        <w:szCs w:val="18"/>
        <w:u w:val="single"/>
        <w:rtl/>
      </w:rPr>
      <w:t xml:space="preserve">  </w:t>
    </w:r>
    <w:r w:rsidRPr="00316967">
      <w:rPr>
        <w:rFonts w:cs="David" w:hint="cs"/>
        <w:sz w:val="18"/>
        <w:szCs w:val="18"/>
        <w:u w:val="single"/>
        <w:rtl/>
      </w:rPr>
      <w:t xml:space="preserve">    </w:t>
    </w:r>
    <w:r>
      <w:rPr>
        <w:rFonts w:cs="David" w:hint="cs"/>
        <w:sz w:val="18"/>
        <w:szCs w:val="18"/>
        <w:u w:val="single"/>
        <w:rtl/>
      </w:rPr>
      <w:t xml:space="preserve">        </w:t>
    </w:r>
    <w:r w:rsidRPr="00316967">
      <w:rPr>
        <w:rFonts w:cs="David" w:hint="cs"/>
        <w:sz w:val="18"/>
        <w:szCs w:val="18"/>
        <w:u w:val="single"/>
        <w:rtl/>
      </w:rPr>
      <w:t xml:space="preserve">  </w:t>
    </w:r>
    <w:r w:rsidRPr="00B90376">
      <w:rPr>
        <w:rFonts w:cs="David" w:hint="cs"/>
        <w:sz w:val="18"/>
        <w:szCs w:val="18"/>
        <w:u w:val="single"/>
        <w:rtl/>
      </w:rPr>
      <w:t xml:space="preserve">      </w:t>
    </w:r>
    <w:r w:rsidRPr="00316967">
      <w:rPr>
        <w:rFonts w:cs="David" w:hint="cs"/>
        <w:sz w:val="18"/>
        <w:szCs w:val="18"/>
        <w:u w:val="single"/>
        <w:rtl/>
      </w:rPr>
      <w:t xml:space="preserve">     </w:t>
    </w:r>
    <w:r>
      <w:rPr>
        <w:rFonts w:cs="David" w:hint="cs"/>
        <w:sz w:val="18"/>
        <w:szCs w:val="18"/>
        <w:u w:val="single"/>
        <w:rtl/>
      </w:rPr>
      <w:t xml:space="preserve">     </w:t>
    </w:r>
    <w:r w:rsidRPr="00316967">
      <w:rPr>
        <w:rFonts w:cs="David" w:hint="cs"/>
        <w:sz w:val="18"/>
        <w:szCs w:val="18"/>
        <w:u w:val="single"/>
        <w:rtl/>
      </w:rPr>
      <w:t xml:space="preserve">    </w:t>
    </w:r>
    <w:r w:rsidRPr="00B90376">
      <w:rPr>
        <w:rFonts w:cs="David" w:hint="cs"/>
        <w:sz w:val="18"/>
        <w:szCs w:val="18"/>
        <w:u w:val="single"/>
        <w:rtl/>
      </w:rPr>
      <w:t xml:space="preserve">            </w:t>
    </w:r>
    <w:r w:rsidRPr="00316967">
      <w:rPr>
        <w:rFonts w:cs="David" w:hint="cs"/>
        <w:sz w:val="18"/>
        <w:szCs w:val="18"/>
        <w:u w:val="single"/>
        <w:rtl/>
      </w:rPr>
      <w:t>משרד האוצר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F3D80"/>
    <w:multiLevelType w:val="hybridMultilevel"/>
    <w:tmpl w:val="1284CE06"/>
    <w:lvl w:ilvl="0" w:tplc="49800746">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B09576B"/>
    <w:multiLevelType w:val="hybridMultilevel"/>
    <w:tmpl w:val="CC04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B043BD"/>
    <w:multiLevelType w:val="hybridMultilevel"/>
    <w:tmpl w:val="D950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06F50"/>
    <w:rsid w:val="00000243"/>
    <w:rsid w:val="00000739"/>
    <w:rsid w:val="00027667"/>
    <w:rsid w:val="00043D5A"/>
    <w:rsid w:val="000510D6"/>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C2FCD"/>
    <w:rsid w:val="001C723E"/>
    <w:rsid w:val="001D2CC6"/>
    <w:rsid w:val="001E5006"/>
    <w:rsid w:val="001E6A43"/>
    <w:rsid w:val="00206F50"/>
    <w:rsid w:val="00232852"/>
    <w:rsid w:val="00236D2F"/>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46AB7"/>
    <w:rsid w:val="00354067"/>
    <w:rsid w:val="00360A13"/>
    <w:rsid w:val="00377C35"/>
    <w:rsid w:val="003A6D84"/>
    <w:rsid w:val="003A7C4A"/>
    <w:rsid w:val="003C75F5"/>
    <w:rsid w:val="003D223E"/>
    <w:rsid w:val="003E14BC"/>
    <w:rsid w:val="003E1745"/>
    <w:rsid w:val="003E7AD3"/>
    <w:rsid w:val="003F0D44"/>
    <w:rsid w:val="003F131D"/>
    <w:rsid w:val="0040392F"/>
    <w:rsid w:val="00425898"/>
    <w:rsid w:val="00430674"/>
    <w:rsid w:val="00435271"/>
    <w:rsid w:val="004377BE"/>
    <w:rsid w:val="004515D1"/>
    <w:rsid w:val="004538D4"/>
    <w:rsid w:val="00456C02"/>
    <w:rsid w:val="00467CE6"/>
    <w:rsid w:val="004763C5"/>
    <w:rsid w:val="004917AA"/>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63607"/>
    <w:rsid w:val="005A548B"/>
    <w:rsid w:val="005A6E05"/>
    <w:rsid w:val="005D57C1"/>
    <w:rsid w:val="0060499E"/>
    <w:rsid w:val="00606B34"/>
    <w:rsid w:val="00606CCF"/>
    <w:rsid w:val="00624861"/>
    <w:rsid w:val="00632551"/>
    <w:rsid w:val="00642830"/>
    <w:rsid w:val="00646F69"/>
    <w:rsid w:val="006643DF"/>
    <w:rsid w:val="006653A5"/>
    <w:rsid w:val="006756D2"/>
    <w:rsid w:val="0067780E"/>
    <w:rsid w:val="006807A6"/>
    <w:rsid w:val="006942D9"/>
    <w:rsid w:val="006A67BA"/>
    <w:rsid w:val="006E0566"/>
    <w:rsid w:val="006E7ED9"/>
    <w:rsid w:val="00716C3F"/>
    <w:rsid w:val="0073050A"/>
    <w:rsid w:val="00733D53"/>
    <w:rsid w:val="00753962"/>
    <w:rsid w:val="007629F8"/>
    <w:rsid w:val="00762B5D"/>
    <w:rsid w:val="00772A72"/>
    <w:rsid w:val="007736D0"/>
    <w:rsid w:val="007827A7"/>
    <w:rsid w:val="00783E86"/>
    <w:rsid w:val="00787AB8"/>
    <w:rsid w:val="007A22BA"/>
    <w:rsid w:val="007B0C4D"/>
    <w:rsid w:val="007B4AAF"/>
    <w:rsid w:val="007D1079"/>
    <w:rsid w:val="00810E64"/>
    <w:rsid w:val="0081406C"/>
    <w:rsid w:val="00817201"/>
    <w:rsid w:val="00867F44"/>
    <w:rsid w:val="0088076B"/>
    <w:rsid w:val="008A1154"/>
    <w:rsid w:val="008B1C1D"/>
    <w:rsid w:val="008B5AD7"/>
    <w:rsid w:val="008D6336"/>
    <w:rsid w:val="008F2398"/>
    <w:rsid w:val="009021C2"/>
    <w:rsid w:val="009136DC"/>
    <w:rsid w:val="00917859"/>
    <w:rsid w:val="00922D8C"/>
    <w:rsid w:val="00926179"/>
    <w:rsid w:val="009409FE"/>
    <w:rsid w:val="00963FFB"/>
    <w:rsid w:val="00973104"/>
    <w:rsid w:val="00984194"/>
    <w:rsid w:val="00993D03"/>
    <w:rsid w:val="00996DB6"/>
    <w:rsid w:val="009A62C4"/>
    <w:rsid w:val="009B1770"/>
    <w:rsid w:val="009B5C00"/>
    <w:rsid w:val="009D6F86"/>
    <w:rsid w:val="009E5072"/>
    <w:rsid w:val="009E6EFD"/>
    <w:rsid w:val="009E732F"/>
    <w:rsid w:val="00A020E1"/>
    <w:rsid w:val="00A22065"/>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14B7"/>
    <w:rsid w:val="00C6659C"/>
    <w:rsid w:val="00C723C0"/>
    <w:rsid w:val="00CA2206"/>
    <w:rsid w:val="00CB6CA1"/>
    <w:rsid w:val="00CC3E2F"/>
    <w:rsid w:val="00CC683F"/>
    <w:rsid w:val="00CE2D49"/>
    <w:rsid w:val="00D02568"/>
    <w:rsid w:val="00D038BA"/>
    <w:rsid w:val="00D04CE8"/>
    <w:rsid w:val="00D20800"/>
    <w:rsid w:val="00D23CD4"/>
    <w:rsid w:val="00D37D9E"/>
    <w:rsid w:val="00D57A3C"/>
    <w:rsid w:val="00D66429"/>
    <w:rsid w:val="00D8517D"/>
    <w:rsid w:val="00DA0DCD"/>
    <w:rsid w:val="00DA5380"/>
    <w:rsid w:val="00DA74D9"/>
    <w:rsid w:val="00DC0772"/>
    <w:rsid w:val="00DE169C"/>
    <w:rsid w:val="00DF2B24"/>
    <w:rsid w:val="00E12867"/>
    <w:rsid w:val="00E20A2E"/>
    <w:rsid w:val="00E20D8A"/>
    <w:rsid w:val="00E25D97"/>
    <w:rsid w:val="00E30198"/>
    <w:rsid w:val="00E314A0"/>
    <w:rsid w:val="00E4475C"/>
    <w:rsid w:val="00E47FEC"/>
    <w:rsid w:val="00E54BFD"/>
    <w:rsid w:val="00E64E00"/>
    <w:rsid w:val="00E65FBC"/>
    <w:rsid w:val="00E667E9"/>
    <w:rsid w:val="00E67FFC"/>
    <w:rsid w:val="00E728AF"/>
    <w:rsid w:val="00E77641"/>
    <w:rsid w:val="00E84B36"/>
    <w:rsid w:val="00E8515A"/>
    <w:rsid w:val="00E92150"/>
    <w:rsid w:val="00E92381"/>
    <w:rsid w:val="00EA14C1"/>
    <w:rsid w:val="00EC33CF"/>
    <w:rsid w:val="00ED0AD8"/>
    <w:rsid w:val="00EF3EE3"/>
    <w:rsid w:val="00EF6F1E"/>
    <w:rsid w:val="00F17E20"/>
    <w:rsid w:val="00F24A00"/>
    <w:rsid w:val="00F471BF"/>
    <w:rsid w:val="00F532A4"/>
    <w:rsid w:val="00F53CF2"/>
    <w:rsid w:val="00F61368"/>
    <w:rsid w:val="00F61BE5"/>
    <w:rsid w:val="00F73C50"/>
    <w:rsid w:val="00F74C5C"/>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F50"/>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206F50"/>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3">
    <w:name w:val="heading 3"/>
    <w:basedOn w:val="a"/>
    <w:next w:val="a"/>
    <w:link w:val="30"/>
    <w:qFormat/>
    <w:rsid w:val="00206F50"/>
    <w:pPr>
      <w:keepNext/>
      <w:keepLines/>
      <w:spacing w:before="200" w:after="0"/>
      <w:outlineLvl w:val="2"/>
    </w:pPr>
    <w:rPr>
      <w:rFonts w:ascii="Cambria" w:eastAsia="Calibri" w:hAnsi="Cambria" w:cs="Times New Roman"/>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206F50"/>
    <w:rPr>
      <w:rFonts w:ascii="Times New Roman" w:eastAsia="Calibri" w:hAnsi="Times New Roman"/>
      <w:b/>
      <w:bCs/>
      <w:kern w:val="32"/>
      <w:sz w:val="32"/>
      <w:szCs w:val="36"/>
      <w:u w:val="single"/>
      <w:lang w:eastAsia="he-IL"/>
    </w:rPr>
  </w:style>
  <w:style w:type="character" w:customStyle="1" w:styleId="30">
    <w:name w:val="כותרת 3 תו"/>
    <w:basedOn w:val="a0"/>
    <w:link w:val="3"/>
    <w:rsid w:val="00206F50"/>
    <w:rPr>
      <w:rFonts w:ascii="Cambria" w:eastAsia="Calibri" w:hAnsi="Cambria" w:cs="Times New Roman"/>
      <w:b/>
      <w:bCs/>
      <w:color w:val="4F81BD"/>
      <w:sz w:val="22"/>
      <w:szCs w:val="22"/>
    </w:rPr>
  </w:style>
  <w:style w:type="paragraph" w:customStyle="1" w:styleId="11">
    <w:name w:val="פיסקת רשימה1"/>
    <w:basedOn w:val="a"/>
    <w:rsid w:val="00206F50"/>
    <w:pPr>
      <w:ind w:left="720"/>
      <w:contextualSpacing/>
    </w:pPr>
  </w:style>
  <w:style w:type="paragraph" w:styleId="a3">
    <w:name w:val="header"/>
    <w:basedOn w:val="a"/>
    <w:link w:val="a4"/>
    <w:rsid w:val="00206F50"/>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4">
    <w:name w:val="כותרת עליונה תו"/>
    <w:basedOn w:val="a0"/>
    <w:link w:val="a3"/>
    <w:rsid w:val="00206F50"/>
    <w:rPr>
      <w:rFonts w:ascii="Times New Roman" w:eastAsia="Calibri" w:hAnsi="Times New Roman"/>
      <w:iCs/>
      <w:lang w:eastAsia="he-IL"/>
    </w:rPr>
  </w:style>
  <w:style w:type="paragraph" w:styleId="a5">
    <w:name w:val="Balloon Text"/>
    <w:basedOn w:val="a"/>
    <w:link w:val="a6"/>
    <w:uiPriority w:val="99"/>
    <w:semiHidden/>
    <w:unhideWhenUsed/>
    <w:rsid w:val="00206F50"/>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206F50"/>
    <w:rPr>
      <w:rFonts w:ascii="Tahoma" w:eastAsia="Times New Roman" w:hAnsi="Tahoma" w:cs="Tahoma"/>
      <w:sz w:val="16"/>
      <w:szCs w:val="16"/>
    </w:rPr>
  </w:style>
  <w:style w:type="paragraph" w:styleId="a7">
    <w:name w:val="List Paragraph"/>
    <w:basedOn w:val="a"/>
    <w:uiPriority w:val="34"/>
    <w:qFormat/>
    <w:rsid w:val="00D23CD4"/>
    <w:pPr>
      <w:ind w:left="720"/>
      <w:contextualSpacing/>
    </w:pPr>
    <w:rPr>
      <w:rFonts w:asciiTheme="minorHAnsi" w:eastAsiaTheme="minorHAnsi" w:hAnsiTheme="minorHAnsi" w:cstheme="minorBidi"/>
    </w:rPr>
  </w:style>
  <w:style w:type="paragraph" w:customStyle="1" w:styleId="a8">
    <w:name w:val="כותרת מאמר"/>
    <w:basedOn w:val="a"/>
    <w:uiPriority w:val="99"/>
    <w:rsid w:val="001C2FCD"/>
    <w:pPr>
      <w:suppressAutoHyphens/>
      <w:autoSpaceDE w:val="0"/>
      <w:autoSpaceDN w:val="0"/>
      <w:adjustRightInd w:val="0"/>
      <w:spacing w:after="170" w:line="340" w:lineRule="atLeast"/>
      <w:jc w:val="center"/>
      <w:textAlignment w:val="center"/>
    </w:pPr>
    <w:rPr>
      <w:rFonts w:ascii="David" w:eastAsiaTheme="minorHAnsi" w:hAnsiTheme="minorHAnsi" w:cs="David"/>
      <w:b/>
      <w:bCs/>
      <w:color w:val="000000"/>
      <w:sz w:val="36"/>
      <w:szCs w:val="36"/>
    </w:rPr>
  </w:style>
  <w:style w:type="paragraph" w:customStyle="1" w:styleId="a9">
    <w:name w:val="טקסט רץ"/>
    <w:basedOn w:val="a"/>
    <w:next w:val="a"/>
    <w:uiPriority w:val="99"/>
    <w:rsid w:val="001C2FCD"/>
    <w:pPr>
      <w:suppressAutoHyphens/>
      <w:autoSpaceDE w:val="0"/>
      <w:autoSpaceDN w:val="0"/>
      <w:adjustRightInd w:val="0"/>
      <w:spacing w:after="170" w:line="260" w:lineRule="atLeast"/>
      <w:jc w:val="both"/>
      <w:textAlignment w:val="center"/>
    </w:pPr>
    <w:rPr>
      <w:rFonts w:ascii="David" w:eastAsiaTheme="minorHAnsi" w:hAnsiTheme="minorHAnsi" w:cs="David"/>
      <w:color w:val="000000"/>
      <w:sz w:val="24"/>
      <w:szCs w:val="24"/>
    </w:rPr>
  </w:style>
  <w:style w:type="paragraph" w:customStyle="1" w:styleId="aa">
    <w:name w:val="טקסט רץ מספרים"/>
    <w:basedOn w:val="a"/>
    <w:uiPriority w:val="99"/>
    <w:rsid w:val="001C2FCD"/>
    <w:pPr>
      <w:suppressAutoHyphens/>
      <w:autoSpaceDE w:val="0"/>
      <w:autoSpaceDN w:val="0"/>
      <w:adjustRightInd w:val="0"/>
      <w:spacing w:after="170" w:line="260" w:lineRule="atLeast"/>
      <w:ind w:left="283" w:hanging="283"/>
      <w:jc w:val="both"/>
      <w:textAlignment w:val="center"/>
    </w:pPr>
    <w:rPr>
      <w:rFonts w:ascii="David" w:eastAsiaTheme="minorHAnsi" w:hAnsiTheme="minorHAnsi" w:cs="David"/>
      <w:color w:val="000000"/>
      <w:sz w:val="24"/>
      <w:szCs w:val="24"/>
    </w:rPr>
  </w:style>
  <w:style w:type="character" w:customStyle="1" w:styleId="ab">
    <w:name w:val="בולד"/>
    <w:uiPriority w:val="99"/>
    <w:rsid w:val="001C2FCD"/>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3461</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2010-10-13T12:23:00Z</cp:lastPrinted>
  <dcterms:created xsi:type="dcterms:W3CDTF">2010-12-12T08:27:00Z</dcterms:created>
  <dcterms:modified xsi:type="dcterms:W3CDTF">2010-12-12T08:27:00Z</dcterms:modified>
</cp:coreProperties>
</file>