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4C0" w:rsidRDefault="00E364C0" w:rsidP="00E364C0">
      <w:pPr>
        <w:pStyle w:val="a6"/>
        <w:rPr>
          <w:rFonts w:hint="cs"/>
          <w:sz w:val="20"/>
          <w:szCs w:val="20"/>
          <w:u w:val="single"/>
          <w:rtl/>
        </w:rPr>
      </w:pPr>
    </w:p>
    <w:p w:rsidR="0018296E" w:rsidRPr="0018296E" w:rsidRDefault="0018296E" w:rsidP="0018296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8296E">
        <w:rPr>
          <w:rFonts w:ascii="David" w:eastAsiaTheme="minorHAnsi" w:hAnsiTheme="minorHAnsi" w:cs="David" w:hint="cs"/>
          <w:b/>
          <w:bCs/>
          <w:color w:val="000000"/>
          <w:sz w:val="36"/>
          <w:szCs w:val="36"/>
          <w:rtl/>
        </w:rPr>
        <w:t>משרד המשפטים</w:t>
      </w:r>
    </w:p>
    <w:p w:rsidR="0018296E" w:rsidRPr="0018296E" w:rsidRDefault="0018296E" w:rsidP="0018296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18296E">
        <w:rPr>
          <w:rFonts w:ascii="David" w:eastAsiaTheme="minorHAnsi" w:hAnsiTheme="minorHAnsi" w:cs="David" w:hint="cs"/>
          <w:b/>
          <w:bCs/>
          <w:color w:val="000000"/>
          <w:sz w:val="32"/>
          <w:szCs w:val="32"/>
          <w:rtl/>
        </w:rPr>
        <w:t>הליכים ופעולות למחשוב בתי המשפט</w:t>
      </w: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הגופים המבוקרים: הנהלת בתי המשפט; משרד האוצר – אגף החשב הכללי</w:t>
      </w:r>
    </w:p>
    <w:p w:rsidR="0018296E" w:rsidRPr="0018296E" w:rsidRDefault="0018296E" w:rsidP="0018296E">
      <w:pPr>
        <w:autoSpaceDE w:val="0"/>
        <w:autoSpaceDN w:val="0"/>
        <w:adjustRightInd w:val="0"/>
        <w:spacing w:line="288" w:lineRule="auto"/>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ליקוי</w:t>
      </w:r>
    </w:p>
    <w:p w:rsidR="0018296E" w:rsidRPr="0018296E" w:rsidRDefault="0018296E" w:rsidP="0018296E">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1.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פגמים בהיערכות לפרויקט ובהתקשרות עם הספקים:</w:t>
      </w:r>
      <w:r w:rsidRPr="0018296E">
        <w:rPr>
          <w:rFonts w:ascii="David" w:eastAsiaTheme="minorHAnsi" w:cs="David" w:hint="cs"/>
          <w:b/>
          <w:bCs/>
          <w:color w:val="000000"/>
          <w:sz w:val="24"/>
          <w:szCs w:val="24"/>
          <w:rtl/>
        </w:rPr>
        <w:t xml:space="preserve"> </w:t>
      </w:r>
      <w:r w:rsidRPr="0018296E">
        <w:rPr>
          <w:rFonts w:ascii="David" w:eastAsiaTheme="minorHAnsi" w:cs="David" w:hint="cs"/>
          <w:color w:val="000000"/>
          <w:sz w:val="24"/>
          <w:szCs w:val="24"/>
          <w:rtl/>
        </w:rPr>
        <w:t xml:space="preserve">הנהלת בתי המשפט לא פעלה בפיתוח המערכת לפי הנוהל המחייב לפיתוח מערכות מידע במשרדי ממשלה - נוהל מפת"ח; ההתקשרות לניהול הפרויקט נעשתה בפטור ממכרז, בנימוק שמדובר באיחוד מערכות קיימות, אולם בסופו של דבר התוצר היה פרויקט פיתוח חדש, ולכן כשהתברר שמדובר במערכת חדשה, מן הראוי היה לצאת במכרז פומבי לפיתוח המערכת, כמתחייב מחוק חובת המכרזים, </w:t>
      </w:r>
      <w:proofErr w:type="spellStart"/>
      <w:r w:rsidRPr="0018296E">
        <w:rPr>
          <w:rFonts w:ascii="David" w:eastAsiaTheme="minorHAnsi" w:cs="David" w:hint="cs"/>
          <w:color w:val="000000"/>
          <w:sz w:val="24"/>
          <w:szCs w:val="24"/>
          <w:rtl/>
        </w:rPr>
        <w:t>התשנ"ב</w:t>
      </w:r>
      <w:proofErr w:type="spellEnd"/>
      <w:r w:rsidRPr="0018296E">
        <w:rPr>
          <w:rFonts w:ascii="David" w:eastAsiaTheme="minorHAnsi" w:cs="David" w:hint="cs"/>
          <w:color w:val="000000"/>
          <w:sz w:val="24"/>
          <w:szCs w:val="24"/>
          <w:rtl/>
        </w:rPr>
        <w:t xml:space="preserve">-1992 ומתקנות חובת המכרזים, </w:t>
      </w:r>
      <w:proofErr w:type="spellStart"/>
      <w:r w:rsidRPr="0018296E">
        <w:rPr>
          <w:rFonts w:ascii="David" w:eastAsiaTheme="minorHAnsi" w:cs="David" w:hint="cs"/>
          <w:color w:val="000000"/>
          <w:sz w:val="24"/>
          <w:szCs w:val="24"/>
          <w:rtl/>
        </w:rPr>
        <w:t>התשנ"ג</w:t>
      </w:r>
      <w:proofErr w:type="spellEnd"/>
      <w:r w:rsidRPr="0018296E">
        <w:rPr>
          <w:rFonts w:ascii="David" w:eastAsiaTheme="minorHAnsi" w:cs="David" w:hint="cs"/>
          <w:color w:val="000000"/>
          <w:sz w:val="24"/>
          <w:szCs w:val="24"/>
          <w:rtl/>
        </w:rPr>
        <w:t>-1993; ההסכם לפיתוח המערכת נחתם על ידי הנהלת בתי המשפט בדיעבד, מבלי שאופיינה המערכת, ולפיכך לא היה לספק וללקוח בסיס משותף לפיתוח, ולכן לא היה אפשר לעשות בקרה ראויה בהיעדר מדדים ותכולות עבודה. אין להנהלת בתי המשפט אומדן כספי מלא ומעודכן להשלמת הפרויקט, להטמעתו, לתפעולו ואחזקתו.</w:t>
      </w:r>
    </w:p>
    <w:p w:rsidR="0018296E" w:rsidRPr="0018296E" w:rsidRDefault="0018296E" w:rsidP="0018296E">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מעקב</w:t>
      </w: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הנהלת בתי המשפט</w:t>
      </w:r>
    </w:p>
    <w:p w:rsidR="0018296E" w:rsidRPr="0018296E" w:rsidRDefault="0018296E" w:rsidP="0018296E">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מתבצע תהליך באגף לעניין כתיבת תכנית אב למחשוב עבור הרשות השופטת. התהליך כולל ביצוע סדנאות, למידה על הנעשה בארגונים אחרים בארץ ובעולם הדומים לפעילות מחשוב בתי המשפט באלמנטים הרלוונטיים, למידת הטכנולוגית העתידיות וכיוצא בזה. טיוטה של תכנית האב נמצאת בשלבי השלמה ותוצג למנהל בתי המשפט להערות והכוונה/מדיניות עד לסוף 2010. כן נשקלת אפשרות ליציאה למכרז לסיוע חיצוני נוסף לשם השלמת כתיבת תכנית האב למחשוב.</w:t>
      </w:r>
    </w:p>
    <w:p w:rsidR="0018296E" w:rsidRPr="0018296E" w:rsidRDefault="0018296E" w:rsidP="0018296E">
      <w:pPr>
        <w:autoSpaceDE w:val="0"/>
        <w:autoSpaceDN w:val="0"/>
        <w:adjustRightInd w:val="0"/>
        <w:spacing w:line="288" w:lineRule="auto"/>
        <w:ind w:left="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 ראה הערות רה"מ </w:t>
      </w:r>
      <w:proofErr w:type="spellStart"/>
      <w:r w:rsidRPr="0018296E">
        <w:rPr>
          <w:rFonts w:ascii="David" w:eastAsiaTheme="minorHAnsi" w:cs="David" w:hint="cs"/>
          <w:color w:val="000000"/>
          <w:sz w:val="24"/>
          <w:szCs w:val="24"/>
          <w:rtl/>
        </w:rPr>
        <w:t>60ב</w:t>
      </w:r>
      <w:proofErr w:type="spellEnd"/>
      <w:r w:rsidRPr="0018296E">
        <w:rPr>
          <w:rFonts w:ascii="David" w:eastAsiaTheme="minorHAnsi" w:cs="David" w:hint="cs"/>
          <w:color w:val="000000"/>
          <w:sz w:val="24"/>
          <w:szCs w:val="24"/>
          <w:rtl/>
        </w:rPr>
        <w:t xml:space="preserve">' </w:t>
      </w:r>
      <w:proofErr w:type="spellStart"/>
      <w:r w:rsidRPr="0018296E">
        <w:rPr>
          <w:rFonts w:ascii="David" w:eastAsiaTheme="minorHAnsi" w:cs="David" w:hint="cs"/>
          <w:color w:val="000000"/>
          <w:sz w:val="24"/>
          <w:szCs w:val="24"/>
          <w:rtl/>
        </w:rPr>
        <w:t>עמ</w:t>
      </w:r>
      <w:proofErr w:type="spellEnd"/>
      <w:r w:rsidRPr="0018296E">
        <w:rPr>
          <w:rFonts w:ascii="David" w:eastAsiaTheme="minorHAnsi" w:cs="David" w:hint="cs"/>
          <w:color w:val="000000"/>
          <w:sz w:val="24"/>
          <w:szCs w:val="24"/>
          <w:rtl/>
        </w:rPr>
        <w:t xml:space="preserve">' 271-272. </w:t>
      </w:r>
    </w:p>
    <w:p w:rsidR="0018296E" w:rsidRPr="0018296E" w:rsidRDefault="0018296E" w:rsidP="0018296E">
      <w:pPr>
        <w:autoSpaceDE w:val="0"/>
        <w:autoSpaceDN w:val="0"/>
        <w:adjustRightInd w:val="0"/>
        <w:spacing w:line="288" w:lineRule="auto"/>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ליקוי</w:t>
      </w:r>
    </w:p>
    <w:p w:rsidR="0018296E" w:rsidRPr="0018296E" w:rsidRDefault="0018296E" w:rsidP="0018296E">
      <w:pPr>
        <w:suppressAutoHyphens/>
        <w:autoSpaceDE w:val="0"/>
        <w:autoSpaceDN w:val="0"/>
        <w:adjustRightInd w:val="0"/>
        <w:spacing w:line="288" w:lineRule="auto"/>
        <w:ind w:left="509" w:hanging="509"/>
        <w:jc w:val="both"/>
        <w:textAlignment w:val="center"/>
        <w:rPr>
          <w:rFonts w:ascii="David" w:eastAsiaTheme="minorHAnsi" w:cs="David"/>
          <w:b/>
          <w:bCs/>
          <w:color w:val="000000"/>
          <w:sz w:val="28"/>
          <w:szCs w:val="28"/>
          <w:rtl/>
        </w:rPr>
      </w:pPr>
      <w:r w:rsidRPr="0018296E">
        <w:rPr>
          <w:rFonts w:ascii="David" w:eastAsiaTheme="minorHAnsi" w:cs="David" w:hint="cs"/>
          <w:color w:val="000000"/>
          <w:sz w:val="24"/>
          <w:szCs w:val="24"/>
          <w:rtl/>
        </w:rPr>
        <w:t xml:space="preserve">2.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היעדר תמריץ לספקים לעמוד בלוחות הזמנים של הפרויקט: על פי ההסכם, הפרויקט היה אמור להימשך 38 חודשים ולהסתיים בפברואר 2006, אך עד מועד סיום הביקורת, בספטמבר 2009, הוא טרם הסתיים (איחור של יותר משלוש שנים וחצי). לספק שולמה מדי חודש בחודשו 90% מהתמורה שהיה אמור לקבל באותו חודש, בלא כל התניה לעמידה באבני דרך; כך לא היה לו תמריץ לעמוד בהתחייבויותיו מבחינת לוחות זמנים ותכולות עבודה, ואכן הוא לא עמד בהן.</w:t>
      </w:r>
      <w:r w:rsidRPr="0018296E">
        <w:rPr>
          <w:rFonts w:ascii="David" w:eastAsiaTheme="minorHAnsi" w:cs="David" w:hint="cs"/>
          <w:b/>
          <w:bCs/>
          <w:color w:val="000000"/>
          <w:sz w:val="28"/>
          <w:szCs w:val="28"/>
          <w:rtl/>
        </w:rPr>
        <w:t xml:space="preserve"> </w:t>
      </w: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מעקב</w:t>
      </w:r>
    </w:p>
    <w:p w:rsidR="0018296E" w:rsidRPr="0018296E" w:rsidRDefault="0018296E" w:rsidP="0018296E">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פרישת המערכת הושלמה בכל בתי המשפט למעט בית המשפט העליון העושה שימוש במערכת ייעודית. בשלב זה בית המשפט העליון עושה שימוש במערך הכספי של מערכת </w:t>
      </w:r>
      <w:proofErr w:type="spellStart"/>
      <w:r w:rsidRPr="0018296E">
        <w:rPr>
          <w:rFonts w:ascii="David" w:eastAsiaTheme="minorHAnsi" w:cs="David" w:hint="cs"/>
          <w:color w:val="000000"/>
          <w:sz w:val="24"/>
          <w:szCs w:val="24"/>
          <w:rtl/>
        </w:rPr>
        <w:t>נט</w:t>
      </w:r>
      <w:proofErr w:type="spellEnd"/>
      <w:r w:rsidRPr="0018296E">
        <w:rPr>
          <w:rFonts w:ascii="David" w:eastAsiaTheme="minorHAnsi" w:cs="David" w:hint="cs"/>
          <w:color w:val="000000"/>
          <w:sz w:val="24"/>
          <w:szCs w:val="24"/>
          <w:rtl/>
        </w:rPr>
        <w:t xml:space="preserve"> המשפט (כתחליף למערך הישן שנסמך על המערך הכלל ארצי הוותיק שנסגר). במהלך 2011 תבחן אפשרות הפרישה של מערכת </w:t>
      </w:r>
      <w:proofErr w:type="spellStart"/>
      <w:r w:rsidRPr="0018296E">
        <w:rPr>
          <w:rFonts w:ascii="David" w:eastAsiaTheme="minorHAnsi" w:cs="David" w:hint="cs"/>
          <w:color w:val="000000"/>
          <w:sz w:val="24"/>
          <w:szCs w:val="24"/>
          <w:rtl/>
        </w:rPr>
        <w:t>נט</w:t>
      </w:r>
      <w:proofErr w:type="spellEnd"/>
      <w:r w:rsidRPr="0018296E">
        <w:rPr>
          <w:rFonts w:ascii="David" w:eastAsiaTheme="minorHAnsi" w:cs="David" w:hint="cs"/>
          <w:color w:val="000000"/>
          <w:sz w:val="24"/>
          <w:szCs w:val="24"/>
          <w:rtl/>
        </w:rPr>
        <w:t xml:space="preserve"> המשפט גם בבית המשפט העליון.</w:t>
      </w:r>
    </w:p>
    <w:p w:rsidR="0018296E" w:rsidRPr="0018296E" w:rsidRDefault="0018296E" w:rsidP="0018296E">
      <w:pPr>
        <w:autoSpaceDE w:val="0"/>
        <w:autoSpaceDN w:val="0"/>
        <w:adjustRightInd w:val="0"/>
        <w:spacing w:line="288" w:lineRule="auto"/>
        <w:ind w:left="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 ראה הערות רה"מ </w:t>
      </w:r>
      <w:proofErr w:type="spellStart"/>
      <w:r w:rsidRPr="0018296E">
        <w:rPr>
          <w:rFonts w:ascii="David" w:eastAsiaTheme="minorHAnsi" w:cs="David" w:hint="cs"/>
          <w:color w:val="000000"/>
          <w:sz w:val="24"/>
          <w:szCs w:val="24"/>
          <w:rtl/>
        </w:rPr>
        <w:t>60ב</w:t>
      </w:r>
      <w:proofErr w:type="spellEnd"/>
      <w:r w:rsidRPr="0018296E">
        <w:rPr>
          <w:rFonts w:ascii="David" w:eastAsiaTheme="minorHAnsi" w:cs="David" w:hint="cs"/>
          <w:color w:val="000000"/>
          <w:sz w:val="24"/>
          <w:szCs w:val="24"/>
          <w:rtl/>
        </w:rPr>
        <w:t xml:space="preserve">' </w:t>
      </w:r>
      <w:proofErr w:type="spellStart"/>
      <w:r w:rsidRPr="0018296E">
        <w:rPr>
          <w:rFonts w:ascii="David" w:eastAsiaTheme="minorHAnsi" w:cs="David" w:hint="cs"/>
          <w:color w:val="000000"/>
          <w:sz w:val="24"/>
          <w:szCs w:val="24"/>
          <w:rtl/>
        </w:rPr>
        <w:t>עמ</w:t>
      </w:r>
      <w:proofErr w:type="spellEnd"/>
      <w:r w:rsidRPr="0018296E">
        <w:rPr>
          <w:rFonts w:ascii="David" w:eastAsiaTheme="minorHAnsi" w:cs="David" w:hint="cs"/>
          <w:color w:val="000000"/>
          <w:sz w:val="24"/>
          <w:szCs w:val="24"/>
          <w:rtl/>
        </w:rPr>
        <w:t xml:space="preserve">' 272. </w:t>
      </w:r>
    </w:p>
    <w:p w:rsidR="0018296E" w:rsidRDefault="0018296E" w:rsidP="0018296E">
      <w:pPr>
        <w:autoSpaceDE w:val="0"/>
        <w:autoSpaceDN w:val="0"/>
        <w:adjustRightInd w:val="0"/>
        <w:spacing w:line="288" w:lineRule="auto"/>
        <w:jc w:val="both"/>
        <w:textAlignment w:val="center"/>
        <w:rPr>
          <w:rFonts w:ascii="David" w:eastAsiaTheme="minorHAnsi" w:cs="David" w:hint="cs"/>
          <w:b/>
          <w:bCs/>
          <w:color w:val="000000"/>
          <w:sz w:val="24"/>
          <w:szCs w:val="24"/>
          <w:rtl/>
        </w:rPr>
      </w:pP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lastRenderedPageBreak/>
        <w:t>ליקוי</w:t>
      </w:r>
    </w:p>
    <w:p w:rsidR="0018296E" w:rsidRPr="0018296E" w:rsidRDefault="0018296E" w:rsidP="0018296E">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3.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היעדר בחינות קבלה מצד הנהלת בתי המשפט: הנהלת בתי המשפט קיבלה את המערכת בניגוד לנוהל מפת"ח, מבלי שביצעה בחינות קבלה מטעמה, והסתפקה בבחינות המסירה שביצע הספק. כתוצאה מכך, נוצרה אפשרות שהמערכת שהותקנה תכלול בעיות שיגרמו לתקלות, כפי שאכן קרה. התקלות במערכת הן תקלות אפיון, תקלות מערכת, תקלות בביצוע ואטיות. ריבוי התקלות השפיעו על פעולת המערכת וגרמו לחוסר שביעות רצון המשתמשים. אף שהנהלת בתי המשפט ידעה מלכתחילה שהטמעת המערכת היא שלב מכריע בקליטתה, היא נטלה על עצמה את התפקיד להטמיעהּ, ובכך חלקה עם הספק את האחריות למידת ההצלחה של קליטת המערכת. </w:t>
      </w: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מעקב</w:t>
      </w:r>
    </w:p>
    <w:p w:rsidR="0018296E" w:rsidRPr="0018296E" w:rsidRDefault="0018296E" w:rsidP="0018296E">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3.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ראש צוות – נמצא עתה בהליך גיוס לנושא בדיקות הקבלה. המכרז עתיד להיסגר במהלך אוקטובר 2010. תחילת עבודה משוערת של המועמד הנבחר תהיה עד סוף 2010. </w:t>
      </w:r>
    </w:p>
    <w:p w:rsidR="0018296E" w:rsidRPr="0018296E" w:rsidRDefault="0018296E" w:rsidP="0018296E">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מוצר תוכנה ייעודי לבדיקות קבלה – נמצא עתה בתהליך רכש.</w:t>
      </w:r>
    </w:p>
    <w:p w:rsidR="0018296E" w:rsidRPr="0018296E" w:rsidRDefault="0018296E" w:rsidP="0018296E">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חברה מתמחה לבדיקות קבלה – בכוונת מערכת בתי המשפט לצאת להליך מכרזי במקביל לגיוס ראש הצוות הייעודי לתחום זה.</w:t>
      </w:r>
    </w:p>
    <w:p w:rsidR="0018296E" w:rsidRPr="0018296E" w:rsidRDefault="0018296E" w:rsidP="0018296E">
      <w:pPr>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ראה הערות רה"מ </w:t>
      </w:r>
      <w:proofErr w:type="spellStart"/>
      <w:r w:rsidRPr="0018296E">
        <w:rPr>
          <w:rFonts w:ascii="David" w:eastAsiaTheme="minorHAnsi" w:cs="David" w:hint="cs"/>
          <w:color w:val="000000"/>
          <w:sz w:val="24"/>
          <w:szCs w:val="24"/>
          <w:rtl/>
        </w:rPr>
        <w:t>60ב</w:t>
      </w:r>
      <w:proofErr w:type="spellEnd"/>
      <w:r w:rsidRPr="0018296E">
        <w:rPr>
          <w:rFonts w:ascii="David" w:eastAsiaTheme="minorHAnsi" w:cs="David" w:hint="cs"/>
          <w:color w:val="000000"/>
          <w:sz w:val="24"/>
          <w:szCs w:val="24"/>
          <w:rtl/>
        </w:rPr>
        <w:t xml:space="preserve">' </w:t>
      </w:r>
      <w:proofErr w:type="spellStart"/>
      <w:r w:rsidRPr="0018296E">
        <w:rPr>
          <w:rFonts w:ascii="David" w:eastAsiaTheme="minorHAnsi" w:cs="David" w:hint="cs"/>
          <w:color w:val="000000"/>
          <w:sz w:val="24"/>
          <w:szCs w:val="24"/>
          <w:rtl/>
        </w:rPr>
        <w:t>עמ</w:t>
      </w:r>
      <w:proofErr w:type="spellEnd"/>
      <w:r w:rsidRPr="0018296E">
        <w:rPr>
          <w:rFonts w:ascii="David" w:eastAsiaTheme="minorHAnsi" w:cs="David" w:hint="cs"/>
          <w:color w:val="000000"/>
          <w:sz w:val="24"/>
          <w:szCs w:val="24"/>
          <w:rtl/>
        </w:rPr>
        <w:t xml:space="preserve">' 273. </w:t>
      </w:r>
    </w:p>
    <w:p w:rsidR="0018296E" w:rsidRPr="0018296E" w:rsidRDefault="0018296E" w:rsidP="0018296E">
      <w:pPr>
        <w:autoSpaceDE w:val="0"/>
        <w:autoSpaceDN w:val="0"/>
        <w:adjustRightInd w:val="0"/>
        <w:spacing w:line="288" w:lineRule="auto"/>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ליקוי</w:t>
      </w:r>
    </w:p>
    <w:p w:rsidR="0018296E" w:rsidRPr="0018296E" w:rsidRDefault="0018296E" w:rsidP="0018296E">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4.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פגמים בניהול הפרויקט: את הפרויקט ניהל צוות יועצים של הנהלת בתי המשפט, בלי ליבה ניהולית של עובדי מדינה, המייצגים את האינטרס הציבורי. כמו כן, לא בוצעו המלצות של ועדות שמונו על ידי הנהלת בתי המשפט </w:t>
      </w:r>
      <w:proofErr w:type="spellStart"/>
      <w:r w:rsidRPr="0018296E">
        <w:rPr>
          <w:rFonts w:ascii="David" w:eastAsiaTheme="minorHAnsi" w:cs="David" w:hint="cs"/>
          <w:color w:val="000000"/>
          <w:sz w:val="24"/>
          <w:szCs w:val="24"/>
          <w:rtl/>
        </w:rPr>
        <w:t>והחשכ"ל</w:t>
      </w:r>
      <w:proofErr w:type="spellEnd"/>
      <w:r w:rsidRPr="0018296E">
        <w:rPr>
          <w:rFonts w:ascii="David" w:eastAsiaTheme="minorHAnsi" w:cs="David" w:hint="cs"/>
          <w:color w:val="000000"/>
          <w:sz w:val="24"/>
          <w:szCs w:val="24"/>
          <w:rtl/>
        </w:rPr>
        <w:t xml:space="preserve">, לבחון את התקדמות הפרויקט. לדוגמה, על אף שאחת הוועדות המליצה לפרסם מכרז בנושא תפעול ותחזוקה של המערכת עוד ב-2006, עד ספטמבר 2009 לא פרסמה הנהלת בתי המשפט מכרז בנושא.  </w:t>
      </w:r>
    </w:p>
    <w:p w:rsidR="0018296E" w:rsidRPr="0018296E" w:rsidRDefault="0018296E" w:rsidP="0018296E">
      <w:pPr>
        <w:autoSpaceDE w:val="0"/>
        <w:autoSpaceDN w:val="0"/>
        <w:adjustRightInd w:val="0"/>
        <w:spacing w:line="288" w:lineRule="auto"/>
        <w:jc w:val="both"/>
        <w:textAlignment w:val="center"/>
        <w:rPr>
          <w:rFonts w:ascii="Times New Roman" w:eastAsiaTheme="minorHAnsi" w:hAnsi="Times New Roman" w:cs="Times New Roman"/>
          <w:color w:val="000000"/>
          <w:rtl/>
        </w:rPr>
      </w:pPr>
      <w:r w:rsidRPr="0018296E">
        <w:rPr>
          <w:rFonts w:ascii="David" w:eastAsiaTheme="minorHAnsi" w:cs="David" w:hint="cs"/>
          <w:b/>
          <w:bCs/>
          <w:color w:val="000000"/>
          <w:sz w:val="24"/>
          <w:szCs w:val="24"/>
          <w:rtl/>
        </w:rPr>
        <w:t>מעקב</w:t>
      </w:r>
    </w:p>
    <w:p w:rsidR="0018296E" w:rsidRPr="0018296E" w:rsidRDefault="0018296E" w:rsidP="0018296E">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4. </w:t>
      </w:r>
      <w:r w:rsidRPr="0018296E">
        <w:rPr>
          <w:rFonts w:ascii="David" w:eastAsiaTheme="minorHAnsi" w:cs="David"/>
          <w:color w:val="000000"/>
          <w:sz w:val="24"/>
          <w:szCs w:val="24"/>
          <w:rtl/>
        </w:rPr>
        <w:tab/>
      </w:r>
      <w:proofErr w:type="gramStart"/>
      <w:r w:rsidRPr="0018296E">
        <w:rPr>
          <w:rFonts w:ascii="David" w:eastAsiaTheme="minorHAnsi" w:cs="David" w:hint="cs"/>
          <w:color w:val="000000"/>
          <w:sz w:val="24"/>
          <w:szCs w:val="24"/>
        </w:rPr>
        <w:t>PMO</w:t>
      </w:r>
      <w:r w:rsidRPr="0018296E">
        <w:rPr>
          <w:rFonts w:ascii="David" w:eastAsiaTheme="minorHAnsi" w:cs="David" w:hint="cs"/>
          <w:color w:val="000000"/>
          <w:sz w:val="24"/>
          <w:szCs w:val="24"/>
          <w:rtl/>
        </w:rPr>
        <w:t xml:space="preserve"> מנהל משרד לניהול פרויקטים – הנ"ל מצריך </w:t>
      </w:r>
      <w:proofErr w:type="spellStart"/>
      <w:r w:rsidRPr="0018296E">
        <w:rPr>
          <w:rFonts w:ascii="David" w:eastAsiaTheme="minorHAnsi" w:cs="David" w:hint="cs"/>
          <w:color w:val="000000"/>
          <w:sz w:val="24"/>
          <w:szCs w:val="24"/>
          <w:rtl/>
        </w:rPr>
        <w:t>כח</w:t>
      </w:r>
      <w:proofErr w:type="spellEnd"/>
      <w:r w:rsidRPr="0018296E">
        <w:rPr>
          <w:rFonts w:ascii="David" w:eastAsiaTheme="minorHAnsi" w:cs="David" w:hint="cs"/>
          <w:color w:val="000000"/>
          <w:sz w:val="24"/>
          <w:szCs w:val="24"/>
          <w:rtl/>
        </w:rPr>
        <w:t xml:space="preserve"> אדם מיומן ומקצועי בתחום זה.</w:t>
      </w:r>
      <w:proofErr w:type="gramEnd"/>
      <w:r w:rsidRPr="0018296E">
        <w:rPr>
          <w:rFonts w:ascii="David" w:eastAsiaTheme="minorHAnsi" w:cs="David" w:hint="cs"/>
          <w:color w:val="000000"/>
          <w:sz w:val="24"/>
          <w:szCs w:val="24"/>
          <w:rtl/>
        </w:rPr>
        <w:t xml:space="preserve"> נמצא עתה בהליך מכרזי לגיוס ראש צוות. המכרז עתיד להסגר במהלך אוקטובר 2010. תחילת עבודה משוערת של המועמד הנבחר תהיה עד סוף 2010. </w:t>
      </w:r>
      <w:r w:rsidRPr="0018296E">
        <w:rPr>
          <w:rFonts w:ascii="David" w:eastAsiaTheme="minorHAnsi" w:cs="David"/>
          <w:color w:val="000000"/>
          <w:sz w:val="24"/>
          <w:szCs w:val="24"/>
          <w:rtl/>
        </w:rPr>
        <w:tab/>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תפקידי ליבה – החשב הכללי בשיתוף נציבות שירות המדינה עומד לקבוע סטנדרטים למערך ליבה של יחידות המחשוב במשרדי הממשלה. מסקנות הוועדה עתידות להינתן עד סוף 2010. מערכת בתי המשפט משוועת לתקנים בכירים בתחום זה ותממש את ההמלצות באופן מיידי ככל הנדרש. </w:t>
      </w:r>
    </w:p>
    <w:p w:rsidR="0018296E" w:rsidRPr="0018296E" w:rsidRDefault="0018296E" w:rsidP="0018296E">
      <w:pPr>
        <w:suppressAutoHyphens/>
        <w:autoSpaceDE w:val="0"/>
        <w:autoSpaceDN w:val="0"/>
        <w:adjustRightInd w:val="0"/>
        <w:spacing w:after="0" w:line="288" w:lineRule="auto"/>
        <w:ind w:left="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מכרז תפעול ותחזוקה – מערכת בתי המשפט יצאה בהליך מכרזי לבחירת חברה ייעוץ מלווה לכתיבת מכרז התפעול והתחזוקה. המכרז נפסל בשל קבלת הצעה אחת בלבד. מכרז שני פורסם באוגוסט 2010. צפי לקבלת הצעות – אוקטובר 2010. </w:t>
      </w:r>
    </w:p>
    <w:p w:rsidR="0018296E" w:rsidRPr="0018296E" w:rsidRDefault="0018296E" w:rsidP="0018296E">
      <w:pPr>
        <w:suppressAutoHyphens/>
        <w:autoSpaceDE w:val="0"/>
        <w:autoSpaceDN w:val="0"/>
        <w:adjustRightInd w:val="0"/>
        <w:spacing w:line="288" w:lineRule="auto"/>
        <w:ind w:left="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ראה הערות רה"מ </w:t>
      </w:r>
      <w:proofErr w:type="spellStart"/>
      <w:r w:rsidRPr="0018296E">
        <w:rPr>
          <w:rFonts w:ascii="David" w:eastAsiaTheme="minorHAnsi" w:cs="David" w:hint="cs"/>
          <w:color w:val="000000"/>
          <w:sz w:val="24"/>
          <w:szCs w:val="24"/>
          <w:rtl/>
        </w:rPr>
        <w:t>60ב</w:t>
      </w:r>
      <w:proofErr w:type="spellEnd"/>
      <w:r w:rsidRPr="0018296E">
        <w:rPr>
          <w:rFonts w:ascii="David" w:eastAsiaTheme="minorHAnsi" w:cs="David" w:hint="cs"/>
          <w:color w:val="000000"/>
          <w:sz w:val="24"/>
          <w:szCs w:val="24"/>
          <w:rtl/>
        </w:rPr>
        <w:t xml:space="preserve">' </w:t>
      </w:r>
      <w:proofErr w:type="spellStart"/>
      <w:r w:rsidRPr="0018296E">
        <w:rPr>
          <w:rFonts w:ascii="David" w:eastAsiaTheme="minorHAnsi" w:cs="David" w:hint="cs"/>
          <w:color w:val="000000"/>
          <w:sz w:val="24"/>
          <w:szCs w:val="24"/>
          <w:rtl/>
        </w:rPr>
        <w:t>עמ</w:t>
      </w:r>
      <w:proofErr w:type="spellEnd"/>
      <w:r w:rsidRPr="0018296E">
        <w:rPr>
          <w:rFonts w:ascii="David" w:eastAsiaTheme="minorHAnsi" w:cs="David" w:hint="cs"/>
          <w:color w:val="000000"/>
          <w:sz w:val="24"/>
          <w:szCs w:val="24"/>
          <w:rtl/>
        </w:rPr>
        <w:t xml:space="preserve">' 273-274. </w:t>
      </w:r>
    </w:p>
    <w:p w:rsidR="0018296E" w:rsidRPr="0018296E" w:rsidRDefault="0018296E" w:rsidP="0018296E">
      <w:pPr>
        <w:autoSpaceDE w:val="0"/>
        <w:autoSpaceDN w:val="0"/>
        <w:adjustRightInd w:val="0"/>
        <w:spacing w:line="288" w:lineRule="auto"/>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ליקוי</w:t>
      </w:r>
    </w:p>
    <w:p w:rsidR="0018296E" w:rsidRPr="0018296E" w:rsidRDefault="0018296E" w:rsidP="0018296E">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5</w:t>
      </w:r>
      <w:r w:rsidRPr="0018296E">
        <w:rPr>
          <w:rFonts w:ascii="David" w:eastAsiaTheme="minorHAnsi" w:cs="David" w:hint="cs"/>
          <w:color w:val="000000"/>
          <w:sz w:val="28"/>
          <w:szCs w:val="28"/>
          <w:rtl/>
        </w:rPr>
        <w:t xml:space="preserve">. </w:t>
      </w:r>
      <w:r w:rsidRPr="0018296E">
        <w:rPr>
          <w:rFonts w:ascii="David" w:eastAsiaTheme="minorHAnsi" w:cs="David"/>
          <w:color w:val="000000"/>
          <w:sz w:val="28"/>
          <w:szCs w:val="28"/>
          <w:rtl/>
        </w:rPr>
        <w:tab/>
      </w:r>
      <w:r w:rsidRPr="0018296E">
        <w:rPr>
          <w:rFonts w:ascii="David" w:eastAsiaTheme="minorHAnsi" w:cs="David" w:hint="cs"/>
          <w:color w:val="000000"/>
          <w:sz w:val="24"/>
          <w:szCs w:val="24"/>
          <w:rtl/>
        </w:rPr>
        <w:t xml:space="preserve">לתיקון המצב, על הנהלת בתי המשפט לנקוט בצעדים הבאים: לסיים את פיתוחה של המערכת; פרישֹת המערכת בכל בתי המשפט; לייצב אותה ולתקן את התקלות הפוגעות בתפקודה ובאמינותה; להוציא מכרז לתפעול ותחזוקת המערכת; להשקיע את המשאבים הנדרשים לסיום הטמעתה. על החשב הכללי ונציבות שירות המדינה לסיים את עבודת הצוות לבחינת תקנון תפקידי הליבה בתחום המחשוב בשירות המדינה, ולאייש תפקידים אלה ביחידות המחשב על ידי עובדי מדינה, שייצגו באופן מובהק את האינטרס הציבורי. </w:t>
      </w:r>
    </w:p>
    <w:p w:rsidR="0018296E" w:rsidRPr="0018296E" w:rsidRDefault="0018296E" w:rsidP="0018296E">
      <w:pPr>
        <w:autoSpaceDE w:val="0"/>
        <w:autoSpaceDN w:val="0"/>
        <w:adjustRightInd w:val="0"/>
        <w:spacing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lastRenderedPageBreak/>
        <w:t>מעקב</w:t>
      </w:r>
    </w:p>
    <w:p w:rsidR="0018296E" w:rsidRPr="0018296E" w:rsidRDefault="0018296E" w:rsidP="0018296E">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 xml:space="preserve">5. </w:t>
      </w: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פיתוח המערכת הושלם כולל פעילויות סגירת המערכות הוותיקות. בימים אלה נמצא בהשלמת הפיתוח של אמצעי ההנגשה הנדרשים למידע היסטורי.</w:t>
      </w:r>
    </w:p>
    <w:p w:rsidR="0018296E" w:rsidRPr="0018296E" w:rsidRDefault="0018296E" w:rsidP="0018296E">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 xml:space="preserve">ראה הערות רה"מ </w:t>
      </w:r>
      <w:proofErr w:type="spellStart"/>
      <w:r w:rsidRPr="0018296E">
        <w:rPr>
          <w:rFonts w:ascii="David" w:eastAsiaTheme="minorHAnsi" w:cs="David" w:hint="cs"/>
          <w:color w:val="000000"/>
          <w:sz w:val="24"/>
          <w:szCs w:val="24"/>
          <w:rtl/>
        </w:rPr>
        <w:t>60ב</w:t>
      </w:r>
      <w:proofErr w:type="spellEnd"/>
      <w:r w:rsidRPr="0018296E">
        <w:rPr>
          <w:rFonts w:ascii="David" w:eastAsiaTheme="minorHAnsi" w:cs="David" w:hint="cs"/>
          <w:color w:val="000000"/>
          <w:sz w:val="24"/>
          <w:szCs w:val="24"/>
          <w:rtl/>
        </w:rPr>
        <w:t xml:space="preserve">' </w:t>
      </w:r>
      <w:proofErr w:type="spellStart"/>
      <w:r w:rsidRPr="0018296E">
        <w:rPr>
          <w:rFonts w:ascii="David" w:eastAsiaTheme="minorHAnsi" w:cs="David" w:hint="cs"/>
          <w:color w:val="000000"/>
          <w:sz w:val="24"/>
          <w:szCs w:val="24"/>
          <w:rtl/>
        </w:rPr>
        <w:t>עמ</w:t>
      </w:r>
      <w:proofErr w:type="spellEnd"/>
      <w:r w:rsidRPr="0018296E">
        <w:rPr>
          <w:rFonts w:ascii="David" w:eastAsiaTheme="minorHAnsi" w:cs="David" w:hint="cs"/>
          <w:color w:val="000000"/>
          <w:sz w:val="24"/>
          <w:szCs w:val="24"/>
          <w:rtl/>
        </w:rPr>
        <w:t xml:space="preserve">' 274-275. </w:t>
      </w:r>
    </w:p>
    <w:p w:rsidR="0018296E" w:rsidRPr="0018296E" w:rsidRDefault="0018296E" w:rsidP="0018296E">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מעקב</w:t>
      </w:r>
    </w:p>
    <w:p w:rsidR="0018296E" w:rsidRPr="0018296E" w:rsidRDefault="0018296E" w:rsidP="0018296E">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משרד האוצר – החשב הכללי</w:t>
      </w:r>
    </w:p>
    <w:p w:rsidR="0018296E" w:rsidRPr="0018296E" w:rsidRDefault="0018296E" w:rsidP="0018296E">
      <w:pPr>
        <w:autoSpaceDE w:val="0"/>
        <w:autoSpaceDN w:val="0"/>
        <w:adjustRightInd w:val="0"/>
        <w:spacing w:line="288" w:lineRule="auto"/>
        <w:ind w:left="1134" w:hanging="1134"/>
        <w:textAlignment w:val="center"/>
        <w:rPr>
          <w:rFonts w:ascii="David" w:eastAsiaTheme="minorHAnsi" w:cs="David"/>
          <w:color w:val="000000"/>
          <w:sz w:val="24"/>
          <w:szCs w:val="24"/>
          <w:rtl/>
        </w:rPr>
      </w:pPr>
    </w:p>
    <w:p w:rsidR="0018296E" w:rsidRPr="0018296E" w:rsidRDefault="0018296E" w:rsidP="0018296E">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5.</w:t>
      </w:r>
      <w:r w:rsidRPr="0018296E">
        <w:rPr>
          <w:rFonts w:ascii="Times New Roman" w:eastAsiaTheme="minorHAnsi" w:hAnsi="Times New Roman" w:cs="Times New Roman"/>
          <w:color w:val="000000"/>
          <w:rtl/>
        </w:rPr>
        <w:tab/>
      </w:r>
      <w:r w:rsidRPr="0018296E">
        <w:rPr>
          <w:rFonts w:ascii="David" w:eastAsiaTheme="minorHAnsi" w:cs="David" w:hint="cs"/>
          <w:color w:val="000000"/>
          <w:sz w:val="24"/>
          <w:szCs w:val="24"/>
          <w:rtl/>
        </w:rPr>
        <w:t xml:space="preserve">עבודת הצוות הסתיימה. טיוטת דוח סופי הופצה ביוני 2010. הנציבות </w:t>
      </w:r>
      <w:proofErr w:type="spellStart"/>
      <w:r w:rsidRPr="0018296E">
        <w:rPr>
          <w:rFonts w:ascii="David" w:eastAsiaTheme="minorHAnsi" w:cs="David" w:hint="cs"/>
          <w:color w:val="000000"/>
          <w:sz w:val="24"/>
          <w:szCs w:val="24"/>
          <w:rtl/>
        </w:rPr>
        <w:t>ואג"ת</w:t>
      </w:r>
      <w:proofErr w:type="spellEnd"/>
      <w:r w:rsidRPr="0018296E">
        <w:rPr>
          <w:rFonts w:ascii="David" w:eastAsiaTheme="minorHAnsi" w:cs="David" w:hint="cs"/>
          <w:color w:val="000000"/>
          <w:sz w:val="24"/>
          <w:szCs w:val="24"/>
          <w:rtl/>
        </w:rPr>
        <w:t xml:space="preserve"> קבעו יעד למימוש – ספטמבר 2010.</w:t>
      </w:r>
    </w:p>
    <w:p w:rsidR="0018296E" w:rsidRPr="0018296E" w:rsidRDefault="0018296E" w:rsidP="0018296E">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color w:val="000000"/>
          <w:sz w:val="24"/>
          <w:szCs w:val="24"/>
          <w:rtl/>
        </w:rPr>
        <w:tab/>
      </w:r>
      <w:r w:rsidRPr="0018296E">
        <w:rPr>
          <w:rFonts w:ascii="David" w:eastAsiaTheme="minorHAnsi" w:cs="David" w:hint="cs"/>
          <w:color w:val="000000"/>
          <w:sz w:val="24"/>
          <w:szCs w:val="24"/>
          <w:rtl/>
        </w:rPr>
        <w:t>בעניין איוש התפקידים ביחידות המחשב על ידי עובדי מדינה, צפי: ספטמבר 2010.</w:t>
      </w:r>
    </w:p>
    <w:p w:rsidR="0018296E" w:rsidRPr="0018296E" w:rsidRDefault="0018296E" w:rsidP="0018296E">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מעקב</w:t>
      </w:r>
    </w:p>
    <w:p w:rsidR="0018296E" w:rsidRPr="0018296E" w:rsidRDefault="0018296E" w:rsidP="0018296E">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18296E">
        <w:rPr>
          <w:rFonts w:ascii="David" w:eastAsiaTheme="minorHAnsi" w:cs="David" w:hint="cs"/>
          <w:b/>
          <w:bCs/>
          <w:color w:val="000000"/>
          <w:sz w:val="24"/>
          <w:szCs w:val="24"/>
          <w:rtl/>
        </w:rPr>
        <w:t>נציבות שירות המדינה</w:t>
      </w:r>
    </w:p>
    <w:p w:rsidR="0018296E" w:rsidRPr="0018296E" w:rsidRDefault="0018296E" w:rsidP="0018296E">
      <w:pPr>
        <w:autoSpaceDE w:val="0"/>
        <w:autoSpaceDN w:val="0"/>
        <w:adjustRightInd w:val="0"/>
        <w:spacing w:line="288" w:lineRule="auto"/>
        <w:ind w:left="717" w:hanging="717"/>
        <w:jc w:val="both"/>
        <w:textAlignment w:val="center"/>
        <w:rPr>
          <w:rFonts w:ascii="David" w:eastAsiaTheme="minorHAnsi" w:cs="David"/>
          <w:b/>
          <w:bCs/>
          <w:color w:val="000000"/>
          <w:sz w:val="24"/>
          <w:szCs w:val="24"/>
          <w:rtl/>
        </w:rPr>
      </w:pPr>
    </w:p>
    <w:p w:rsidR="0018296E" w:rsidRPr="0018296E" w:rsidRDefault="0018296E" w:rsidP="0018296E">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18296E">
        <w:rPr>
          <w:rFonts w:ascii="David" w:eastAsiaTheme="minorHAnsi" w:cs="David" w:hint="cs"/>
          <w:color w:val="000000"/>
          <w:sz w:val="24"/>
          <w:szCs w:val="24"/>
          <w:rtl/>
        </w:rPr>
        <w:t>5.</w:t>
      </w:r>
      <w:r w:rsidRPr="0018296E">
        <w:rPr>
          <w:rFonts w:ascii="Times New Roman" w:eastAsiaTheme="minorHAnsi" w:hAnsi="Times New Roman" w:cs="Times New Roman"/>
          <w:color w:val="000000"/>
          <w:rtl/>
        </w:rPr>
        <w:tab/>
      </w:r>
      <w:r w:rsidRPr="0018296E">
        <w:rPr>
          <w:rFonts w:ascii="David" w:eastAsiaTheme="minorHAnsi" w:cs="David" w:hint="cs"/>
          <w:color w:val="000000"/>
          <w:sz w:val="24"/>
          <w:szCs w:val="24"/>
          <w:rtl/>
        </w:rPr>
        <w:t xml:space="preserve">בהמשך לעבודת הוועדה לבחינת תפקידי הליבה ביחידות המחשוב במשרדי הממשלה, גובשה המלצה משותפת לנציבות שירות המדינה, אגפי האוצר ונציגי משרדי ממשלה בתחום המחשוב. בימים אלה מגובש נוסח סופי של דוח הוועדה. הדוח הסופי יושלם עד לסוף חודש נובמבר 2010. עם פרסום הדוח, נציבות שירות המדינה, בשיתוף </w:t>
      </w:r>
      <w:proofErr w:type="spellStart"/>
      <w:r w:rsidRPr="0018296E">
        <w:rPr>
          <w:rFonts w:ascii="David" w:eastAsiaTheme="minorHAnsi" w:cs="David" w:hint="cs"/>
          <w:color w:val="000000"/>
          <w:sz w:val="24"/>
          <w:szCs w:val="24"/>
          <w:rtl/>
        </w:rPr>
        <w:t>אג"ת</w:t>
      </w:r>
      <w:proofErr w:type="spellEnd"/>
      <w:r w:rsidRPr="0018296E">
        <w:rPr>
          <w:rFonts w:ascii="David" w:eastAsiaTheme="minorHAnsi" w:cs="David" w:hint="cs"/>
          <w:color w:val="000000"/>
          <w:sz w:val="24"/>
          <w:szCs w:val="24"/>
          <w:rtl/>
        </w:rPr>
        <w:t xml:space="preserve">, תפעל לתקנון המשרות שאושרו במשרדי הממשלה ויחידות הסמך. </w:t>
      </w:r>
    </w:p>
    <w:p w:rsidR="00D26510" w:rsidRPr="0026163A" w:rsidRDefault="00D26510" w:rsidP="0018296E">
      <w:pPr>
        <w:spacing w:after="0" w:line="240" w:lineRule="auto"/>
        <w:jc w:val="center"/>
      </w:pPr>
    </w:p>
    <w:sectPr w:rsidR="00D26510" w:rsidRPr="0026163A" w:rsidSect="003724E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BD4" w:rsidRDefault="00920BD4" w:rsidP="00D26510">
      <w:pPr>
        <w:spacing w:after="0" w:line="240" w:lineRule="auto"/>
      </w:pPr>
      <w:r>
        <w:separator/>
      </w:r>
    </w:p>
  </w:endnote>
  <w:endnote w:type="continuationSeparator" w:id="1">
    <w:p w:rsidR="00920BD4" w:rsidRDefault="00920BD4" w:rsidP="00D26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72" w:rsidRDefault="00A7637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72" w:rsidRDefault="00A76372">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72" w:rsidRDefault="00A7637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BD4" w:rsidRDefault="00920BD4" w:rsidP="00D26510">
      <w:pPr>
        <w:spacing w:after="0" w:line="240" w:lineRule="auto"/>
      </w:pPr>
      <w:r>
        <w:separator/>
      </w:r>
    </w:p>
  </w:footnote>
  <w:footnote w:type="continuationSeparator" w:id="1">
    <w:p w:rsidR="00920BD4" w:rsidRDefault="00920BD4" w:rsidP="00D265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72" w:rsidRDefault="00A7637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378" w:rsidRDefault="00A97255" w:rsidP="008E2378">
    <w:pPr>
      <w:pStyle w:val="a6"/>
      <w:tabs>
        <w:tab w:val="clear" w:pos="4153"/>
      </w:tabs>
      <w:ind w:left="84" w:hanging="483"/>
      <w:jc w:val="right"/>
      <w:rPr>
        <w:sz w:val="16"/>
        <w:szCs w:val="16"/>
        <w:rtl/>
      </w:rPr>
    </w:pPr>
    <w:r w:rsidRPr="008E2378">
      <w:rPr>
        <w:i/>
        <w:iCs w:val="0"/>
        <w:sz w:val="14"/>
        <w:szCs w:val="14"/>
        <w:rtl/>
      </w:rPr>
      <w:fldChar w:fldCharType="begin"/>
    </w:r>
    <w:r w:rsidR="008E2378" w:rsidRPr="008E2378">
      <w:rPr>
        <w:i/>
        <w:iCs w:val="0"/>
        <w:sz w:val="14"/>
        <w:szCs w:val="14"/>
        <w:rtl/>
      </w:rPr>
      <w:instrText xml:space="preserve"> </w:instrText>
    </w:r>
    <w:r w:rsidR="008E2378" w:rsidRPr="008E2378">
      <w:rPr>
        <w:rFonts w:hint="cs"/>
        <w:i/>
        <w:iCs w:val="0"/>
        <w:sz w:val="14"/>
        <w:szCs w:val="14"/>
      </w:rPr>
      <w:instrText>TIME  \@ "HH:mm"  \* MERGEFORMAT</w:instrText>
    </w:r>
    <w:r w:rsidR="008E2378" w:rsidRPr="008E2378">
      <w:rPr>
        <w:i/>
        <w:iCs w:val="0"/>
        <w:sz w:val="14"/>
        <w:szCs w:val="14"/>
        <w:rtl/>
      </w:rPr>
      <w:instrText xml:space="preserve"> </w:instrText>
    </w:r>
    <w:r w:rsidRPr="008E2378">
      <w:rPr>
        <w:i/>
        <w:iCs w:val="0"/>
        <w:sz w:val="14"/>
        <w:szCs w:val="14"/>
        <w:rtl/>
      </w:rPr>
      <w:fldChar w:fldCharType="separate"/>
    </w:r>
    <w:r w:rsidR="0018296E">
      <w:rPr>
        <w:i/>
        <w:iCs w:val="0"/>
        <w:noProof/>
        <w:sz w:val="14"/>
        <w:szCs w:val="14"/>
        <w:rtl/>
      </w:rPr>
      <w:t>‏12:46</w:t>
    </w:r>
    <w:r w:rsidRPr="008E2378">
      <w:rPr>
        <w:i/>
        <w:iCs w:val="0"/>
        <w:sz w:val="14"/>
        <w:szCs w:val="14"/>
        <w:rtl/>
      </w:rPr>
      <w:fldChar w:fldCharType="end"/>
    </w:r>
    <w:r w:rsidR="008E2378" w:rsidRPr="008E2378">
      <w:rPr>
        <w:rFonts w:hint="cs"/>
        <w:i/>
        <w:iCs w:val="0"/>
        <w:sz w:val="14"/>
        <w:szCs w:val="14"/>
        <w:rtl/>
      </w:rPr>
      <w:t xml:space="preserve">  </w:t>
    </w:r>
    <w:r w:rsidRPr="008E2378">
      <w:rPr>
        <w:i/>
        <w:iCs w:val="0"/>
        <w:sz w:val="14"/>
        <w:szCs w:val="14"/>
        <w:rtl/>
      </w:rPr>
      <w:fldChar w:fldCharType="begin"/>
    </w:r>
    <w:r w:rsidR="008E2378" w:rsidRPr="008E2378">
      <w:rPr>
        <w:i/>
        <w:iCs w:val="0"/>
        <w:sz w:val="14"/>
        <w:szCs w:val="14"/>
        <w:rtl/>
      </w:rPr>
      <w:instrText xml:space="preserve"> </w:instrText>
    </w:r>
    <w:r w:rsidR="008E2378" w:rsidRPr="008E2378">
      <w:rPr>
        <w:rFonts w:hint="cs"/>
        <w:i/>
        <w:iCs w:val="0"/>
        <w:sz w:val="14"/>
        <w:szCs w:val="14"/>
      </w:rPr>
      <w:instrText>DATE  \@ "yyyy-MM-dd"  \* MERGEFORMAT</w:instrText>
    </w:r>
    <w:r w:rsidR="008E2378" w:rsidRPr="008E2378">
      <w:rPr>
        <w:i/>
        <w:iCs w:val="0"/>
        <w:sz w:val="14"/>
        <w:szCs w:val="14"/>
        <w:rtl/>
      </w:rPr>
      <w:instrText xml:space="preserve"> </w:instrText>
    </w:r>
    <w:r w:rsidRPr="008E2378">
      <w:rPr>
        <w:i/>
        <w:iCs w:val="0"/>
        <w:sz w:val="14"/>
        <w:szCs w:val="14"/>
        <w:rtl/>
      </w:rPr>
      <w:fldChar w:fldCharType="separate"/>
    </w:r>
    <w:r w:rsidR="0018296E">
      <w:rPr>
        <w:i/>
        <w:iCs w:val="0"/>
        <w:noProof/>
        <w:sz w:val="14"/>
        <w:szCs w:val="14"/>
        <w:rtl/>
      </w:rPr>
      <w:t>‏2010–12–12</w:t>
    </w:r>
    <w:r w:rsidRPr="008E2378">
      <w:rPr>
        <w:i/>
        <w:iCs w:val="0"/>
        <w:sz w:val="14"/>
        <w:szCs w:val="14"/>
        <w:rtl/>
      </w:rPr>
      <w:fldChar w:fldCharType="end"/>
    </w:r>
    <w:r w:rsidR="008E2378" w:rsidRPr="008E2378">
      <w:rPr>
        <w:rFonts w:hint="cs"/>
        <w:i/>
        <w:iCs w:val="0"/>
        <w:sz w:val="14"/>
        <w:szCs w:val="14"/>
        <w:rtl/>
      </w:rPr>
      <w:t xml:space="preserve">   </w:t>
    </w:r>
    <w:fldSimple w:instr=" FILENAME  \* FirstCap \p  \* MERGEFORMAT ">
      <w:r w:rsidR="0026163A" w:rsidRPr="0026163A">
        <w:rPr>
          <w:i/>
          <w:iCs w:val="0"/>
          <w:noProof/>
          <w:sz w:val="14"/>
          <w:szCs w:val="14"/>
        </w:rPr>
        <w:t>L:\</w:t>
      </w:r>
      <w:r w:rsidR="0026163A" w:rsidRPr="0026163A">
        <w:rPr>
          <w:i/>
          <w:iCs w:val="0"/>
          <w:noProof/>
          <w:sz w:val="14"/>
          <w:szCs w:val="14"/>
          <w:rtl/>
        </w:rPr>
        <w:t>הספר - מעקבים 60ב\ורד\הליכים ופעולות למחשוב בתי המשפט</w:t>
      </w:r>
      <w:r w:rsidR="0026163A" w:rsidRPr="0026163A">
        <w:rPr>
          <w:i/>
          <w:iCs w:val="0"/>
          <w:noProof/>
          <w:sz w:val="14"/>
          <w:szCs w:val="14"/>
        </w:rPr>
        <w:t>.docx</w:t>
      </w:r>
    </w:fldSimple>
    <w:r w:rsidR="008E2378" w:rsidRPr="008E2378">
      <w:rPr>
        <w:rFonts w:hint="cs"/>
        <w:i/>
        <w:iCs w:val="0"/>
        <w:sz w:val="16"/>
        <w:szCs w:val="16"/>
        <w:rtl/>
      </w:rPr>
      <w:t xml:space="preserve">    -</w:t>
    </w:r>
    <w:r w:rsidRPr="002A74E8">
      <w:rPr>
        <w:sz w:val="16"/>
        <w:szCs w:val="16"/>
        <w:rtl/>
      </w:rPr>
      <w:fldChar w:fldCharType="begin"/>
    </w:r>
    <w:r w:rsidR="008E2378" w:rsidRPr="002A74E8">
      <w:rPr>
        <w:sz w:val="16"/>
        <w:szCs w:val="16"/>
        <w:rtl/>
      </w:rPr>
      <w:instrText xml:space="preserve"> </w:instrText>
    </w:r>
    <w:r w:rsidR="008E2378" w:rsidRPr="002A74E8">
      <w:rPr>
        <w:sz w:val="16"/>
        <w:szCs w:val="16"/>
      </w:rPr>
      <w:instrText>PAGE   \* MERGEFORMAT</w:instrText>
    </w:r>
    <w:r w:rsidR="008E2378" w:rsidRPr="002A74E8">
      <w:rPr>
        <w:sz w:val="16"/>
        <w:szCs w:val="16"/>
        <w:rtl/>
      </w:rPr>
      <w:instrText xml:space="preserve"> </w:instrText>
    </w:r>
    <w:r w:rsidRPr="002A74E8">
      <w:rPr>
        <w:sz w:val="16"/>
        <w:szCs w:val="16"/>
        <w:rtl/>
      </w:rPr>
      <w:fldChar w:fldCharType="separate"/>
    </w:r>
    <w:r w:rsidR="0018296E">
      <w:rPr>
        <w:noProof/>
        <w:sz w:val="16"/>
        <w:szCs w:val="16"/>
        <w:rtl/>
      </w:rPr>
      <w:t>3</w:t>
    </w:r>
    <w:r w:rsidRPr="002A74E8">
      <w:rPr>
        <w:sz w:val="16"/>
        <w:szCs w:val="16"/>
        <w:rtl/>
      </w:rPr>
      <w:fldChar w:fldCharType="end"/>
    </w:r>
    <w:r w:rsidR="008E2378" w:rsidRPr="002A74E8">
      <w:rPr>
        <w:rFonts w:hint="cs"/>
        <w:sz w:val="16"/>
        <w:szCs w:val="16"/>
        <w:rtl/>
      </w:rPr>
      <w:t>-</w:t>
    </w:r>
  </w:p>
  <w:p w:rsidR="00A76372" w:rsidRDefault="00A76372" w:rsidP="008E2378">
    <w:pPr>
      <w:pStyle w:val="a6"/>
      <w:tabs>
        <w:tab w:val="clear" w:pos="4153"/>
      </w:tabs>
      <w:ind w:left="84" w:hanging="483"/>
      <w:jc w:val="right"/>
      <w:rPr>
        <w:sz w:val="16"/>
        <w:szCs w:val="16"/>
        <w:rtl/>
      </w:rPr>
    </w:pPr>
  </w:p>
  <w:p w:rsidR="008E2378" w:rsidRPr="008E2378" w:rsidRDefault="008E2378" w:rsidP="008E2378">
    <w:pPr>
      <w:tabs>
        <w:tab w:val="left" w:pos="1316"/>
        <w:tab w:val="center" w:pos="4153"/>
      </w:tabs>
      <w:rPr>
        <w:rFonts w:cs="David"/>
        <w:sz w:val="18"/>
        <w:szCs w:val="18"/>
        <w:u w:val="single"/>
        <w:rtl/>
      </w:rPr>
    </w:pPr>
    <w:r w:rsidRPr="008E2378">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8E2378">
      <w:rPr>
        <w:rFonts w:cs="David" w:hint="cs"/>
        <w:sz w:val="18"/>
        <w:szCs w:val="18"/>
        <w:u w:val="single"/>
        <w:rtl/>
      </w:rPr>
      <w:t xml:space="preserve">        </w:t>
    </w:r>
    <w:sdt>
      <w:sdtPr>
        <w:rPr>
          <w:rFonts w:cs="David" w:hint="cs"/>
          <w:sz w:val="18"/>
          <w:szCs w:val="18"/>
          <w:u w:val="single"/>
          <w:rtl/>
        </w:rPr>
        <w:id w:val="605224610"/>
        <w:placeholder>
          <w:docPart w:val="91D33CF21B474A2B820B794F9A1F0A55"/>
        </w:placeholder>
      </w:sdtPr>
      <w:sdtEndPr>
        <w:rPr>
          <w:rFonts w:hint="default"/>
        </w:rPr>
      </w:sdtEndPr>
      <w:sdtContent>
        <w:r w:rsidRPr="008E2378">
          <w:rPr>
            <w:rFonts w:cs="David" w:hint="cs"/>
            <w:sz w:val="18"/>
            <w:szCs w:val="18"/>
            <w:u w:val="single"/>
            <w:rtl/>
          </w:rPr>
          <w:t>משרד המשפטים</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72" w:rsidRDefault="00A7637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26510"/>
    <w:rsid w:val="000A4C92"/>
    <w:rsid w:val="001404D6"/>
    <w:rsid w:val="0018296E"/>
    <w:rsid w:val="001A6FE8"/>
    <w:rsid w:val="002012A5"/>
    <w:rsid w:val="0026163A"/>
    <w:rsid w:val="002D444E"/>
    <w:rsid w:val="003724E5"/>
    <w:rsid w:val="004269D5"/>
    <w:rsid w:val="00482625"/>
    <w:rsid w:val="004F247B"/>
    <w:rsid w:val="00513949"/>
    <w:rsid w:val="005C55C7"/>
    <w:rsid w:val="005D25CB"/>
    <w:rsid w:val="00615CF4"/>
    <w:rsid w:val="006B4BC0"/>
    <w:rsid w:val="006F7B93"/>
    <w:rsid w:val="007505BE"/>
    <w:rsid w:val="00785288"/>
    <w:rsid w:val="00870F1F"/>
    <w:rsid w:val="008E2378"/>
    <w:rsid w:val="0090719D"/>
    <w:rsid w:val="00920BD4"/>
    <w:rsid w:val="0094261F"/>
    <w:rsid w:val="00A7325E"/>
    <w:rsid w:val="00A76372"/>
    <w:rsid w:val="00A97255"/>
    <w:rsid w:val="00AC00BF"/>
    <w:rsid w:val="00B77875"/>
    <w:rsid w:val="00BB4F5B"/>
    <w:rsid w:val="00BC59C1"/>
    <w:rsid w:val="00CA396B"/>
    <w:rsid w:val="00D26510"/>
    <w:rsid w:val="00D95074"/>
    <w:rsid w:val="00E364C0"/>
    <w:rsid w:val="00E654A7"/>
    <w:rsid w:val="00ED63F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510"/>
    <w:pPr>
      <w:bidi/>
    </w:pPr>
    <w:rPr>
      <w:rFonts w:ascii="Calibri" w:eastAsia="Times New Roman" w:hAnsi="Calibri" w:cs="Arial"/>
    </w:rPr>
  </w:style>
  <w:style w:type="paragraph" w:styleId="1">
    <w:name w:val="heading 1"/>
    <w:basedOn w:val="a"/>
    <w:next w:val="a"/>
    <w:link w:val="10"/>
    <w:qFormat/>
    <w:rsid w:val="00D26510"/>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D26510"/>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D26510"/>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D26510"/>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D26510"/>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D26510"/>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26510"/>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D26510"/>
    <w:rPr>
      <w:rFonts w:ascii="Cambria" w:eastAsia="Calibri" w:hAnsi="Cambria" w:cs="Times New Roman"/>
      <w:b/>
      <w:bCs/>
      <w:color w:val="4F81BD"/>
      <w:sz w:val="26"/>
      <w:szCs w:val="26"/>
    </w:rPr>
  </w:style>
  <w:style w:type="character" w:customStyle="1" w:styleId="30">
    <w:name w:val="כותרת 3 תו"/>
    <w:basedOn w:val="a0"/>
    <w:link w:val="3"/>
    <w:rsid w:val="00D26510"/>
    <w:rPr>
      <w:rFonts w:ascii="Cambria" w:eastAsia="Calibri" w:hAnsi="Cambria" w:cs="Times New Roman"/>
      <w:b/>
      <w:bCs/>
      <w:color w:val="4F81BD"/>
    </w:rPr>
  </w:style>
  <w:style w:type="character" w:customStyle="1" w:styleId="40">
    <w:name w:val="כותרת 4 תו"/>
    <w:basedOn w:val="a0"/>
    <w:link w:val="4"/>
    <w:rsid w:val="00D26510"/>
    <w:rPr>
      <w:rFonts w:ascii="Cambria" w:eastAsia="Calibri" w:hAnsi="Cambria" w:cs="Times New Roman"/>
      <w:b/>
      <w:bCs/>
      <w:i/>
      <w:iCs/>
      <w:color w:val="4F81BD"/>
    </w:rPr>
  </w:style>
  <w:style w:type="character" w:customStyle="1" w:styleId="50">
    <w:name w:val="כותרת 5 תו"/>
    <w:basedOn w:val="a0"/>
    <w:link w:val="5"/>
    <w:rsid w:val="00D26510"/>
    <w:rPr>
      <w:rFonts w:ascii="Cambria" w:eastAsia="Calibri" w:hAnsi="Cambria" w:cs="Times New Roman"/>
      <w:color w:val="243F60"/>
      <w:sz w:val="20"/>
      <w:szCs w:val="24"/>
      <w:lang w:eastAsia="he-IL"/>
    </w:rPr>
  </w:style>
  <w:style w:type="character" w:customStyle="1" w:styleId="70">
    <w:name w:val="כותרת 7 תו"/>
    <w:basedOn w:val="a0"/>
    <w:link w:val="7"/>
    <w:rsid w:val="00D26510"/>
    <w:rPr>
      <w:rFonts w:ascii="Times New Roman" w:eastAsia="Calibri" w:hAnsi="Times New Roman" w:cs="David"/>
      <w:b/>
      <w:bCs/>
      <w:spacing w:val="40"/>
      <w:sz w:val="24"/>
      <w:szCs w:val="24"/>
      <w:lang w:eastAsia="he-IL"/>
    </w:rPr>
  </w:style>
  <w:style w:type="paragraph" w:styleId="a3">
    <w:name w:val="caption"/>
    <w:basedOn w:val="a"/>
    <w:next w:val="a"/>
    <w:qFormat/>
    <w:rsid w:val="00D26510"/>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D26510"/>
    <w:pPr>
      <w:spacing w:after="0" w:line="240" w:lineRule="auto"/>
    </w:pPr>
    <w:rPr>
      <w:rFonts w:ascii="Tahoma" w:hAnsi="Tahoma" w:cs="Tahoma"/>
      <w:sz w:val="16"/>
      <w:szCs w:val="16"/>
    </w:rPr>
  </w:style>
  <w:style w:type="character" w:customStyle="1" w:styleId="a5">
    <w:name w:val="טקסט בלונים תו"/>
    <w:basedOn w:val="a0"/>
    <w:link w:val="a4"/>
    <w:semiHidden/>
    <w:rsid w:val="00D26510"/>
    <w:rPr>
      <w:rFonts w:ascii="Tahoma" w:eastAsia="Times New Roman" w:hAnsi="Tahoma" w:cs="Tahoma"/>
      <w:sz w:val="16"/>
      <w:szCs w:val="16"/>
    </w:rPr>
  </w:style>
  <w:style w:type="paragraph" w:customStyle="1" w:styleId="11">
    <w:name w:val="פיסקת רשימה1"/>
    <w:basedOn w:val="a"/>
    <w:rsid w:val="00D26510"/>
    <w:pPr>
      <w:ind w:left="720"/>
      <w:contextualSpacing/>
    </w:pPr>
  </w:style>
  <w:style w:type="paragraph" w:styleId="a6">
    <w:name w:val="header"/>
    <w:basedOn w:val="a"/>
    <w:link w:val="a7"/>
    <w:rsid w:val="00D26510"/>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D26510"/>
    <w:rPr>
      <w:rFonts w:ascii="Times New Roman" w:eastAsia="Calibri" w:hAnsi="Times New Roman" w:cs="David"/>
      <w:iCs/>
      <w:sz w:val="24"/>
      <w:szCs w:val="24"/>
      <w:lang w:eastAsia="he-IL"/>
    </w:rPr>
  </w:style>
  <w:style w:type="paragraph" w:styleId="a8">
    <w:name w:val="footer"/>
    <w:basedOn w:val="a"/>
    <w:link w:val="a9"/>
    <w:semiHidden/>
    <w:rsid w:val="00D26510"/>
    <w:pPr>
      <w:tabs>
        <w:tab w:val="center" w:pos="4153"/>
        <w:tab w:val="right" w:pos="8306"/>
      </w:tabs>
      <w:spacing w:after="0" w:line="240" w:lineRule="auto"/>
    </w:pPr>
  </w:style>
  <w:style w:type="character" w:customStyle="1" w:styleId="a9">
    <w:name w:val="כותרת תחתונה תו"/>
    <w:basedOn w:val="a0"/>
    <w:link w:val="a8"/>
    <w:semiHidden/>
    <w:rsid w:val="00D26510"/>
    <w:rPr>
      <w:rFonts w:ascii="Calibri" w:eastAsia="Times New Roman" w:hAnsi="Calibri" w:cs="Arial"/>
    </w:rPr>
  </w:style>
  <w:style w:type="character" w:customStyle="1" w:styleId="21">
    <w:name w:val="תו תו2"/>
    <w:basedOn w:val="a0"/>
    <w:rsid w:val="00D26510"/>
    <w:rPr>
      <w:rFonts w:cs="David"/>
      <w:b/>
      <w:bCs/>
      <w:spacing w:val="40"/>
      <w:sz w:val="24"/>
      <w:szCs w:val="24"/>
      <w:lang w:val="en-US" w:eastAsia="he-IL" w:bidi="he-IL"/>
    </w:rPr>
  </w:style>
  <w:style w:type="paragraph" w:customStyle="1" w:styleId="aa">
    <w:name w:val="נבנצלים"/>
    <w:basedOn w:val="a"/>
    <w:next w:val="a"/>
    <w:link w:val="ab"/>
    <w:rsid w:val="00D26510"/>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uiPriority w:val="99"/>
    <w:rsid w:val="00D26510"/>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D26510"/>
    <w:rPr>
      <w:rFonts w:ascii="Times New Roman" w:eastAsia="Calibri" w:hAnsi="Times New Roman" w:cs="David"/>
      <w:sz w:val="20"/>
      <w:szCs w:val="20"/>
      <w:lang w:eastAsia="he-IL"/>
    </w:rPr>
  </w:style>
  <w:style w:type="character" w:styleId="ac">
    <w:name w:val="footnote reference"/>
    <w:basedOn w:val="a0"/>
    <w:semiHidden/>
    <w:rsid w:val="00D26510"/>
    <w:rPr>
      <w:rFonts w:cs="Times New Roman"/>
      <w:vertAlign w:val="superscript"/>
    </w:rPr>
  </w:style>
  <w:style w:type="paragraph" w:styleId="NormalWeb">
    <w:name w:val="Normal (Web)"/>
    <w:basedOn w:val="a"/>
    <w:semiHidden/>
    <w:rsid w:val="00D26510"/>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D26510"/>
    <w:rPr>
      <w:rFonts w:ascii="Times New Roman" w:hAnsi="Times New Roman" w:cs="David"/>
      <w:b/>
      <w:bCs/>
      <w:spacing w:val="40"/>
      <w:sz w:val="24"/>
      <w:szCs w:val="24"/>
      <w:lang w:eastAsia="he-IL" w:bidi="he-IL"/>
    </w:rPr>
  </w:style>
  <w:style w:type="paragraph" w:styleId="ad">
    <w:name w:val="footnote text"/>
    <w:basedOn w:val="a"/>
    <w:link w:val="ae"/>
    <w:semiHidden/>
    <w:rsid w:val="00D26510"/>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D26510"/>
    <w:rPr>
      <w:rFonts w:ascii="Times New Roman" w:eastAsia="Calibri" w:hAnsi="Times New Roman" w:cs="David"/>
      <w:sz w:val="24"/>
      <w:szCs w:val="20"/>
      <w:lang w:eastAsia="he-IL"/>
    </w:rPr>
  </w:style>
  <w:style w:type="character" w:styleId="af">
    <w:name w:val="annotation reference"/>
    <w:basedOn w:val="a0"/>
    <w:semiHidden/>
    <w:rsid w:val="00D26510"/>
    <w:rPr>
      <w:rFonts w:ascii="Times New Roman" w:hAnsi="Times New Roman" w:cs="Times New Roman"/>
      <w:sz w:val="16"/>
      <w:szCs w:val="16"/>
    </w:rPr>
  </w:style>
  <w:style w:type="table" w:styleId="af0">
    <w:name w:val="Table Grid"/>
    <w:basedOn w:val="a1"/>
    <w:rsid w:val="00D26510"/>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90719D"/>
    <w:pPr>
      <w:ind w:left="720"/>
      <w:contextualSpacing/>
    </w:pPr>
  </w:style>
  <w:style w:type="paragraph" w:customStyle="1" w:styleId="-">
    <w:name w:val="כותרת מאמר-נטוי"/>
    <w:basedOn w:val="a"/>
    <w:uiPriority w:val="99"/>
    <w:rsid w:val="0018296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2">
    <w:name w:val="כותרת מאמר"/>
    <w:basedOn w:val="a"/>
    <w:uiPriority w:val="99"/>
    <w:rsid w:val="0018296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D33CF21B474A2B820B794F9A1F0A55"/>
        <w:category>
          <w:name w:val="כללי"/>
          <w:gallery w:val="placeholder"/>
        </w:category>
        <w:types>
          <w:type w:val="bbPlcHdr"/>
        </w:types>
        <w:behaviors>
          <w:behavior w:val="content"/>
        </w:behaviors>
        <w:guid w:val="{0CA8F86A-934C-4C65-93D6-44CA32ABDF3C}"/>
      </w:docPartPr>
      <w:docPartBody>
        <w:p w:rsidR="006C0C6D" w:rsidRDefault="00380418" w:rsidP="00380418">
          <w:pPr>
            <w:pStyle w:val="91D33CF21B474A2B820B794F9A1F0A55"/>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6314"/>
    <w:rsid w:val="000D5856"/>
    <w:rsid w:val="00131BDD"/>
    <w:rsid w:val="00380418"/>
    <w:rsid w:val="00436314"/>
    <w:rsid w:val="004A783B"/>
    <w:rsid w:val="0053276F"/>
    <w:rsid w:val="006C0C6D"/>
    <w:rsid w:val="009542F5"/>
    <w:rsid w:val="00CA1303"/>
    <w:rsid w:val="00CA35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30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0418"/>
    <w:rPr>
      <w:color w:val="808080"/>
    </w:rPr>
  </w:style>
  <w:style w:type="paragraph" w:customStyle="1" w:styleId="2E1C6217388E40388E8D1CCA271DE0D3">
    <w:name w:val="2E1C6217388E40388E8D1CCA271DE0D3"/>
    <w:rsid w:val="00436314"/>
    <w:pPr>
      <w:bidi/>
    </w:pPr>
  </w:style>
  <w:style w:type="paragraph" w:customStyle="1" w:styleId="DCE790075C3E4342AFAEF8641A031AE1">
    <w:name w:val="DCE790075C3E4342AFAEF8641A031AE1"/>
    <w:rsid w:val="00436314"/>
    <w:pPr>
      <w:bidi/>
    </w:pPr>
  </w:style>
  <w:style w:type="paragraph" w:customStyle="1" w:styleId="91D33CF21B474A2B820B794F9A1F0A55">
    <w:name w:val="91D33CF21B474A2B820B794F9A1F0A55"/>
    <w:rsid w:val="00380418"/>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4301</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2010-10-17T12:32:00Z</cp:lastPrinted>
  <dcterms:created xsi:type="dcterms:W3CDTF">2010-12-12T10:47:00Z</dcterms:created>
  <dcterms:modified xsi:type="dcterms:W3CDTF">2010-12-12T10:47:00Z</dcterms:modified>
</cp:coreProperties>
</file>