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73" w:rsidRPr="008F2B73" w:rsidRDefault="008F2B73" w:rsidP="008F2B73">
      <w:pPr>
        <w:suppressAutoHyphens/>
        <w:autoSpaceDE w:val="0"/>
        <w:autoSpaceDN w:val="0"/>
        <w:adjustRightInd w:val="0"/>
        <w:spacing w:line="340" w:lineRule="atLeast"/>
        <w:ind w:left="0" w:firstLine="0"/>
        <w:jc w:val="center"/>
        <w:textAlignment w:val="center"/>
        <w:rPr>
          <w:rFonts w:ascii="David" w:eastAsiaTheme="minorHAnsi" w:hAnsiTheme="minorHAnsi"/>
          <w:b/>
          <w:bCs/>
          <w:color w:val="000000"/>
          <w:sz w:val="36"/>
          <w:szCs w:val="36"/>
          <w:rtl/>
        </w:rPr>
      </w:pPr>
      <w:r w:rsidRPr="008F2B73">
        <w:rPr>
          <w:rFonts w:ascii="David" w:eastAsiaTheme="minorHAnsi" w:hAnsiTheme="minorHAnsi" w:hint="cs"/>
          <w:b/>
          <w:bCs/>
          <w:color w:val="000000"/>
          <w:sz w:val="36"/>
          <w:szCs w:val="36"/>
          <w:rtl/>
        </w:rPr>
        <w:t>הפיקוח האלחוטי על שידורי רדיו</w:t>
      </w:r>
    </w:p>
    <w:p w:rsidR="008F2B73" w:rsidRPr="008F2B73" w:rsidRDefault="008F2B73" w:rsidP="008F2B73">
      <w:pPr>
        <w:suppressAutoHyphens/>
        <w:autoSpaceDE w:val="0"/>
        <w:autoSpaceDN w:val="0"/>
        <w:adjustRightInd w:val="0"/>
        <w:spacing w:line="288" w:lineRule="auto"/>
        <w:ind w:left="0" w:firstLine="0"/>
        <w:jc w:val="center"/>
        <w:textAlignment w:val="center"/>
        <w:rPr>
          <w:rFonts w:ascii="David" w:eastAsiaTheme="minorHAnsi" w:hAnsiTheme="minorHAnsi"/>
          <w:b/>
          <w:bCs/>
          <w:color w:val="000000"/>
          <w:sz w:val="28"/>
          <w:szCs w:val="28"/>
          <w:rtl/>
        </w:rPr>
      </w:pPr>
      <w:r w:rsidRPr="008F2B73">
        <w:rPr>
          <w:rFonts w:ascii="David" w:eastAsiaTheme="minorHAnsi" w:hAnsiTheme="minorHAnsi" w:hint="cs"/>
          <w:b/>
          <w:bCs/>
          <w:color w:val="000000"/>
          <w:sz w:val="28"/>
          <w:szCs w:val="28"/>
          <w:rtl/>
        </w:rPr>
        <w:t xml:space="preserve">דוח </w:t>
      </w:r>
      <w:proofErr w:type="spellStart"/>
      <w:r w:rsidRPr="008F2B73">
        <w:rPr>
          <w:rFonts w:ascii="David" w:eastAsiaTheme="minorHAnsi" w:hAnsiTheme="minorHAnsi" w:hint="cs"/>
          <w:b/>
          <w:bCs/>
          <w:color w:val="000000"/>
          <w:sz w:val="28"/>
          <w:szCs w:val="28"/>
          <w:rtl/>
        </w:rPr>
        <w:t>58ב</w:t>
      </w:r>
      <w:proofErr w:type="spellEnd"/>
      <w:r w:rsidRPr="008F2B73">
        <w:rPr>
          <w:rFonts w:ascii="David" w:eastAsiaTheme="minorHAnsi" w:hAnsiTheme="minorHAnsi" w:hint="cs"/>
          <w:b/>
          <w:bCs/>
          <w:color w:val="000000"/>
          <w:sz w:val="28"/>
          <w:szCs w:val="28"/>
          <w:rtl/>
        </w:rPr>
        <w:t>' - ממצאי מעקב דוח סטאטוס</w:t>
      </w:r>
    </w:p>
    <w:p w:rsidR="008F2B73" w:rsidRPr="008F2B73" w:rsidRDefault="008F2B73" w:rsidP="008F2B73">
      <w:pPr>
        <w:keepNext/>
        <w:suppressAutoHyphens/>
        <w:autoSpaceDE w:val="0"/>
        <w:autoSpaceDN w:val="0"/>
        <w:adjustRightInd w:val="0"/>
        <w:spacing w:after="170" w:line="260" w:lineRule="atLeast"/>
        <w:ind w:hanging="567"/>
        <w:textAlignment w:val="center"/>
        <w:rPr>
          <w:rFonts w:ascii="Courier New" w:eastAsiaTheme="minorHAnsi" w:hAnsi="Courier New" w:cs="Courier New"/>
          <w:color w:val="000000"/>
          <w:sz w:val="28"/>
          <w:szCs w:val="28"/>
        </w:rPr>
      </w:pPr>
    </w:p>
    <w:p w:rsidR="008F2B73" w:rsidRPr="008F2B73" w:rsidRDefault="008F2B73" w:rsidP="008F2B73">
      <w:pPr>
        <w:autoSpaceDE w:val="0"/>
        <w:autoSpaceDN w:val="0"/>
        <w:adjustRightInd w:val="0"/>
        <w:spacing w:after="283" w:line="288" w:lineRule="auto"/>
        <w:ind w:left="0" w:firstLine="0"/>
        <w:jc w:val="left"/>
        <w:textAlignment w:val="center"/>
        <w:rPr>
          <w:rFonts w:ascii="David" w:eastAsiaTheme="minorHAnsi" w:hAnsiTheme="minorHAnsi"/>
          <w:b/>
          <w:bCs/>
          <w:color w:val="000000"/>
          <w:sz w:val="32"/>
          <w:szCs w:val="32"/>
          <w:rtl/>
        </w:rPr>
      </w:pPr>
      <w:r w:rsidRPr="008F2B73">
        <w:rPr>
          <w:rFonts w:ascii="David" w:eastAsiaTheme="minorHAnsi" w:hAnsiTheme="minorHAnsi" w:hint="cs"/>
          <w:b/>
          <w:bCs/>
          <w:color w:val="000000"/>
          <w:sz w:val="32"/>
          <w:szCs w:val="32"/>
          <w:rtl/>
        </w:rPr>
        <w:t>החלטה מספר בק/60 מיום 18.8.2008</w:t>
      </w:r>
    </w:p>
    <w:p w:rsidR="008F2B73" w:rsidRPr="008F2B73" w:rsidRDefault="008F2B73" w:rsidP="008F2B73">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8F2B73">
        <w:rPr>
          <w:rFonts w:ascii="David" w:eastAsiaTheme="minorHAnsi" w:hAnsiTheme="minorHAnsi" w:hint="cs"/>
          <w:b/>
          <w:bCs/>
          <w:color w:val="000000"/>
          <w:rtl/>
        </w:rPr>
        <w:t xml:space="preserve">יושב ראש ועדת השרים, השר עמי </w:t>
      </w:r>
      <w:proofErr w:type="spellStart"/>
      <w:r w:rsidRPr="008F2B73">
        <w:rPr>
          <w:rFonts w:ascii="David" w:eastAsiaTheme="minorHAnsi" w:hAnsiTheme="minorHAnsi" w:hint="cs"/>
          <w:b/>
          <w:bCs/>
          <w:color w:val="000000"/>
          <w:rtl/>
        </w:rPr>
        <w:t>אילון</w:t>
      </w:r>
      <w:proofErr w:type="spellEnd"/>
      <w:r w:rsidRPr="008F2B73">
        <w:rPr>
          <w:rFonts w:ascii="David" w:eastAsiaTheme="minorHAnsi" w:hAnsiTheme="minorHAnsi" w:hint="cs"/>
          <w:b/>
          <w:bCs/>
          <w:color w:val="000000"/>
          <w:rtl/>
        </w:rPr>
        <w:t>, מסכם</w:t>
      </w:r>
      <w:r w:rsidRPr="008F2B73">
        <w:rPr>
          <w:rFonts w:ascii="David" w:eastAsiaTheme="minorHAnsi" w:hAnsiTheme="minorHAnsi" w:hint="cs"/>
          <w:color w:val="000000"/>
          <w:rtl/>
        </w:rPr>
        <w:t xml:space="preserve"> ומציין כי בתחום הפיקוח והאכיפה על שידורי הרדיו בוצע תהליך ראוי של שיתוף פעולה בין משרדי ממשלה, זאת לאחר הגדרת עוצמת הבעיה כ-"טרור אווירי". הגדרה אשר יצרה מודעות בדבר סדר העדיפויות והעוצמה הנדרשת לטיפול בסוגיה, ובנוסף הגדרת שר התחבורה והבטיחות בדרכים כגורם המיניסטריאלי עליו הוטלה האחריות לטיפול. המתכונת האמורה יצרה שיפור משמעותי של הפיקוח והאכיפה ומניעה כמעט מוחלטת של הפרעות לתעבורה האווירית בגין שידורי רדיו.</w:t>
      </w:r>
    </w:p>
    <w:p w:rsidR="008F2B73" w:rsidRPr="008F2B73" w:rsidRDefault="008F2B73" w:rsidP="008F2B73">
      <w:pPr>
        <w:autoSpaceDE w:val="0"/>
        <w:autoSpaceDN w:val="0"/>
        <w:adjustRightInd w:val="0"/>
        <w:spacing w:before="113" w:after="283" w:line="288" w:lineRule="auto"/>
        <w:ind w:left="0" w:firstLine="0"/>
        <w:textAlignment w:val="center"/>
        <w:rPr>
          <w:rFonts w:ascii="David" w:eastAsiaTheme="minorHAnsi" w:hAnsiTheme="minorHAnsi"/>
          <w:b/>
          <w:bCs/>
          <w:color w:val="000000"/>
          <w:sz w:val="28"/>
          <w:szCs w:val="28"/>
          <w:rtl/>
        </w:rPr>
      </w:pPr>
      <w:r w:rsidRPr="008F2B73">
        <w:rPr>
          <w:rFonts w:ascii="David" w:eastAsiaTheme="minorHAnsi" w:hAnsiTheme="minorHAnsi" w:hint="cs"/>
          <w:b/>
          <w:bCs/>
          <w:color w:val="000000"/>
          <w:sz w:val="28"/>
          <w:szCs w:val="28"/>
          <w:rtl/>
        </w:rPr>
        <w:t>ביצוע ההחלטה</w:t>
      </w:r>
    </w:p>
    <w:p w:rsidR="008F2B73" w:rsidRPr="008F2B73" w:rsidRDefault="008F2B73" w:rsidP="008F2B73">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8F2B73">
        <w:rPr>
          <w:rFonts w:ascii="David" w:eastAsiaTheme="minorHAnsi" w:hAnsiTheme="minorHAnsi" w:hint="cs"/>
          <w:b/>
          <w:bCs/>
          <w:color w:val="000000"/>
          <w:rtl/>
        </w:rPr>
        <w:t>משרד התקשורת</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hint="cs"/>
          <w:color w:val="000000"/>
          <w:rtl/>
        </w:rPr>
        <w:t>א.</w:t>
      </w:r>
      <w:r w:rsidRPr="008F2B73">
        <w:rPr>
          <w:rFonts w:ascii="David" w:eastAsiaTheme="minorHAnsi" w:hAnsiTheme="minorHAnsi"/>
          <w:color w:val="000000"/>
          <w:rtl/>
        </w:rPr>
        <w:tab/>
      </w:r>
      <w:r w:rsidRPr="008F2B73">
        <w:rPr>
          <w:rFonts w:ascii="David" w:eastAsiaTheme="minorHAnsi" w:hAnsiTheme="minorHAnsi" w:hint="cs"/>
          <w:b/>
          <w:bCs/>
          <w:color w:val="000000"/>
          <w:rtl/>
        </w:rPr>
        <w:t>אי הפעלת ציוד ייעודי על ידי המשרד</w:t>
      </w:r>
      <w:r w:rsidRPr="008F2B73">
        <w:rPr>
          <w:rFonts w:ascii="David" w:eastAsiaTheme="minorHAnsi" w:hAnsiTheme="minorHAnsi" w:hint="cs"/>
          <w:color w:val="000000"/>
          <w:rtl/>
        </w:rPr>
        <w:t xml:space="preserve"> </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color w:val="000000"/>
          <w:rtl/>
        </w:rPr>
        <w:tab/>
      </w:r>
      <w:r w:rsidRPr="008F2B73">
        <w:rPr>
          <w:rFonts w:ascii="David" w:eastAsiaTheme="minorHAnsi" w:hAnsiTheme="minorHAnsi" w:hint="cs"/>
          <w:color w:val="000000"/>
          <w:rtl/>
        </w:rPr>
        <w:t>בעקבות חשיבה מחודשת לגבי אופן פעולת היחידה לפיקוח אלחוטי והתאמת הציוד לתפיסה שהתגבשה, הוכנה תוכנית הצטיידות אשר מתחשבת במבנה הגיאוגרפי של המדינה, לצרכים החדשים ולניסיון המצטבר; המשרד החל במימוש התוכנית וכבר משתמש ברכבים ובציוד הייעודי שנרכש, למשימות מקצועיות.</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hint="cs"/>
          <w:color w:val="000000"/>
          <w:rtl/>
        </w:rPr>
        <w:t>ב.</w:t>
      </w:r>
      <w:r w:rsidRPr="008F2B73">
        <w:rPr>
          <w:rFonts w:ascii="David" w:eastAsiaTheme="minorHAnsi" w:hAnsiTheme="minorHAnsi"/>
          <w:color w:val="000000"/>
          <w:rtl/>
        </w:rPr>
        <w:tab/>
      </w:r>
      <w:r w:rsidRPr="008F2B73">
        <w:rPr>
          <w:rFonts w:ascii="David" w:eastAsiaTheme="minorHAnsi" w:hAnsiTheme="minorHAnsi" w:hint="cs"/>
          <w:b/>
          <w:bCs/>
          <w:color w:val="000000"/>
          <w:rtl/>
        </w:rPr>
        <w:t>שיפור בטיפול בהפרעות לנתיבי טיסה</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color w:val="000000"/>
          <w:rtl/>
        </w:rPr>
        <w:tab/>
      </w:r>
      <w:r w:rsidRPr="008F2B73">
        <w:rPr>
          <w:rFonts w:ascii="David" w:eastAsiaTheme="minorHAnsi" w:hAnsiTheme="minorHAnsi" w:hint="cs"/>
          <w:color w:val="000000"/>
          <w:rtl/>
        </w:rPr>
        <w:t>במהלך שנת 2009 נגרמה הפרעה אחת בלבד מתחנת רדיו פיראטית באזור הדרום. כנגזר מאופן פעולת יחידת הפיקוח האלחוטי, מבוצעת סריקות יזומות בתדרי נתיבי הטיסה, ועל מנת לאתר ולטפל בגורמי ההפרעה בתחום זה לפני שיהוו הפרעה ממשית לבטיחות טיסה: כגון פעילות הכוונת מטוסים וכד'.</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hint="cs"/>
          <w:color w:val="000000"/>
          <w:rtl/>
        </w:rPr>
        <w:t>ג.</w:t>
      </w:r>
      <w:r w:rsidRPr="008F2B73">
        <w:rPr>
          <w:rFonts w:ascii="David" w:eastAsiaTheme="minorHAnsi" w:hAnsiTheme="minorHAnsi"/>
          <w:color w:val="000000"/>
          <w:rtl/>
        </w:rPr>
        <w:tab/>
      </w:r>
      <w:r w:rsidRPr="008F2B73">
        <w:rPr>
          <w:rFonts w:ascii="David" w:eastAsiaTheme="minorHAnsi" w:hAnsiTheme="minorHAnsi" w:hint="cs"/>
          <w:b/>
          <w:bCs/>
          <w:color w:val="000000"/>
          <w:rtl/>
        </w:rPr>
        <w:t>שינוי שיטת הטיפול והאכיפה</w:t>
      </w:r>
      <w:r w:rsidRPr="008F2B73">
        <w:rPr>
          <w:rFonts w:ascii="David" w:eastAsiaTheme="minorHAnsi" w:hAnsiTheme="minorHAnsi" w:hint="cs"/>
          <w:color w:val="000000"/>
          <w:rtl/>
        </w:rPr>
        <w:t xml:space="preserve"> </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color w:val="000000"/>
          <w:rtl/>
        </w:rPr>
        <w:tab/>
      </w:r>
      <w:r w:rsidRPr="008F2B73">
        <w:rPr>
          <w:rFonts w:ascii="David" w:eastAsiaTheme="minorHAnsi" w:hAnsiTheme="minorHAnsi" w:hint="cs"/>
          <w:color w:val="000000"/>
          <w:rtl/>
        </w:rPr>
        <w:t>יחידת הפיקוח האלחוטי מלווה את תיקי החקירה לאורך כל השלבים מול נציגי יחידות המשטרה הרלבנטיות, הן בסיוע בהקלטות ובהדרכות, והן בהכנת תיקי חוות דעת וייצוג בבתי משפט בעדות מומחה. התוצאות של פעילות זו מתבטאות בהצלחות להוכחת אשמה, ובהמשך בענישה של מפעילי רדיו פיראטי על ידי בתי הדין.</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b/>
          <w:bCs/>
          <w:color w:val="000000"/>
          <w:rtl/>
        </w:rPr>
      </w:pPr>
      <w:r w:rsidRPr="008F2B73">
        <w:rPr>
          <w:rFonts w:ascii="David" w:eastAsiaTheme="minorHAnsi" w:hAnsiTheme="minorHAnsi" w:hint="cs"/>
          <w:color w:val="000000"/>
          <w:rtl/>
        </w:rPr>
        <w:t>ד.</w:t>
      </w:r>
      <w:r w:rsidRPr="008F2B73">
        <w:rPr>
          <w:rFonts w:ascii="David" w:eastAsiaTheme="minorHAnsi" w:hAnsiTheme="minorHAnsi"/>
          <w:color w:val="000000"/>
          <w:rtl/>
        </w:rPr>
        <w:tab/>
      </w:r>
      <w:r w:rsidRPr="008F2B73">
        <w:rPr>
          <w:rFonts w:ascii="David" w:eastAsiaTheme="minorHAnsi" w:hAnsiTheme="minorHAnsi" w:hint="cs"/>
          <w:b/>
          <w:bCs/>
          <w:color w:val="000000"/>
          <w:rtl/>
        </w:rPr>
        <w:t xml:space="preserve">אכיפה בתחומי הרשות הפלסטינית </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color w:val="000000"/>
          <w:rtl/>
        </w:rPr>
        <w:tab/>
      </w:r>
      <w:r w:rsidRPr="008F2B73">
        <w:rPr>
          <w:rFonts w:ascii="David" w:eastAsiaTheme="minorHAnsi" w:hAnsiTheme="minorHAnsi" w:hint="cs"/>
          <w:color w:val="000000"/>
          <w:rtl/>
        </w:rPr>
        <w:t>הפרעות מעזה אינן מטופלות כלל, והפרעות מתחומי איו"ש מטופלות מול גורמי המינהל האזרחי, וכשנדרש, בתיאום עם יחידות צה"ל ופעילות משותפת עם יחידת הפיקוח האלחוטי. משך הטיפול בהפסקת ההפרעה מהווה נקודת חולשה, שהינה פוטנציאל לסיכון חיי אדם. המשרד יוזם את קידום הטיפול מול הגורמים המתאימים.</w:t>
      </w: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r w:rsidRPr="008F2B73">
        <w:rPr>
          <w:rFonts w:ascii="David" w:eastAsiaTheme="minorHAnsi" w:hAnsiTheme="minorHAnsi" w:hint="cs"/>
          <w:color w:val="000000"/>
          <w:rtl/>
        </w:rPr>
        <w:t>ה.</w:t>
      </w:r>
      <w:r w:rsidRPr="008F2B73">
        <w:rPr>
          <w:rFonts w:ascii="David" w:eastAsiaTheme="minorHAnsi" w:hAnsiTheme="minorHAnsi"/>
          <w:color w:val="000000"/>
          <w:rtl/>
        </w:rPr>
        <w:tab/>
      </w:r>
      <w:r w:rsidRPr="008F2B73">
        <w:rPr>
          <w:rFonts w:ascii="David" w:eastAsiaTheme="minorHAnsi" w:hAnsiTheme="minorHAnsi" w:hint="cs"/>
          <w:b/>
          <w:bCs/>
          <w:color w:val="000000"/>
          <w:rtl/>
        </w:rPr>
        <w:t>שיתוף פעולה בין משרדי הממשלה</w:t>
      </w:r>
      <w:r w:rsidRPr="008F2B73">
        <w:rPr>
          <w:rFonts w:ascii="David" w:eastAsiaTheme="minorHAnsi" w:hAnsiTheme="minorHAnsi" w:hint="cs"/>
          <w:color w:val="000000"/>
          <w:rtl/>
        </w:rPr>
        <w:t xml:space="preserve"> </w:t>
      </w:r>
    </w:p>
    <w:p w:rsid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hint="cs"/>
          <w:color w:val="000000"/>
          <w:rtl/>
        </w:rPr>
      </w:pPr>
      <w:r w:rsidRPr="008F2B73">
        <w:rPr>
          <w:rFonts w:ascii="David" w:eastAsiaTheme="minorHAnsi" w:hAnsiTheme="minorHAnsi"/>
          <w:color w:val="000000"/>
          <w:rtl/>
        </w:rPr>
        <w:tab/>
      </w:r>
      <w:r w:rsidRPr="008F2B73">
        <w:rPr>
          <w:rFonts w:ascii="David" w:eastAsiaTheme="minorHAnsi" w:hAnsiTheme="minorHAnsi" w:hint="cs"/>
          <w:color w:val="000000"/>
          <w:spacing w:val="2"/>
          <w:rtl/>
        </w:rPr>
        <w:t>הפעילות לקידום שיתוף הפעולה הבין-משרדי ראויה להערכה ולשימור. שיתוף הפעולה המתמשך בין יחידות המשטרה והפרקליטות עם משרד התקשורת נעשה תוך רצון ונחישות לטפל בנושא באופן שורשי ומעמיק. המשרד מציין כי משרד האוצר אישר תוספת כוח אדם זמני עד אוגוסט 2010 ותקצוב ציוד חדיש, אשר מהווים נדבך חשוב בפעילות כנגד תופעת הרדיו הפיראטי.</w:t>
      </w:r>
    </w:p>
    <w:p w:rsid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hint="cs"/>
          <w:color w:val="000000"/>
          <w:rtl/>
        </w:rPr>
      </w:pPr>
    </w:p>
    <w:p w:rsidR="008F2B73" w:rsidRPr="008F2B73" w:rsidRDefault="008F2B73" w:rsidP="008F2B73">
      <w:pPr>
        <w:suppressAutoHyphens/>
        <w:autoSpaceDE w:val="0"/>
        <w:autoSpaceDN w:val="0"/>
        <w:adjustRightInd w:val="0"/>
        <w:spacing w:after="170" w:line="260" w:lineRule="atLeast"/>
        <w:ind w:left="227" w:hanging="227"/>
        <w:textAlignment w:val="center"/>
        <w:rPr>
          <w:rFonts w:ascii="David" w:eastAsiaTheme="minorHAnsi" w:hAnsiTheme="minorHAnsi"/>
          <w:color w:val="000000"/>
          <w:rtl/>
        </w:rPr>
      </w:pPr>
    </w:p>
    <w:p w:rsidR="008F2B73" w:rsidRPr="008F2B73" w:rsidRDefault="008F2B73" w:rsidP="008F2B73">
      <w:pPr>
        <w:suppressAutoHyphens/>
        <w:autoSpaceDE w:val="0"/>
        <w:autoSpaceDN w:val="0"/>
        <w:adjustRightInd w:val="0"/>
        <w:spacing w:after="113" w:line="288" w:lineRule="auto"/>
        <w:ind w:left="0" w:firstLine="0"/>
        <w:textAlignment w:val="center"/>
        <w:rPr>
          <w:rFonts w:ascii="David" w:eastAsiaTheme="minorHAnsi" w:hAnsiTheme="minorHAnsi"/>
          <w:b/>
          <w:bCs/>
          <w:color w:val="000000"/>
          <w:rtl/>
        </w:rPr>
      </w:pPr>
      <w:r w:rsidRPr="008F2B73">
        <w:rPr>
          <w:rFonts w:ascii="David" w:eastAsiaTheme="minorHAnsi" w:hAnsiTheme="minorHAnsi" w:hint="cs"/>
          <w:b/>
          <w:bCs/>
          <w:color w:val="000000"/>
          <w:rtl/>
        </w:rPr>
        <w:lastRenderedPageBreak/>
        <w:t xml:space="preserve">רשות שדות התעופה </w:t>
      </w:r>
    </w:p>
    <w:p w:rsidR="008F2B73" w:rsidRPr="008F2B73" w:rsidRDefault="008F2B73" w:rsidP="008F2B73">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8F2B73">
        <w:rPr>
          <w:rFonts w:ascii="David" w:eastAsiaTheme="minorHAnsi" w:hAnsiTheme="minorHAnsi" w:hint="cs"/>
          <w:color w:val="000000"/>
          <w:rtl/>
        </w:rPr>
        <w:t xml:space="preserve">כיום אין תחנות פיראטיות ישראליות המפריעות לקשר האווירי. תחנות פיראטיות המוקמות נסגרות עוד בטרם שהן מהוות הפרעה לתעופה. ברוב המקרים בהם מקור ההפרעה הוא מתחנות רדיו, מדובר בתחנות רדיו פלסטיניות, חלק מההפרעות נגרמות ממשואות חרום וחלק מקורן בתקלות. </w:t>
      </w:r>
    </w:p>
    <w:p w:rsidR="009021C2" w:rsidRPr="008F2B73" w:rsidRDefault="009021C2" w:rsidP="008F2B73"/>
    <w:sectPr w:rsidR="009021C2" w:rsidRPr="008F2B73"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083" w:rsidRDefault="00215083" w:rsidP="00BF5B0C">
      <w:r>
        <w:separator/>
      </w:r>
    </w:p>
  </w:endnote>
  <w:endnote w:type="continuationSeparator" w:id="1">
    <w:p w:rsidR="00215083" w:rsidRDefault="00215083" w:rsidP="00BF5B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B6A" w:rsidRDefault="00022B6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B6A" w:rsidRDefault="00022B6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B6A" w:rsidRDefault="00022B6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083" w:rsidRDefault="00215083" w:rsidP="00BF5B0C">
      <w:r>
        <w:separator/>
      </w:r>
    </w:p>
  </w:footnote>
  <w:footnote w:type="continuationSeparator" w:id="1">
    <w:p w:rsidR="00215083" w:rsidRDefault="00215083" w:rsidP="00BF5B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B6A" w:rsidRDefault="00022B6A">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083" w:rsidRPr="002A74E8" w:rsidRDefault="00215083" w:rsidP="00BF5B0C">
    <w:pPr>
      <w:pStyle w:val="a4"/>
      <w:tabs>
        <w:tab w:val="clear" w:pos="4153"/>
      </w:tabs>
      <w:ind w:left="84" w:hanging="483"/>
      <w:jc w:val="right"/>
      <w:rPr>
        <w:sz w:val="16"/>
        <w:szCs w:val="16"/>
        <w:rtl/>
      </w:rPr>
    </w:pPr>
    <w:r w:rsidRPr="002A74E8">
      <w:rPr>
        <w:rFonts w:hint="cs"/>
        <w:sz w:val="16"/>
        <w:szCs w:val="16"/>
        <w:rtl/>
      </w:rPr>
      <w:t xml:space="preserve">  </w:t>
    </w:r>
    <w:r w:rsidR="00510A93" w:rsidRPr="002A74E8">
      <w:rPr>
        <w:sz w:val="16"/>
        <w:szCs w:val="16"/>
        <w:rtl/>
      </w:rPr>
      <w:fldChar w:fldCharType="begin"/>
    </w:r>
    <w:r w:rsidRPr="002A74E8">
      <w:rPr>
        <w:sz w:val="16"/>
        <w:szCs w:val="16"/>
        <w:rtl/>
      </w:rPr>
      <w:instrText xml:space="preserve"> </w:instrText>
    </w:r>
    <w:r w:rsidRPr="002A74E8">
      <w:rPr>
        <w:rFonts w:hint="cs"/>
        <w:sz w:val="16"/>
        <w:szCs w:val="16"/>
      </w:rPr>
      <w:instrText>TIME  \@ "HH:mm"  \* MERGEFORMAT</w:instrText>
    </w:r>
    <w:r w:rsidRPr="002A74E8">
      <w:rPr>
        <w:sz w:val="16"/>
        <w:szCs w:val="16"/>
        <w:rtl/>
      </w:rPr>
      <w:instrText xml:space="preserve"> </w:instrText>
    </w:r>
    <w:r w:rsidR="00510A93" w:rsidRPr="002A74E8">
      <w:rPr>
        <w:sz w:val="16"/>
        <w:szCs w:val="16"/>
        <w:rtl/>
      </w:rPr>
      <w:fldChar w:fldCharType="separate"/>
    </w:r>
    <w:r w:rsidR="008F2B73">
      <w:rPr>
        <w:noProof/>
        <w:sz w:val="16"/>
        <w:szCs w:val="16"/>
        <w:rtl/>
      </w:rPr>
      <w:t>‏18:02</w:t>
    </w:r>
    <w:r w:rsidR="00510A93" w:rsidRPr="002A74E8">
      <w:rPr>
        <w:sz w:val="16"/>
        <w:szCs w:val="16"/>
        <w:rtl/>
      </w:rPr>
      <w:fldChar w:fldCharType="end"/>
    </w:r>
    <w:r w:rsidRPr="002A74E8">
      <w:rPr>
        <w:rFonts w:hint="cs"/>
        <w:sz w:val="16"/>
        <w:szCs w:val="16"/>
        <w:rtl/>
      </w:rPr>
      <w:t xml:space="preserve">  </w:t>
    </w:r>
    <w:r w:rsidR="00510A93" w:rsidRPr="002A74E8">
      <w:rPr>
        <w:sz w:val="16"/>
        <w:szCs w:val="16"/>
        <w:rtl/>
      </w:rPr>
      <w:fldChar w:fldCharType="begin"/>
    </w:r>
    <w:r w:rsidRPr="002A74E8">
      <w:rPr>
        <w:sz w:val="16"/>
        <w:szCs w:val="16"/>
        <w:rtl/>
      </w:rPr>
      <w:instrText xml:space="preserve"> </w:instrText>
    </w:r>
    <w:r w:rsidRPr="002A74E8">
      <w:rPr>
        <w:rFonts w:hint="cs"/>
        <w:sz w:val="16"/>
        <w:szCs w:val="16"/>
      </w:rPr>
      <w:instrText>DATE  \@ "yyyy-MM-dd"  \* MERGEFORMAT</w:instrText>
    </w:r>
    <w:r w:rsidRPr="002A74E8">
      <w:rPr>
        <w:sz w:val="16"/>
        <w:szCs w:val="16"/>
        <w:rtl/>
      </w:rPr>
      <w:instrText xml:space="preserve"> </w:instrText>
    </w:r>
    <w:r w:rsidR="00510A93" w:rsidRPr="002A74E8">
      <w:rPr>
        <w:sz w:val="16"/>
        <w:szCs w:val="16"/>
        <w:rtl/>
      </w:rPr>
      <w:fldChar w:fldCharType="separate"/>
    </w:r>
    <w:r w:rsidR="008F2B73">
      <w:rPr>
        <w:noProof/>
        <w:sz w:val="16"/>
        <w:szCs w:val="16"/>
        <w:rtl/>
      </w:rPr>
      <w:t>‏2010–12–09</w:t>
    </w:r>
    <w:r w:rsidR="00510A93" w:rsidRPr="002A74E8">
      <w:rPr>
        <w:sz w:val="16"/>
        <w:szCs w:val="16"/>
        <w:rtl/>
      </w:rPr>
      <w:fldChar w:fldCharType="end"/>
    </w:r>
    <w:r w:rsidRPr="002A74E8">
      <w:rPr>
        <w:rFonts w:hint="cs"/>
        <w:sz w:val="16"/>
        <w:szCs w:val="16"/>
        <w:rtl/>
      </w:rPr>
      <w:t xml:space="preserve">   </w:t>
    </w:r>
    <w:fldSimple w:instr=" FILENAME  \* FirstCap \p  \* MERGEFORMAT ">
      <w:r w:rsidR="00B33E2D" w:rsidRPr="00B33E2D">
        <w:rPr>
          <w:noProof/>
          <w:sz w:val="16"/>
          <w:szCs w:val="16"/>
        </w:rPr>
        <w:t>L:\</w:t>
      </w:r>
      <w:r w:rsidR="00B33E2D" w:rsidRPr="00B33E2D">
        <w:rPr>
          <w:noProof/>
          <w:sz w:val="16"/>
          <w:szCs w:val="16"/>
          <w:rtl/>
        </w:rPr>
        <w:t>הספר - מעקבים 60ב\פנינה\ועדות שרים\בק 60 - הפיקוח האלחוטי</w:t>
      </w:r>
      <w:r w:rsidR="00B33E2D">
        <w:rPr>
          <w:noProof/>
          <w:rtl/>
        </w:rPr>
        <w:t xml:space="preserve"> על שידורי רדיו</w:t>
      </w:r>
      <w:r w:rsidR="00B33E2D">
        <w:rPr>
          <w:noProof/>
        </w:rPr>
        <w:t>.docx</w:t>
      </w:r>
    </w:fldSimple>
    <w:r w:rsidRPr="002A74E8">
      <w:rPr>
        <w:rFonts w:hint="cs"/>
        <w:sz w:val="16"/>
        <w:szCs w:val="16"/>
        <w:rtl/>
      </w:rPr>
      <w:t xml:space="preserve">    -</w:t>
    </w:r>
    <w:r w:rsidR="00510A93" w:rsidRPr="002A74E8">
      <w:rPr>
        <w:sz w:val="16"/>
        <w:szCs w:val="16"/>
        <w:rtl/>
      </w:rPr>
      <w:fldChar w:fldCharType="begin"/>
    </w:r>
    <w:r w:rsidRPr="002A74E8">
      <w:rPr>
        <w:sz w:val="16"/>
        <w:szCs w:val="16"/>
        <w:rtl/>
      </w:rPr>
      <w:instrText xml:space="preserve"> </w:instrText>
    </w:r>
    <w:r w:rsidRPr="002A74E8">
      <w:rPr>
        <w:sz w:val="16"/>
        <w:szCs w:val="16"/>
      </w:rPr>
      <w:instrText>PAGE   \* MERGEFORMAT</w:instrText>
    </w:r>
    <w:r w:rsidRPr="002A74E8">
      <w:rPr>
        <w:sz w:val="16"/>
        <w:szCs w:val="16"/>
        <w:rtl/>
      </w:rPr>
      <w:instrText xml:space="preserve"> </w:instrText>
    </w:r>
    <w:r w:rsidR="00510A93" w:rsidRPr="002A74E8">
      <w:rPr>
        <w:sz w:val="16"/>
        <w:szCs w:val="16"/>
        <w:rtl/>
      </w:rPr>
      <w:fldChar w:fldCharType="separate"/>
    </w:r>
    <w:r w:rsidR="008F2B73">
      <w:rPr>
        <w:noProof/>
        <w:sz w:val="16"/>
        <w:szCs w:val="16"/>
        <w:rtl/>
      </w:rPr>
      <w:t>1</w:t>
    </w:r>
    <w:r w:rsidR="00510A93" w:rsidRPr="002A74E8">
      <w:rPr>
        <w:sz w:val="16"/>
        <w:szCs w:val="16"/>
        <w:rtl/>
      </w:rPr>
      <w:fldChar w:fldCharType="end"/>
    </w:r>
    <w:r w:rsidRPr="002A74E8">
      <w:rPr>
        <w:rFonts w:hint="cs"/>
        <w:sz w:val="16"/>
        <w:szCs w:val="16"/>
        <w:rtl/>
      </w:rPr>
      <w:t>-</w:t>
    </w:r>
  </w:p>
  <w:p w:rsidR="00215083" w:rsidRDefault="00215083" w:rsidP="00BF5B0C">
    <w:pPr>
      <w:tabs>
        <w:tab w:val="left" w:pos="1316"/>
        <w:tab w:val="center" w:pos="4153"/>
      </w:tabs>
      <w:ind w:hanging="483"/>
      <w:rPr>
        <w:sz w:val="18"/>
        <w:szCs w:val="18"/>
        <w:u w:val="single"/>
        <w:rtl/>
      </w:rPr>
    </w:pPr>
  </w:p>
  <w:p w:rsidR="00215083" w:rsidRPr="00B90376" w:rsidRDefault="00215083" w:rsidP="00022B6A">
    <w:pPr>
      <w:tabs>
        <w:tab w:val="left" w:pos="1316"/>
        <w:tab w:val="center" w:pos="4153"/>
      </w:tabs>
      <w:ind w:hanging="483"/>
      <w:rPr>
        <w:sz w:val="18"/>
        <w:szCs w:val="18"/>
        <w:u w:val="single"/>
        <w:rtl/>
      </w:rPr>
    </w:pPr>
    <w:r w:rsidRPr="00B90376">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sidR="00022B6A">
      <w:rPr>
        <w:rFonts w:hint="cs"/>
        <w:sz w:val="18"/>
        <w:szCs w:val="18"/>
        <w:u w:val="single"/>
        <w:rtl/>
      </w:rPr>
      <w:t xml:space="preserve"> </w:t>
    </w:r>
    <w:r w:rsidRPr="00B90376">
      <w:rPr>
        <w:rFonts w:hint="cs"/>
        <w:sz w:val="18"/>
        <w:szCs w:val="18"/>
        <w:u w:val="single"/>
        <w:rtl/>
      </w:rPr>
      <w:t xml:space="preserve">  </w:t>
    </w:r>
    <w:r w:rsidR="00022B6A">
      <w:rPr>
        <w:rFonts w:hint="cs"/>
        <w:sz w:val="18"/>
        <w:szCs w:val="18"/>
        <w:u w:val="single"/>
        <w:rtl/>
      </w:rPr>
      <w:t>החלטות</w:t>
    </w:r>
    <w:r w:rsidRPr="00B90376">
      <w:rPr>
        <w:rFonts w:hint="cs"/>
        <w:sz w:val="18"/>
        <w:szCs w:val="18"/>
        <w:u w:val="single"/>
        <w:rtl/>
      </w:rPr>
      <w:t xml:space="preserve">  </w:t>
    </w:r>
    <w:r>
      <w:rPr>
        <w:rFonts w:hint="cs"/>
        <w:sz w:val="18"/>
        <w:szCs w:val="18"/>
        <w:u w:val="single"/>
        <w:rtl/>
      </w:rPr>
      <w:t>ועדות שרים</w:t>
    </w:r>
  </w:p>
  <w:p w:rsidR="00215083" w:rsidRDefault="00215083">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B6A" w:rsidRDefault="00022B6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01FE1"/>
    <w:multiLevelType w:val="hybridMultilevel"/>
    <w:tmpl w:val="BE9E6CD4"/>
    <w:lvl w:ilvl="0" w:tplc="040D000F">
      <w:start w:val="1"/>
      <w:numFmt w:val="decimal"/>
      <w:lvlText w:val="%1."/>
      <w:lvlJc w:val="left"/>
      <w:pPr>
        <w:tabs>
          <w:tab w:val="num" w:pos="720"/>
        </w:tabs>
        <w:ind w:left="720" w:hanging="360"/>
      </w:pPr>
      <w:rPr>
        <w:rFonts w:cs="Times New Roman"/>
      </w:rPr>
    </w:lvl>
    <w:lvl w:ilvl="1" w:tplc="857A4204">
      <w:start w:val="1"/>
      <w:numFmt w:val="hebrew1"/>
      <w:lvlText w:val="%2."/>
      <w:lvlJc w:val="center"/>
      <w:pPr>
        <w:tabs>
          <w:tab w:val="num" w:pos="1440"/>
        </w:tabs>
        <w:ind w:left="1440" w:hanging="360"/>
      </w:pPr>
      <w:rPr>
        <w:rFonts w:cs="David"/>
        <w:szCs w:val="24"/>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F5B0C"/>
    <w:rsid w:val="00000243"/>
    <w:rsid w:val="00000739"/>
    <w:rsid w:val="00022B6A"/>
    <w:rsid w:val="00027667"/>
    <w:rsid w:val="000353DF"/>
    <w:rsid w:val="00043D5A"/>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15083"/>
    <w:rsid w:val="00232852"/>
    <w:rsid w:val="00237AB5"/>
    <w:rsid w:val="00250C36"/>
    <w:rsid w:val="00274039"/>
    <w:rsid w:val="00280509"/>
    <w:rsid w:val="00282D49"/>
    <w:rsid w:val="002831EA"/>
    <w:rsid w:val="0029553E"/>
    <w:rsid w:val="00297441"/>
    <w:rsid w:val="002A6F8F"/>
    <w:rsid w:val="002B3D39"/>
    <w:rsid w:val="002B6125"/>
    <w:rsid w:val="002B6CF7"/>
    <w:rsid w:val="002D02ED"/>
    <w:rsid w:val="002D0694"/>
    <w:rsid w:val="002E2B52"/>
    <w:rsid w:val="002E6760"/>
    <w:rsid w:val="002E6B4E"/>
    <w:rsid w:val="0030735E"/>
    <w:rsid w:val="00310136"/>
    <w:rsid w:val="0031532B"/>
    <w:rsid w:val="0033198C"/>
    <w:rsid w:val="003344B0"/>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1FAA"/>
    <w:rsid w:val="00467CE6"/>
    <w:rsid w:val="004763C5"/>
    <w:rsid w:val="004917AA"/>
    <w:rsid w:val="004A255F"/>
    <w:rsid w:val="004B0F0E"/>
    <w:rsid w:val="004B1C7B"/>
    <w:rsid w:val="004C7217"/>
    <w:rsid w:val="004D427F"/>
    <w:rsid w:val="004D51C8"/>
    <w:rsid w:val="004E075B"/>
    <w:rsid w:val="004E46A0"/>
    <w:rsid w:val="004F2791"/>
    <w:rsid w:val="00510929"/>
    <w:rsid w:val="00510A93"/>
    <w:rsid w:val="005139D8"/>
    <w:rsid w:val="00514843"/>
    <w:rsid w:val="005219B4"/>
    <w:rsid w:val="00533C78"/>
    <w:rsid w:val="00537BD2"/>
    <w:rsid w:val="00547425"/>
    <w:rsid w:val="0055111F"/>
    <w:rsid w:val="00563607"/>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A22BA"/>
    <w:rsid w:val="007B0C4D"/>
    <w:rsid w:val="007B26F2"/>
    <w:rsid w:val="007B4AAF"/>
    <w:rsid w:val="007D1079"/>
    <w:rsid w:val="00810E64"/>
    <w:rsid w:val="0081406C"/>
    <w:rsid w:val="00817201"/>
    <w:rsid w:val="008264F7"/>
    <w:rsid w:val="00867F44"/>
    <w:rsid w:val="0088076B"/>
    <w:rsid w:val="008A1154"/>
    <w:rsid w:val="008B1C1D"/>
    <w:rsid w:val="008B5AD7"/>
    <w:rsid w:val="008D6336"/>
    <w:rsid w:val="008F2B73"/>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D6769"/>
    <w:rsid w:val="00AF66AA"/>
    <w:rsid w:val="00AF7804"/>
    <w:rsid w:val="00B00D9A"/>
    <w:rsid w:val="00B16BE4"/>
    <w:rsid w:val="00B24388"/>
    <w:rsid w:val="00B3265D"/>
    <w:rsid w:val="00B33E2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5B0C"/>
    <w:rsid w:val="00C038DE"/>
    <w:rsid w:val="00C03A0E"/>
    <w:rsid w:val="00C3301D"/>
    <w:rsid w:val="00C34195"/>
    <w:rsid w:val="00C366AF"/>
    <w:rsid w:val="00C41FFA"/>
    <w:rsid w:val="00C51C1D"/>
    <w:rsid w:val="00C6659C"/>
    <w:rsid w:val="00C723C0"/>
    <w:rsid w:val="00CA2206"/>
    <w:rsid w:val="00CB6CA1"/>
    <w:rsid w:val="00CC3E2F"/>
    <w:rsid w:val="00CC683F"/>
    <w:rsid w:val="00CD2448"/>
    <w:rsid w:val="00CE2D49"/>
    <w:rsid w:val="00D02568"/>
    <w:rsid w:val="00D038BA"/>
    <w:rsid w:val="00D04CE8"/>
    <w:rsid w:val="00D20800"/>
    <w:rsid w:val="00D37D9E"/>
    <w:rsid w:val="00D57A3C"/>
    <w:rsid w:val="00D66429"/>
    <w:rsid w:val="00D8517D"/>
    <w:rsid w:val="00D85ED3"/>
    <w:rsid w:val="00D92F36"/>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8515A"/>
    <w:rsid w:val="00E92150"/>
    <w:rsid w:val="00E92381"/>
    <w:rsid w:val="00EA14C1"/>
    <w:rsid w:val="00EC33CF"/>
    <w:rsid w:val="00EF3EE3"/>
    <w:rsid w:val="00EF6F1E"/>
    <w:rsid w:val="00F17E20"/>
    <w:rsid w:val="00F24A00"/>
    <w:rsid w:val="00F45C4A"/>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B0C"/>
    <w:pPr>
      <w:bidi/>
      <w:spacing w:line="240" w:lineRule="auto"/>
      <w:ind w:left="567" w:firstLine="142"/>
      <w:jc w:val="both"/>
    </w:pPr>
    <w:rPr>
      <w:rFonts w:ascii="Times New Roman" w:eastAsia="Calibri"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כותרת ליקוי"/>
    <w:basedOn w:val="a"/>
    <w:uiPriority w:val="99"/>
    <w:rsid w:val="00BF5B0C"/>
    <w:pPr>
      <w:keepNext/>
      <w:ind w:hanging="567"/>
    </w:pPr>
    <w:rPr>
      <w:b/>
    </w:rPr>
  </w:style>
  <w:style w:type="paragraph" w:styleId="a4">
    <w:name w:val="header"/>
    <w:basedOn w:val="a"/>
    <w:link w:val="a5"/>
    <w:unhideWhenUsed/>
    <w:rsid w:val="00BF5B0C"/>
    <w:pPr>
      <w:tabs>
        <w:tab w:val="center" w:pos="4153"/>
        <w:tab w:val="right" w:pos="8306"/>
      </w:tabs>
    </w:pPr>
  </w:style>
  <w:style w:type="character" w:customStyle="1" w:styleId="a5">
    <w:name w:val="כותרת עליונה תו"/>
    <w:basedOn w:val="a0"/>
    <w:link w:val="a4"/>
    <w:rsid w:val="00BF5B0C"/>
    <w:rPr>
      <w:rFonts w:ascii="Times New Roman" w:eastAsia="Calibri" w:hAnsi="Times New Roman"/>
    </w:rPr>
  </w:style>
  <w:style w:type="paragraph" w:styleId="a6">
    <w:name w:val="footer"/>
    <w:basedOn w:val="a"/>
    <w:link w:val="a7"/>
    <w:uiPriority w:val="99"/>
    <w:semiHidden/>
    <w:unhideWhenUsed/>
    <w:rsid w:val="00BF5B0C"/>
    <w:pPr>
      <w:tabs>
        <w:tab w:val="center" w:pos="4153"/>
        <w:tab w:val="right" w:pos="8306"/>
      </w:tabs>
    </w:pPr>
  </w:style>
  <w:style w:type="character" w:customStyle="1" w:styleId="a7">
    <w:name w:val="כותרת תחתונה תו"/>
    <w:basedOn w:val="a0"/>
    <w:link w:val="a6"/>
    <w:uiPriority w:val="99"/>
    <w:semiHidden/>
    <w:rsid w:val="00BF5B0C"/>
    <w:rPr>
      <w:rFonts w:ascii="Times New Roman" w:eastAsia="Calibri" w:hAnsi="Times New Roman"/>
    </w:rPr>
  </w:style>
  <w:style w:type="paragraph" w:styleId="a8">
    <w:name w:val="Balloon Text"/>
    <w:basedOn w:val="a"/>
    <w:link w:val="a9"/>
    <w:uiPriority w:val="99"/>
    <w:semiHidden/>
    <w:unhideWhenUsed/>
    <w:rsid w:val="00BF5B0C"/>
    <w:rPr>
      <w:rFonts w:ascii="Tahoma" w:hAnsi="Tahoma" w:cs="Tahoma"/>
      <w:sz w:val="16"/>
      <w:szCs w:val="16"/>
    </w:rPr>
  </w:style>
  <w:style w:type="character" w:customStyle="1" w:styleId="a9">
    <w:name w:val="טקסט בלונים תו"/>
    <w:basedOn w:val="a0"/>
    <w:link w:val="a8"/>
    <w:uiPriority w:val="99"/>
    <w:semiHidden/>
    <w:rsid w:val="00BF5B0C"/>
    <w:rPr>
      <w:rFonts w:ascii="Tahoma" w:eastAsia="Calibri" w:hAnsi="Tahoma" w:cs="Tahoma"/>
      <w:sz w:val="16"/>
      <w:szCs w:val="16"/>
    </w:rPr>
  </w:style>
  <w:style w:type="paragraph" w:customStyle="1" w:styleId="aa">
    <w:name w:val="כותרת מאמר"/>
    <w:basedOn w:val="a"/>
    <w:uiPriority w:val="99"/>
    <w:rsid w:val="008F2B73"/>
    <w:pPr>
      <w:suppressAutoHyphens/>
      <w:autoSpaceDE w:val="0"/>
      <w:autoSpaceDN w:val="0"/>
      <w:adjustRightInd w:val="0"/>
      <w:spacing w:line="340" w:lineRule="atLeast"/>
      <w:ind w:left="0" w:firstLine="0"/>
      <w:jc w:val="center"/>
      <w:textAlignment w:val="center"/>
    </w:pPr>
    <w:rPr>
      <w:rFonts w:ascii="David" w:eastAsiaTheme="minorHAnsi" w:hAnsiTheme="minorHAnsi"/>
      <w:b/>
      <w:bCs/>
      <w:color w:val="000000"/>
      <w:sz w:val="36"/>
      <w:szCs w:val="36"/>
    </w:rPr>
  </w:style>
  <w:style w:type="paragraph" w:customStyle="1" w:styleId="60">
    <w:name w:val="דוח 60א"/>
    <w:basedOn w:val="a"/>
    <w:uiPriority w:val="99"/>
    <w:rsid w:val="008F2B73"/>
    <w:pPr>
      <w:suppressAutoHyphens/>
      <w:autoSpaceDE w:val="0"/>
      <w:autoSpaceDN w:val="0"/>
      <w:adjustRightInd w:val="0"/>
      <w:spacing w:line="288" w:lineRule="auto"/>
      <w:ind w:left="0" w:firstLine="0"/>
      <w:jc w:val="center"/>
      <w:textAlignment w:val="center"/>
    </w:pPr>
    <w:rPr>
      <w:rFonts w:ascii="David" w:eastAsiaTheme="minorHAnsi" w:hAnsiTheme="minorHAnsi"/>
      <w:b/>
      <w:bCs/>
      <w:color w:val="000000"/>
      <w:sz w:val="28"/>
      <w:szCs w:val="28"/>
    </w:rPr>
  </w:style>
  <w:style w:type="paragraph" w:customStyle="1" w:styleId="ab">
    <w:name w:val="טקסט רץ"/>
    <w:basedOn w:val="a"/>
    <w:next w:val="a"/>
    <w:uiPriority w:val="99"/>
    <w:rsid w:val="008F2B73"/>
    <w:pPr>
      <w:suppressAutoHyphens/>
      <w:autoSpaceDE w:val="0"/>
      <w:autoSpaceDN w:val="0"/>
      <w:adjustRightInd w:val="0"/>
      <w:spacing w:after="170" w:line="260" w:lineRule="atLeast"/>
      <w:ind w:left="0" w:firstLine="0"/>
      <w:textAlignment w:val="center"/>
    </w:pPr>
    <w:rPr>
      <w:rFonts w:ascii="David" w:eastAsiaTheme="minorHAnsi" w:hAnsiTheme="minorHAnsi"/>
      <w:color w:val="000000"/>
    </w:rPr>
  </w:style>
  <w:style w:type="paragraph" w:customStyle="1" w:styleId="ac">
    <w:name w:val="החלטה מס'"/>
    <w:basedOn w:val="a"/>
    <w:uiPriority w:val="99"/>
    <w:rsid w:val="008F2B73"/>
    <w:pPr>
      <w:autoSpaceDE w:val="0"/>
      <w:autoSpaceDN w:val="0"/>
      <w:adjustRightInd w:val="0"/>
      <w:spacing w:after="283" w:line="288" w:lineRule="auto"/>
      <w:ind w:left="0" w:firstLine="0"/>
      <w:jc w:val="left"/>
      <w:textAlignment w:val="center"/>
    </w:pPr>
    <w:rPr>
      <w:rFonts w:ascii="David" w:eastAsiaTheme="minorHAnsi" w:hAnsiTheme="minorHAnsi"/>
      <w:b/>
      <w:bCs/>
      <w:color w:val="000000"/>
      <w:sz w:val="32"/>
      <w:szCs w:val="32"/>
    </w:rPr>
  </w:style>
  <w:style w:type="paragraph" w:customStyle="1" w:styleId="ad">
    <w:name w:val="מחליטים"/>
    <w:basedOn w:val="a"/>
    <w:uiPriority w:val="99"/>
    <w:rsid w:val="008F2B73"/>
    <w:pPr>
      <w:autoSpaceDE w:val="0"/>
      <w:autoSpaceDN w:val="0"/>
      <w:adjustRightInd w:val="0"/>
      <w:spacing w:before="113" w:after="283" w:line="288" w:lineRule="auto"/>
      <w:ind w:left="0" w:firstLine="0"/>
      <w:textAlignment w:val="center"/>
    </w:pPr>
    <w:rPr>
      <w:rFonts w:ascii="David" w:eastAsiaTheme="minorHAnsi" w:hAnsiTheme="minorHAnsi"/>
      <w:b/>
      <w:bCs/>
      <w:color w:val="000000"/>
      <w:sz w:val="28"/>
      <w:szCs w:val="28"/>
    </w:rPr>
  </w:style>
  <w:style w:type="paragraph" w:customStyle="1" w:styleId="ae">
    <w:name w:val="המשרד לבטחון פנים"/>
    <w:basedOn w:val="a"/>
    <w:next w:val="a"/>
    <w:uiPriority w:val="99"/>
    <w:rsid w:val="008F2B73"/>
    <w:pPr>
      <w:suppressAutoHyphens/>
      <w:autoSpaceDE w:val="0"/>
      <w:autoSpaceDN w:val="0"/>
      <w:adjustRightInd w:val="0"/>
      <w:spacing w:after="113" w:line="288" w:lineRule="auto"/>
      <w:ind w:left="0" w:firstLine="0"/>
      <w:textAlignment w:val="center"/>
    </w:pPr>
    <w:rPr>
      <w:rFonts w:ascii="David" w:eastAsiaTheme="minorHAnsi" w:hAnsiTheme="minorHAnsi"/>
      <w:b/>
      <w:bCs/>
      <w:color w:val="000000"/>
    </w:rPr>
  </w:style>
  <w:style w:type="paragraph" w:customStyle="1" w:styleId="af">
    <w:name w:val="טקסט הזחה"/>
    <w:basedOn w:val="ab"/>
    <w:next w:val="a"/>
    <w:uiPriority w:val="99"/>
    <w:rsid w:val="008F2B73"/>
    <w:pPr>
      <w:ind w:left="227" w:hanging="227"/>
    </w:pPr>
  </w:style>
  <w:style w:type="character" w:customStyle="1" w:styleId="af0">
    <w:name w:val="בולד"/>
    <w:uiPriority w:val="99"/>
    <w:rsid w:val="008F2B73"/>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2008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2010-10-14T11:29:00Z</cp:lastPrinted>
  <dcterms:created xsi:type="dcterms:W3CDTF">2010-12-09T16:03:00Z</dcterms:created>
  <dcterms:modified xsi:type="dcterms:W3CDTF">2010-12-09T16:03:00Z</dcterms:modified>
</cp:coreProperties>
</file>