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D15" w:rsidRPr="00E674CF" w:rsidRDefault="001C0D15" w:rsidP="008A075F">
      <w:pPr>
        <w:bidi/>
        <w:ind w:left="4025"/>
        <w:jc w:val="both"/>
        <w:rPr>
          <w:rFonts w:ascii="Courier New" w:hAnsi="Courier New" w:cs="Rod Transparent"/>
          <w:spacing w:val="-20"/>
          <w:sz w:val="24"/>
          <w:szCs w:val="24"/>
          <w:rtl/>
          <w:lang w:val="en-GB"/>
        </w:rPr>
      </w:pPr>
    </w:p>
    <w:p w:rsidR="004D22A8" w:rsidRDefault="004D22A8" w:rsidP="004D22A8">
      <w:pPr>
        <w:pStyle w:val="-"/>
        <w:rPr>
          <w:rtl/>
        </w:rPr>
      </w:pPr>
      <w:r>
        <w:rPr>
          <w:rFonts w:hint="cs"/>
          <w:rtl/>
        </w:rPr>
        <w:t>פיקוח על שימוש בתכשירים וטרינריים</w:t>
      </w:r>
    </w:p>
    <w:p w:rsidR="004D22A8" w:rsidRDefault="004D22A8" w:rsidP="004D22A8">
      <w:pPr>
        <w:pStyle w:val="aa"/>
        <w:rPr>
          <w:rtl/>
        </w:rPr>
      </w:pPr>
      <w:r>
        <w:rPr>
          <w:rFonts w:hint="cs"/>
          <w:rtl/>
        </w:rPr>
        <w:t>החלטה מספר בק/67 מיום 27.10.2008</w:t>
      </w:r>
    </w:p>
    <w:p w:rsidR="004D22A8" w:rsidRDefault="004D22A8" w:rsidP="004D22A8">
      <w:pPr>
        <w:pStyle w:val="ab"/>
        <w:rPr>
          <w:rtl/>
        </w:rPr>
      </w:pPr>
      <w:r>
        <w:rPr>
          <w:rFonts w:hint="cs"/>
          <w:rtl/>
        </w:rPr>
        <w:t>מחליטים:</w:t>
      </w:r>
    </w:p>
    <w:p w:rsidR="004D22A8" w:rsidRDefault="004D22A8" w:rsidP="004D22A8">
      <w:pPr>
        <w:pStyle w:val="ac"/>
        <w:rPr>
          <w:rtl/>
        </w:rPr>
      </w:pPr>
      <w:r>
        <w:rPr>
          <w:rFonts w:hint="cs"/>
          <w:rtl/>
        </w:rPr>
        <w:t xml:space="preserve">יושב ראש ועדת השרים, השר עמי </w:t>
      </w:r>
      <w:proofErr w:type="spellStart"/>
      <w:r>
        <w:rPr>
          <w:rFonts w:hint="cs"/>
          <w:rtl/>
        </w:rPr>
        <w:t>אילון</w:t>
      </w:r>
      <w:proofErr w:type="spellEnd"/>
      <w:r>
        <w:rPr>
          <w:rFonts w:hint="cs"/>
          <w:rtl/>
        </w:rPr>
        <w:t>, מסכם:</w:t>
      </w:r>
    </w:p>
    <w:p w:rsidR="004D22A8" w:rsidRDefault="004D22A8" w:rsidP="004D22A8">
      <w:pPr>
        <w:pStyle w:val="ac"/>
        <w:rPr>
          <w:rtl/>
        </w:rPr>
      </w:pPr>
      <w:r>
        <w:rPr>
          <w:rFonts w:hint="cs"/>
          <w:rtl/>
        </w:rPr>
        <w:t>מציין כי לתחושתו קיים טיפול בסוגיה אך בקצב איטי. מבקש כי מנכ"לית משרד החקלאות ופיתוח הכפר תעביר לידיעתו בתוך שבועיים לוח זמנים מתואם עם משרד הבריאות לסיום גיבוש נהלי עבודה מוסכמים בנושא כאמור בדו"ח מבקר המדינה.</w:t>
      </w:r>
    </w:p>
    <w:p w:rsidR="004D22A8" w:rsidRDefault="004D22A8" w:rsidP="004D22A8">
      <w:pPr>
        <w:pStyle w:val="ac"/>
        <w:rPr>
          <w:rtl/>
        </w:rPr>
      </w:pPr>
      <w:r>
        <w:rPr>
          <w:rFonts w:hint="cs"/>
          <w:rtl/>
        </w:rPr>
        <w:t>מציין כי בשולי הדברים עלה נושא פעולת המבקרים הפנימיים במשרדי הממשלה. מנחה את האגף לביקורת המדינה במשרד ראש הממשלה להכין את הנושא לדיון בישיבת ועדת השרים הבאה."</w:t>
      </w:r>
    </w:p>
    <w:p w:rsidR="004D22A8" w:rsidRDefault="004D22A8" w:rsidP="004D22A8">
      <w:pPr>
        <w:pStyle w:val="ab"/>
        <w:rPr>
          <w:rtl/>
        </w:rPr>
      </w:pPr>
      <w:r>
        <w:rPr>
          <w:rFonts w:hint="cs"/>
          <w:rtl/>
        </w:rPr>
        <w:t xml:space="preserve">ביצוע ההחלטה </w:t>
      </w:r>
    </w:p>
    <w:p w:rsidR="004D22A8" w:rsidRDefault="004D22A8" w:rsidP="004D22A8">
      <w:pPr>
        <w:pStyle w:val="ad"/>
        <w:rPr>
          <w:rtl/>
        </w:rPr>
      </w:pPr>
      <w:r>
        <w:rPr>
          <w:rFonts w:hint="cs"/>
          <w:rtl/>
        </w:rPr>
        <w:t>משרד החקלאות ופיתוח הכפר</w:t>
      </w:r>
    </w:p>
    <w:p w:rsidR="004D22A8" w:rsidRDefault="004D22A8" w:rsidP="004D22A8">
      <w:pPr>
        <w:pStyle w:val="ac"/>
        <w:rPr>
          <w:rtl/>
        </w:rPr>
      </w:pPr>
      <w:r>
        <w:rPr>
          <w:rFonts w:hint="cs"/>
          <w:rtl/>
        </w:rPr>
        <w:t xml:space="preserve">נקבע נוהל עבודה פנימי של משרד החקלאות בין יחידת </w:t>
      </w:r>
      <w:proofErr w:type="spellStart"/>
      <w:r>
        <w:rPr>
          <w:rFonts w:hint="cs"/>
          <w:rtl/>
        </w:rPr>
        <w:t>הפיצו"ח</w:t>
      </w:r>
      <w:proofErr w:type="spellEnd"/>
      <w:r>
        <w:rPr>
          <w:rFonts w:hint="cs"/>
          <w:rtl/>
        </w:rPr>
        <w:t xml:space="preserve"> והפיקוח על התכשירים הווטרינריים בשירותים הווטרינריים.</w:t>
      </w:r>
    </w:p>
    <w:p w:rsidR="004D22A8" w:rsidRDefault="004D22A8" w:rsidP="004D22A8">
      <w:pPr>
        <w:pStyle w:val="ac"/>
        <w:rPr>
          <w:rtl/>
        </w:rPr>
      </w:pPr>
      <w:r>
        <w:rPr>
          <w:rFonts w:hint="cs"/>
          <w:rtl/>
        </w:rPr>
        <w:t>משרדי הבריאות וחקלאות מקיימים דיונים משותפים, ועדות משותפות וביקורות משותפות בנושא התכשירים הווטרינריים.</w:t>
      </w:r>
    </w:p>
    <w:p w:rsidR="004D22A8" w:rsidRDefault="004D22A8" w:rsidP="004D22A8">
      <w:pPr>
        <w:pStyle w:val="ac"/>
        <w:rPr>
          <w:rtl/>
        </w:rPr>
      </w:pPr>
      <w:r>
        <w:rPr>
          <w:rFonts w:hint="cs"/>
          <w:rtl/>
        </w:rPr>
        <w:t>משרד החקלאות פועל במקביל לקידום מספר יוזמות חקיקה בנושא התכשירים הווטרינריים.</w:t>
      </w:r>
    </w:p>
    <w:p w:rsidR="004D22A8" w:rsidRDefault="004D22A8" w:rsidP="004D22A8">
      <w:pPr>
        <w:pStyle w:val="ad"/>
        <w:rPr>
          <w:rtl/>
        </w:rPr>
      </w:pPr>
      <w:r>
        <w:rPr>
          <w:rFonts w:hint="cs"/>
          <w:rtl/>
        </w:rPr>
        <w:t>משרד הבריאות</w:t>
      </w:r>
    </w:p>
    <w:p w:rsidR="004D22A8" w:rsidRDefault="004D22A8" w:rsidP="004D22A8">
      <w:pPr>
        <w:pStyle w:val="ac"/>
        <w:rPr>
          <w:rtl/>
        </w:rPr>
      </w:pPr>
      <w:r>
        <w:rPr>
          <w:rFonts w:hint="cs"/>
          <w:rtl/>
        </w:rPr>
        <w:t>הרחבת סמכויות על פי פקודת הרוקחים: עובדי משרד החקלאות קיבלו הסמכה על פי סעיף 46 לפקודת הרוקחים. כאשר עובדי משרד החקלאות מבקשים להיכנס לביקורת בבית מרקחת, הביקורת תיעשה ביחד עם הרוקחים המחוזיים.</w:t>
      </w:r>
    </w:p>
    <w:p w:rsidR="004D22A8" w:rsidRDefault="004D22A8" w:rsidP="004D22A8">
      <w:pPr>
        <w:pStyle w:val="ac"/>
        <w:rPr>
          <w:rtl/>
        </w:rPr>
      </w:pPr>
      <w:r>
        <w:rPr>
          <w:rFonts w:hint="cs"/>
          <w:rtl/>
        </w:rPr>
        <w:t xml:space="preserve">להגדרת תחומי הפיקוח והבקרה של התרופות: התקיימה ישיבה משותפת בהשתתפות נציגי השירותים הווטרינריים, נציג יחידת </w:t>
      </w:r>
      <w:proofErr w:type="spellStart"/>
      <w:r>
        <w:rPr>
          <w:rFonts w:hint="cs"/>
          <w:rtl/>
        </w:rPr>
        <w:t>הפיצו"ח</w:t>
      </w:r>
      <w:proofErr w:type="spellEnd"/>
      <w:r>
        <w:rPr>
          <w:rFonts w:hint="cs"/>
          <w:rtl/>
        </w:rPr>
        <w:t xml:space="preserve"> והרוקחים המחוזיים ביום 4.8.2009 בה הוגדרו תחומי הפיקוח. ההמלצה לרשות המקומית </w:t>
      </w:r>
      <w:proofErr w:type="spellStart"/>
      <w:r>
        <w:rPr>
          <w:rFonts w:hint="cs"/>
          <w:rtl/>
        </w:rPr>
        <w:t>לרשיון</w:t>
      </w:r>
      <w:proofErr w:type="spellEnd"/>
      <w:r>
        <w:rPr>
          <w:rFonts w:hint="cs"/>
          <w:rtl/>
        </w:rPr>
        <w:t xml:space="preserve"> עסק של מקומות ניפוק מורשים לתכשירים ווטרינריים, ניתנת על ידי הרוקחים המחוזיים. הפיקוח במקומות אלה נעשה בפועל על ידי רופא של השירותים הווטרינריים, משרד החקלאות ביחד עם הרוקח המחוזי. יכול רופא השירותים הוטרינריים, כמו גם הרוקח המחוזי, לערוך בקרה במקומות אלה בעצמו.</w:t>
      </w:r>
    </w:p>
    <w:p w:rsidR="008A075F" w:rsidRPr="001E7018" w:rsidRDefault="004D22A8" w:rsidP="004D22A8">
      <w:pPr>
        <w:bidi/>
        <w:jc w:val="both"/>
        <w:rPr>
          <w:rFonts w:cs="David"/>
          <w:sz w:val="24"/>
          <w:szCs w:val="24"/>
          <w:rtl/>
        </w:rPr>
      </w:pPr>
      <w:r w:rsidRPr="004D22A8">
        <w:rPr>
          <w:rFonts w:cs="David" w:hint="cs"/>
          <w:sz w:val="24"/>
          <w:szCs w:val="24"/>
          <w:rtl/>
        </w:rPr>
        <w:t>התקדמות בנושא הוראות החוק המתאימות: חלוקת הסמכויות בין המשרדים השונים יבוא לידי ביטוי בהוראות החוק החדשות. ההצעה גובשה עם צוות משותף של משרדי החקלאות והבריאות והועברה לטיפול הלשכה המשפטית של משרד הבריאות. עו"ד המטפלת בנושא מטעם משרד החקלאות יצאה לחופשת לידה במהלך 2009-2010. הצעת החוק חייבת לעבור עיבוד סופי של הלשכה המשפטית</w:t>
      </w:r>
      <w:r>
        <w:rPr>
          <w:rFonts w:hint="cs"/>
          <w:rtl/>
        </w:rPr>
        <w:t>.</w:t>
      </w:r>
    </w:p>
    <w:p w:rsidR="001A6FE8" w:rsidRDefault="001A6FE8" w:rsidP="00E674CF">
      <w:pPr>
        <w:jc w:val="both"/>
      </w:pPr>
    </w:p>
    <w:sectPr w:rsidR="001A6FE8" w:rsidSect="003724E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625" w:rsidRDefault="00482625" w:rsidP="00E674CF">
      <w:r>
        <w:separator/>
      </w:r>
    </w:p>
  </w:endnote>
  <w:endnote w:type="continuationSeparator" w:id="1">
    <w:p w:rsidR="00482625" w:rsidRDefault="00482625" w:rsidP="00E674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00000A87" w:usb1="00000000" w:usb2="00000000" w:usb3="00000000" w:csb0="000000BF"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Rod Transparent">
    <w:panose1 w:val="00000009000000000000"/>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625" w:rsidRDefault="00482625">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625" w:rsidRDefault="00482625">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625" w:rsidRDefault="0048262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625" w:rsidRDefault="00482625" w:rsidP="00E674CF">
      <w:r>
        <w:separator/>
      </w:r>
    </w:p>
  </w:footnote>
  <w:footnote w:type="continuationSeparator" w:id="1">
    <w:p w:rsidR="00482625" w:rsidRDefault="00482625" w:rsidP="00E67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625" w:rsidRDefault="0048262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625" w:rsidRPr="00482625" w:rsidRDefault="00702C52" w:rsidP="00E674CF">
    <w:pPr>
      <w:pStyle w:val="a3"/>
      <w:jc w:val="right"/>
      <w:rPr>
        <w:rFonts w:cs="David"/>
        <w:sz w:val="18"/>
        <w:szCs w:val="18"/>
        <w:rtl/>
      </w:rPr>
    </w:pPr>
    <w:r w:rsidRPr="00935D27">
      <w:rPr>
        <w:rFonts w:cs="David"/>
        <w:sz w:val="14"/>
        <w:szCs w:val="14"/>
        <w:rtl/>
      </w:rPr>
      <w:fldChar w:fldCharType="begin"/>
    </w:r>
    <w:r w:rsidR="00482625" w:rsidRPr="00935D27">
      <w:rPr>
        <w:rFonts w:cs="David"/>
        <w:sz w:val="14"/>
        <w:szCs w:val="14"/>
        <w:rtl/>
      </w:rPr>
      <w:instrText xml:space="preserve"> </w:instrText>
    </w:r>
    <w:r w:rsidR="00482625" w:rsidRPr="00935D27">
      <w:rPr>
        <w:rFonts w:cs="David" w:hint="cs"/>
        <w:sz w:val="14"/>
        <w:szCs w:val="14"/>
      </w:rPr>
      <w:instrText>TIME  \@ "HH:mm"  \* MERGEFORMAT</w:instrText>
    </w:r>
    <w:r w:rsidR="00482625" w:rsidRPr="00935D27">
      <w:rPr>
        <w:rFonts w:cs="David"/>
        <w:sz w:val="14"/>
        <w:szCs w:val="14"/>
        <w:rtl/>
      </w:rPr>
      <w:instrText xml:space="preserve"> </w:instrText>
    </w:r>
    <w:r w:rsidRPr="00935D27">
      <w:rPr>
        <w:rFonts w:cs="David"/>
        <w:sz w:val="14"/>
        <w:szCs w:val="14"/>
        <w:rtl/>
      </w:rPr>
      <w:fldChar w:fldCharType="separate"/>
    </w:r>
    <w:r w:rsidR="004D22A8">
      <w:rPr>
        <w:rFonts w:cs="David" w:hint="cs"/>
        <w:noProof/>
        <w:sz w:val="14"/>
        <w:szCs w:val="14"/>
        <w:rtl/>
      </w:rPr>
      <w:t>‏</w:t>
    </w:r>
    <w:r w:rsidR="004D22A8">
      <w:rPr>
        <w:rFonts w:cs="David"/>
        <w:noProof/>
        <w:sz w:val="14"/>
        <w:szCs w:val="14"/>
        <w:rtl/>
      </w:rPr>
      <w:t>18:09</w:t>
    </w:r>
    <w:r w:rsidRPr="00935D27">
      <w:rPr>
        <w:rFonts w:cs="David"/>
        <w:sz w:val="14"/>
        <w:szCs w:val="14"/>
        <w:rtl/>
      </w:rPr>
      <w:fldChar w:fldCharType="end"/>
    </w:r>
    <w:r w:rsidR="00482625" w:rsidRPr="00935D27">
      <w:rPr>
        <w:rFonts w:cs="David" w:hint="cs"/>
        <w:sz w:val="14"/>
        <w:szCs w:val="14"/>
        <w:rtl/>
      </w:rPr>
      <w:t xml:space="preserve">  </w:t>
    </w:r>
    <w:r w:rsidRPr="00935D27">
      <w:rPr>
        <w:rFonts w:cs="David"/>
        <w:sz w:val="14"/>
        <w:szCs w:val="14"/>
        <w:rtl/>
      </w:rPr>
      <w:fldChar w:fldCharType="begin"/>
    </w:r>
    <w:r w:rsidR="00482625" w:rsidRPr="00935D27">
      <w:rPr>
        <w:rFonts w:cs="David"/>
        <w:sz w:val="14"/>
        <w:szCs w:val="14"/>
        <w:rtl/>
      </w:rPr>
      <w:instrText xml:space="preserve"> </w:instrText>
    </w:r>
    <w:r w:rsidR="00482625" w:rsidRPr="00935D27">
      <w:rPr>
        <w:rFonts w:cs="David" w:hint="cs"/>
        <w:sz w:val="14"/>
        <w:szCs w:val="14"/>
      </w:rPr>
      <w:instrText>DATE  \@ "yyyy-MM-dd"  \* MERGEFORMAT</w:instrText>
    </w:r>
    <w:r w:rsidR="00482625" w:rsidRPr="00935D27">
      <w:rPr>
        <w:rFonts w:cs="David"/>
        <w:sz w:val="14"/>
        <w:szCs w:val="14"/>
        <w:rtl/>
      </w:rPr>
      <w:instrText xml:space="preserve"> </w:instrText>
    </w:r>
    <w:r w:rsidRPr="00935D27">
      <w:rPr>
        <w:rFonts w:cs="David"/>
        <w:sz w:val="14"/>
        <w:szCs w:val="14"/>
        <w:rtl/>
      </w:rPr>
      <w:fldChar w:fldCharType="separate"/>
    </w:r>
    <w:r w:rsidR="004D22A8">
      <w:rPr>
        <w:rFonts w:cs="David" w:hint="cs"/>
        <w:noProof/>
        <w:sz w:val="14"/>
        <w:szCs w:val="14"/>
        <w:rtl/>
      </w:rPr>
      <w:t>‏</w:t>
    </w:r>
    <w:r w:rsidR="004D22A8">
      <w:rPr>
        <w:rFonts w:cs="David"/>
        <w:noProof/>
        <w:sz w:val="14"/>
        <w:szCs w:val="14"/>
        <w:rtl/>
      </w:rPr>
      <w:t>2010–12–09</w:t>
    </w:r>
    <w:r w:rsidRPr="00935D27">
      <w:rPr>
        <w:rFonts w:cs="David"/>
        <w:sz w:val="14"/>
        <w:szCs w:val="14"/>
        <w:rtl/>
      </w:rPr>
      <w:fldChar w:fldCharType="end"/>
    </w:r>
    <w:r w:rsidR="00482625" w:rsidRPr="00935D27">
      <w:rPr>
        <w:rFonts w:hint="cs"/>
        <w:sz w:val="14"/>
        <w:szCs w:val="14"/>
        <w:rtl/>
      </w:rPr>
      <w:t xml:space="preserve">   </w:t>
    </w:r>
    <w:fldSimple w:instr=" FILENAME  \* FirstCap \p  \* MERGEFORMAT ">
      <w:r w:rsidR="00482625">
        <w:rPr>
          <w:noProof/>
          <w:sz w:val="18"/>
          <w:szCs w:val="18"/>
        </w:rPr>
        <w:t>L:\</w:t>
      </w:r>
      <w:r w:rsidR="00482625">
        <w:rPr>
          <w:rFonts w:hint="cs"/>
          <w:noProof/>
          <w:sz w:val="18"/>
          <w:szCs w:val="18"/>
          <w:rtl/>
        </w:rPr>
        <w:t>הספר</w:t>
      </w:r>
      <w:r w:rsidR="00482625">
        <w:rPr>
          <w:noProof/>
          <w:sz w:val="18"/>
          <w:szCs w:val="18"/>
          <w:rtl/>
        </w:rPr>
        <w:t xml:space="preserve"> - </w:t>
      </w:r>
      <w:r w:rsidR="00482625">
        <w:rPr>
          <w:rFonts w:hint="cs"/>
          <w:noProof/>
          <w:sz w:val="18"/>
          <w:szCs w:val="18"/>
          <w:rtl/>
        </w:rPr>
        <w:t>מעקבים</w:t>
      </w:r>
      <w:r w:rsidR="00482625">
        <w:rPr>
          <w:noProof/>
          <w:sz w:val="18"/>
          <w:szCs w:val="18"/>
          <w:rtl/>
        </w:rPr>
        <w:t xml:space="preserve"> 60</w:t>
      </w:r>
      <w:r w:rsidR="00482625">
        <w:rPr>
          <w:rFonts w:hint="cs"/>
          <w:noProof/>
          <w:sz w:val="18"/>
          <w:szCs w:val="18"/>
          <w:rtl/>
        </w:rPr>
        <w:t>ב</w:t>
      </w:r>
      <w:r w:rsidR="00482625">
        <w:rPr>
          <w:noProof/>
          <w:sz w:val="18"/>
          <w:szCs w:val="18"/>
          <w:rtl/>
        </w:rPr>
        <w:t>\</w:t>
      </w:r>
      <w:r w:rsidR="00482625">
        <w:rPr>
          <w:rFonts w:hint="cs"/>
          <w:noProof/>
          <w:sz w:val="18"/>
          <w:szCs w:val="18"/>
          <w:rtl/>
        </w:rPr>
        <w:t>ורד</w:t>
      </w:r>
      <w:r w:rsidR="00482625">
        <w:rPr>
          <w:noProof/>
          <w:sz w:val="18"/>
          <w:szCs w:val="18"/>
          <w:rtl/>
        </w:rPr>
        <w:t>\</w:t>
      </w:r>
      <w:r w:rsidR="00482625">
        <w:rPr>
          <w:rFonts w:hint="cs"/>
          <w:noProof/>
          <w:sz w:val="18"/>
          <w:szCs w:val="18"/>
          <w:rtl/>
        </w:rPr>
        <w:t>ועדות</w:t>
      </w:r>
      <w:r w:rsidR="00482625">
        <w:rPr>
          <w:noProof/>
          <w:sz w:val="18"/>
          <w:szCs w:val="18"/>
          <w:rtl/>
        </w:rPr>
        <w:t xml:space="preserve"> </w:t>
      </w:r>
      <w:r w:rsidR="00482625">
        <w:rPr>
          <w:rFonts w:hint="cs"/>
          <w:noProof/>
          <w:sz w:val="18"/>
          <w:szCs w:val="18"/>
          <w:rtl/>
        </w:rPr>
        <w:t>שרים</w:t>
      </w:r>
      <w:r w:rsidR="00482625">
        <w:rPr>
          <w:noProof/>
          <w:sz w:val="18"/>
          <w:szCs w:val="18"/>
          <w:rtl/>
        </w:rPr>
        <w:t>\</w:t>
      </w:r>
      <w:r w:rsidR="00482625">
        <w:rPr>
          <w:rFonts w:hint="cs"/>
          <w:noProof/>
          <w:sz w:val="18"/>
          <w:szCs w:val="18"/>
          <w:rtl/>
        </w:rPr>
        <w:t>פיקוח</w:t>
      </w:r>
      <w:r w:rsidR="00482625">
        <w:rPr>
          <w:noProof/>
          <w:sz w:val="18"/>
          <w:szCs w:val="18"/>
          <w:rtl/>
        </w:rPr>
        <w:t xml:space="preserve"> </w:t>
      </w:r>
      <w:r w:rsidR="00482625">
        <w:rPr>
          <w:rFonts w:hint="cs"/>
          <w:noProof/>
          <w:sz w:val="18"/>
          <w:szCs w:val="18"/>
          <w:rtl/>
        </w:rPr>
        <w:t>על</w:t>
      </w:r>
      <w:r w:rsidR="00482625">
        <w:rPr>
          <w:noProof/>
          <w:sz w:val="18"/>
          <w:szCs w:val="18"/>
          <w:rtl/>
        </w:rPr>
        <w:t xml:space="preserve"> </w:t>
      </w:r>
      <w:r w:rsidR="00482625">
        <w:rPr>
          <w:rFonts w:hint="cs"/>
          <w:noProof/>
          <w:sz w:val="18"/>
          <w:szCs w:val="18"/>
          <w:rtl/>
        </w:rPr>
        <w:t>השימוש</w:t>
      </w:r>
      <w:r w:rsidR="00482625">
        <w:rPr>
          <w:noProof/>
          <w:sz w:val="18"/>
          <w:szCs w:val="18"/>
          <w:rtl/>
        </w:rPr>
        <w:t xml:space="preserve"> </w:t>
      </w:r>
      <w:r w:rsidR="00482625">
        <w:rPr>
          <w:rFonts w:hint="cs"/>
          <w:noProof/>
          <w:sz w:val="18"/>
          <w:szCs w:val="18"/>
          <w:rtl/>
        </w:rPr>
        <w:t>בתכשירים</w:t>
      </w:r>
      <w:r w:rsidR="00482625">
        <w:rPr>
          <w:noProof/>
          <w:sz w:val="18"/>
          <w:szCs w:val="18"/>
          <w:rtl/>
        </w:rPr>
        <w:t xml:space="preserve"> </w:t>
      </w:r>
      <w:r w:rsidR="00482625">
        <w:rPr>
          <w:rFonts w:hint="cs"/>
          <w:noProof/>
          <w:sz w:val="18"/>
          <w:szCs w:val="18"/>
          <w:rtl/>
        </w:rPr>
        <w:t>וטרינריים</w:t>
      </w:r>
      <w:r w:rsidR="00482625">
        <w:rPr>
          <w:noProof/>
          <w:sz w:val="18"/>
          <w:szCs w:val="18"/>
          <w:rtl/>
        </w:rPr>
        <w:t xml:space="preserve">  </w:t>
      </w:r>
      <w:r w:rsidR="00482625">
        <w:rPr>
          <w:rFonts w:hint="cs"/>
          <w:noProof/>
          <w:sz w:val="18"/>
          <w:szCs w:val="18"/>
          <w:rtl/>
        </w:rPr>
        <w:t>בק</w:t>
      </w:r>
      <w:r w:rsidR="00482625">
        <w:rPr>
          <w:noProof/>
          <w:sz w:val="18"/>
          <w:szCs w:val="18"/>
          <w:rtl/>
        </w:rPr>
        <w:t>67</w:t>
      </w:r>
      <w:r w:rsidR="00482625">
        <w:rPr>
          <w:noProof/>
          <w:sz w:val="18"/>
          <w:szCs w:val="18"/>
        </w:rPr>
        <w:t>.docx</w:t>
      </w:r>
    </w:fldSimple>
    <w:r w:rsidR="00482625" w:rsidRPr="00482625">
      <w:rPr>
        <w:rFonts w:hint="cs"/>
        <w:sz w:val="18"/>
        <w:szCs w:val="18"/>
        <w:rtl/>
      </w:rPr>
      <w:t xml:space="preserve">    </w:t>
    </w:r>
    <w:r w:rsidR="00482625" w:rsidRPr="00482625">
      <w:rPr>
        <w:rFonts w:cs="David" w:hint="cs"/>
        <w:sz w:val="18"/>
        <w:szCs w:val="18"/>
        <w:rtl/>
      </w:rPr>
      <w:t>-</w:t>
    </w:r>
    <w:r w:rsidRPr="00482625">
      <w:rPr>
        <w:rFonts w:cs="David"/>
        <w:sz w:val="18"/>
        <w:szCs w:val="18"/>
        <w:rtl/>
      </w:rPr>
      <w:fldChar w:fldCharType="begin"/>
    </w:r>
    <w:r w:rsidR="00482625" w:rsidRPr="00482625">
      <w:rPr>
        <w:rFonts w:cs="David"/>
        <w:sz w:val="18"/>
        <w:szCs w:val="18"/>
        <w:rtl/>
      </w:rPr>
      <w:instrText xml:space="preserve"> </w:instrText>
    </w:r>
    <w:r w:rsidR="00482625" w:rsidRPr="00482625">
      <w:rPr>
        <w:rFonts w:cs="David"/>
        <w:sz w:val="18"/>
        <w:szCs w:val="18"/>
      </w:rPr>
      <w:instrText>PAGE   \* MERGEFORMAT</w:instrText>
    </w:r>
    <w:r w:rsidR="00482625" w:rsidRPr="00482625">
      <w:rPr>
        <w:rFonts w:cs="David"/>
        <w:sz w:val="18"/>
        <w:szCs w:val="18"/>
        <w:rtl/>
      </w:rPr>
      <w:instrText xml:space="preserve"> </w:instrText>
    </w:r>
    <w:r w:rsidRPr="00482625">
      <w:rPr>
        <w:rFonts w:cs="David"/>
        <w:sz w:val="18"/>
        <w:szCs w:val="18"/>
        <w:rtl/>
      </w:rPr>
      <w:fldChar w:fldCharType="separate"/>
    </w:r>
    <w:r w:rsidR="004D22A8">
      <w:rPr>
        <w:rFonts w:cs="David"/>
        <w:noProof/>
        <w:sz w:val="18"/>
        <w:szCs w:val="18"/>
        <w:rtl/>
      </w:rPr>
      <w:t>1</w:t>
    </w:r>
    <w:r w:rsidRPr="00482625">
      <w:rPr>
        <w:rFonts w:cs="David"/>
        <w:sz w:val="18"/>
        <w:szCs w:val="18"/>
        <w:rtl/>
      </w:rPr>
      <w:fldChar w:fldCharType="end"/>
    </w:r>
    <w:r w:rsidR="00482625" w:rsidRPr="00482625">
      <w:rPr>
        <w:rFonts w:cs="David" w:hint="cs"/>
        <w:sz w:val="18"/>
        <w:szCs w:val="18"/>
        <w:rtl/>
      </w:rPr>
      <w:t>-</w:t>
    </w:r>
  </w:p>
  <w:p w:rsidR="00482625" w:rsidRDefault="00482625" w:rsidP="00E674CF">
    <w:pPr>
      <w:pStyle w:val="a3"/>
      <w:jc w:val="both"/>
      <w:rPr>
        <w:rFonts w:cs="David"/>
        <w:sz w:val="18"/>
        <w:szCs w:val="18"/>
        <w:u w:val="single"/>
        <w:rtl/>
      </w:rPr>
    </w:pPr>
  </w:p>
  <w:p w:rsidR="00482625" w:rsidRDefault="00482625" w:rsidP="00E674CF">
    <w:pPr>
      <w:pStyle w:val="a3"/>
      <w:jc w:val="both"/>
      <w:rPr>
        <w:rFonts w:cs="David"/>
        <w:sz w:val="18"/>
        <w:szCs w:val="18"/>
        <w:u w:val="single"/>
        <w:rtl/>
      </w:rPr>
    </w:pPr>
  </w:p>
  <w:p w:rsidR="00482625" w:rsidRPr="00CA4F95" w:rsidRDefault="00482625" w:rsidP="00E674CF">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482625" w:rsidRDefault="00482625">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625" w:rsidRDefault="0048262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A075F"/>
    <w:rsid w:val="001A6FE8"/>
    <w:rsid w:val="001C0D15"/>
    <w:rsid w:val="0029702B"/>
    <w:rsid w:val="003724E5"/>
    <w:rsid w:val="00397E65"/>
    <w:rsid w:val="004269D5"/>
    <w:rsid w:val="00482625"/>
    <w:rsid w:val="004D22A8"/>
    <w:rsid w:val="00526861"/>
    <w:rsid w:val="00586562"/>
    <w:rsid w:val="00702C52"/>
    <w:rsid w:val="00735B5D"/>
    <w:rsid w:val="00782F64"/>
    <w:rsid w:val="00785288"/>
    <w:rsid w:val="007F12A1"/>
    <w:rsid w:val="008A075F"/>
    <w:rsid w:val="009324CC"/>
    <w:rsid w:val="009E6516"/>
    <w:rsid w:val="00A05B42"/>
    <w:rsid w:val="00A50C21"/>
    <w:rsid w:val="00B645CC"/>
    <w:rsid w:val="00CA396B"/>
    <w:rsid w:val="00D4077B"/>
    <w:rsid w:val="00E403A3"/>
    <w:rsid w:val="00E654A7"/>
    <w:rsid w:val="00E674CF"/>
    <w:rsid w:val="00FD5145"/>
    <w:rsid w:val="00FE047E"/>
    <w:rsid w:val="00FF30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75F"/>
    <w:pPr>
      <w:autoSpaceDE w:val="0"/>
      <w:autoSpaceDN w:val="0"/>
      <w:adjustRightInd w:val="0"/>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C0D15"/>
    <w:pPr>
      <w:tabs>
        <w:tab w:val="center" w:pos="4153"/>
        <w:tab w:val="right" w:pos="8306"/>
      </w:tabs>
      <w:autoSpaceDE/>
      <w:autoSpaceDN/>
      <w:bidi/>
      <w:adjustRightInd/>
    </w:pPr>
    <w:rPr>
      <w:rFonts w:asciiTheme="minorHAnsi" w:eastAsiaTheme="minorHAnsi" w:hAnsiTheme="minorHAnsi" w:cstheme="minorBidi"/>
      <w:sz w:val="22"/>
      <w:szCs w:val="22"/>
    </w:rPr>
  </w:style>
  <w:style w:type="character" w:customStyle="1" w:styleId="a4">
    <w:name w:val="כותרת עליונה תו"/>
    <w:basedOn w:val="a0"/>
    <w:link w:val="a3"/>
    <w:rsid w:val="001C0D15"/>
  </w:style>
  <w:style w:type="paragraph" w:styleId="a5">
    <w:name w:val="Balloon Text"/>
    <w:basedOn w:val="a"/>
    <w:link w:val="a6"/>
    <w:uiPriority w:val="99"/>
    <w:semiHidden/>
    <w:unhideWhenUsed/>
    <w:rsid w:val="001C0D15"/>
    <w:rPr>
      <w:rFonts w:ascii="Tahoma" w:hAnsi="Tahoma" w:cs="Tahoma"/>
      <w:sz w:val="16"/>
      <w:szCs w:val="16"/>
    </w:rPr>
  </w:style>
  <w:style w:type="character" w:customStyle="1" w:styleId="a6">
    <w:name w:val="טקסט בלונים תו"/>
    <w:basedOn w:val="a0"/>
    <w:link w:val="a5"/>
    <w:uiPriority w:val="99"/>
    <w:semiHidden/>
    <w:rsid w:val="001C0D15"/>
    <w:rPr>
      <w:rFonts w:ascii="Tahoma" w:eastAsia="Times New Roman" w:hAnsi="Tahoma" w:cs="Tahoma"/>
      <w:sz w:val="16"/>
      <w:szCs w:val="16"/>
    </w:rPr>
  </w:style>
  <w:style w:type="paragraph" w:styleId="a7">
    <w:name w:val="footer"/>
    <w:basedOn w:val="a"/>
    <w:link w:val="a8"/>
    <w:uiPriority w:val="99"/>
    <w:semiHidden/>
    <w:unhideWhenUsed/>
    <w:rsid w:val="00E674CF"/>
    <w:pPr>
      <w:tabs>
        <w:tab w:val="center" w:pos="4153"/>
        <w:tab w:val="right" w:pos="8306"/>
      </w:tabs>
    </w:pPr>
  </w:style>
  <w:style w:type="character" w:customStyle="1" w:styleId="a8">
    <w:name w:val="כותרת תחתונה תו"/>
    <w:basedOn w:val="a0"/>
    <w:link w:val="a7"/>
    <w:uiPriority w:val="99"/>
    <w:semiHidden/>
    <w:rsid w:val="00E674CF"/>
    <w:rPr>
      <w:rFonts w:ascii="Times New Roman" w:eastAsia="Times New Roman" w:hAnsi="Times New Roman" w:cs="Miriam"/>
      <w:sz w:val="20"/>
      <w:szCs w:val="20"/>
    </w:rPr>
  </w:style>
  <w:style w:type="character" w:styleId="a9">
    <w:name w:val="Placeholder Text"/>
    <w:basedOn w:val="a0"/>
    <w:uiPriority w:val="99"/>
    <w:semiHidden/>
    <w:rsid w:val="00E674CF"/>
    <w:rPr>
      <w:color w:val="808080"/>
    </w:rPr>
  </w:style>
  <w:style w:type="paragraph" w:customStyle="1" w:styleId="-">
    <w:name w:val="כותרת מאמר-נטוי"/>
    <w:basedOn w:val="a"/>
    <w:uiPriority w:val="99"/>
    <w:rsid w:val="004D22A8"/>
    <w:pPr>
      <w:suppressAutoHyphens/>
      <w:bidi/>
      <w:spacing w:after="170" w:line="340" w:lineRule="atLeast"/>
      <w:jc w:val="center"/>
      <w:textAlignment w:val="center"/>
    </w:pPr>
    <w:rPr>
      <w:rFonts w:ascii="David" w:eastAsiaTheme="minorHAnsi" w:hAnsiTheme="minorHAnsi" w:cs="David"/>
      <w:b/>
      <w:bCs/>
      <w:color w:val="000000"/>
      <w:sz w:val="36"/>
      <w:szCs w:val="36"/>
    </w:rPr>
  </w:style>
  <w:style w:type="paragraph" w:customStyle="1" w:styleId="aa">
    <w:name w:val="החלטה מס'"/>
    <w:basedOn w:val="a"/>
    <w:uiPriority w:val="99"/>
    <w:rsid w:val="004D22A8"/>
    <w:pPr>
      <w:bidi/>
      <w:spacing w:after="283" w:line="288" w:lineRule="auto"/>
      <w:textAlignment w:val="center"/>
    </w:pPr>
    <w:rPr>
      <w:rFonts w:ascii="David" w:eastAsiaTheme="minorHAnsi" w:hAnsiTheme="minorHAnsi" w:cs="David"/>
      <w:b/>
      <w:bCs/>
      <w:color w:val="000000"/>
      <w:sz w:val="32"/>
      <w:szCs w:val="32"/>
    </w:rPr>
  </w:style>
  <w:style w:type="paragraph" w:customStyle="1" w:styleId="ab">
    <w:name w:val="מחליטים"/>
    <w:basedOn w:val="a"/>
    <w:uiPriority w:val="99"/>
    <w:rsid w:val="004D22A8"/>
    <w:pPr>
      <w:bidi/>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c">
    <w:name w:val="טקסט רץ"/>
    <w:basedOn w:val="a"/>
    <w:next w:val="a"/>
    <w:uiPriority w:val="99"/>
    <w:rsid w:val="004D22A8"/>
    <w:pPr>
      <w:suppressAutoHyphens/>
      <w:bidi/>
      <w:spacing w:after="170" w:line="260" w:lineRule="atLeast"/>
      <w:jc w:val="both"/>
      <w:textAlignment w:val="center"/>
    </w:pPr>
    <w:rPr>
      <w:rFonts w:ascii="David" w:eastAsiaTheme="minorHAnsi" w:hAnsiTheme="minorHAnsi" w:cs="David"/>
      <w:color w:val="000000"/>
      <w:sz w:val="24"/>
      <w:szCs w:val="24"/>
    </w:rPr>
  </w:style>
  <w:style w:type="paragraph" w:customStyle="1" w:styleId="ad">
    <w:name w:val="המשרד לבטחון פנים"/>
    <w:basedOn w:val="a"/>
    <w:next w:val="a"/>
    <w:uiPriority w:val="99"/>
    <w:rsid w:val="004D22A8"/>
    <w:pPr>
      <w:suppressAutoHyphens/>
      <w:bidi/>
      <w:spacing w:after="113" w:line="288" w:lineRule="auto"/>
      <w:jc w:val="both"/>
      <w:textAlignment w:val="center"/>
    </w:pPr>
    <w:rPr>
      <w:rFonts w:ascii="David" w:eastAsiaTheme="minorHAnsi" w:hAnsiTheme="minorHAnsi" w:cs="David"/>
      <w:b/>
      <w:bC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1516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2010-10-14T11:31:00Z</cp:lastPrinted>
  <dcterms:created xsi:type="dcterms:W3CDTF">2010-12-09T16:10:00Z</dcterms:created>
  <dcterms:modified xsi:type="dcterms:W3CDTF">2010-12-09T16:10:00Z</dcterms:modified>
</cp:coreProperties>
</file>