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36"/>
          <w:szCs w:val="36"/>
        </w:rPr>
        <w:t xml:space="preserve">Quantifying Temperature-Driven Electricity Demand and Its Potential Carbon Impact Using Machine Learning</w:t>
      </w:r>
    </w:p>
    <w:p>
      <w:pPr>
        <w:spacing w:after="600"/>
        <w:jc w:val="center"/>
      </w:pPr>
      <w:r>
        <w:rPr>
          <w:i/>
          <w:iCs/>
          <w:sz w:val="26"/>
          <w:szCs w:val="26"/>
        </w:rPr>
        <w:t xml:space="preserve">A Counterfactual Analysis of the Spanish Power System, 2015–2018</w:t>
      </w:r>
    </w:p>
    <w:p>
      <w:pPr>
        <w:spacing w:after="120"/>
        <w:jc w:val="center"/>
      </w:pPr>
      <w:r>
        <w:rPr>
          <w:color w:val="888888"/>
          <w:sz w:val="24"/>
          <w:szCs w:val="24"/>
        </w:rPr>
        <w:t xml:space="preserve">[Group #  —  Member names and IDs]</w:t>
      </w:r>
    </w:p>
    <w:p>
      <w:pPr>
        <w:spacing w:after="120"/>
        <w:jc w:val="center"/>
      </w:pPr>
      <w:r>
        <w:rPr>
          <w:color w:val="888888"/>
          <w:sz w:val="22"/>
          <w:szCs w:val="22"/>
        </w:rPr>
        <w:t xml:space="preserve">[Department of Computer Science and Engineering]</w:t>
      </w:r>
    </w:p>
    <w:p>
      <w:pPr>
        <w:spacing w:after="900"/>
        <w:jc w:val="center"/>
      </w:pPr>
      <w:r>
        <w:rPr>
          <w:color w:val="888888"/>
          <w:sz w:val="22"/>
          <w:szCs w:val="22"/>
        </w:rPr>
        <w:t xml:space="preserve">[Course code and title]  —  [Date]</w:t>
      </w:r>
    </w:p>
    <w:p>
      <w:pPr>
        <w:pStyle w:val="Heading1"/>
        <w:spacing w:after="160" w:before="320"/>
      </w:pPr>
      <w:r>
        <w:rPr>
          <w:b/>
          <w:bCs/>
          <w:sz w:val="30"/>
          <w:szCs w:val="30"/>
        </w:rPr>
        <w:t xml:space="preserve">Abstract</w:t>
      </w:r>
    </w:p>
    <w:p>
      <w:pPr>
        <w:spacing w:after="140" w:line="300"/>
        <w:jc w:val="both"/>
      </w:pPr>
      <w:r>
        <w:rPr>
          <w:sz w:val="22"/>
          <w:szCs w:val="22"/>
        </w:rPr>
        <w:t xml:space="preserve">Rising ambient temperatures are widely expected to alter electricity demand, but the direction and magnitude of that change are not obvious: warming simultaneously reduces heating load and increases cooling load, and the net effect depends on which dominates. This study quantifies the temperature sensitivity of Spanish electricity demand using four years of hourly data (2015–2018), combining ENTSO-E load and generation records with weather observations from five major cities aggregated by population weight.</w:t>
      </w:r>
    </w:p>
    <w:p>
      <w:pPr>
        <w:spacing w:after="140" w:line="300"/>
        <w:jc w:val="both"/>
      </w:pPr>
      <w:r>
        <w:rPr>
          <w:sz w:val="22"/>
          <w:szCs w:val="22"/>
        </w:rPr>
        <w:t xml:space="preserve">We first demonstrate a methodological problem that affects much of the applied machine learning literature on electricity demand. A model including lagged demand as a predictor achieves excellent forecast accuracy (R² = 0.984) but is invalid for counterfactual analysis, because lagged demand already embodies the temperature effect being estimated. Applied naively, such a model returns non-monotonic and physically meaningless scenario results. We therefore estimate a separate response model using weather and calendar features only, and compare four functional specifications.</w:t>
      </w:r>
    </w:p>
    <w:p>
      <w:pPr>
        <w:spacing w:after="140" w:line="300"/>
        <w:jc w:val="both"/>
      </w:pPr>
      <w:r>
        <w:rPr>
          <w:sz w:val="22"/>
          <w:szCs w:val="22"/>
        </w:rPr>
        <w:t xml:space="preserve">The selected specification reveals that heating sensitivity depends strongly on time of day, rising from 3.2 MW/°C overnight to 326.0 MW/°C in the afternoon, consistent with occupancy-driven heating behaviour. Under counterfactual warming of +3 °C, summer demand rises by 512 MW (+1.77%, 95% CI: 347–664) and winter demand falls by 404 MW (−1.38%, 95% CI: 237–588), while spring and autumn changes are statistically indistinguishable from zero. The annual mean change is not detectable (+32 MW, 95% CI: −116 to +175). Warming therefore redistributes demand across seasons rather than increasing it in aggregate, relocating approximately 1,111 MW — 3.9% of mean demand — with no detectable change in annual consumption. Using a marginal emission factor of 0.206 kg CO₂/kWh estimated from the generation data by two independent methods, the corresponding emissions effect is likewise a seasonal redistribution with a net annual change indistinguishable from zero.</w:t>
      </w:r>
    </w:p>
    <w:p>
      <w:pPr>
        <w:spacing w:after="140" w:line="300"/>
        <w:jc w:val="both"/>
      </w:pPr>
      <w:r>
        <w:rPr>
          <w:b/>
          <w:bCs/>
          <w:sz w:val="22"/>
          <w:szCs w:val="22"/>
        </w:rPr>
        <w:t xml:space="preserve">Keywords: </w:t>
      </w:r>
      <w:r>
        <w:rPr>
          <w:sz w:val="22"/>
          <w:szCs w:val="22"/>
        </w:rPr>
        <w:t xml:space="preserve">electricity demand; temperature sensitivity; counterfactual analysis; heating and cooling degree hours; marginal emission factor; random forest; regression</w:t>
      </w:r>
    </w:p>
    <w:p>
      <w:r>
        <w:br w:type="page"/>
      </w:r>
    </w:p>
    <w:p>
      <w:pPr>
        <w:pStyle w:val="Heading1"/>
        <w:spacing w:after="160" w:before="320"/>
      </w:pPr>
      <w:r>
        <w:rPr>
          <w:b/>
          <w:bCs/>
          <w:sz w:val="30"/>
          <w:szCs w:val="30"/>
        </w:rPr>
        <w:t xml:space="preserve">1. Introduction</w:t>
      </w:r>
    </w:p>
    <w:p>
      <w:pPr>
        <w:pStyle w:val="Heading2"/>
        <w:spacing w:after="120" w:before="240"/>
      </w:pPr>
      <w:r>
        <w:rPr>
          <w:b/>
          <w:bCs/>
          <w:sz w:val="25"/>
          <w:szCs w:val="25"/>
        </w:rPr>
        <w:t xml:space="preserve">1.1 Problem statement</w:t>
      </w:r>
    </w:p>
    <w:p>
      <w:pPr>
        <w:spacing w:after="140" w:line="300"/>
        <w:jc w:val="both"/>
      </w:pPr>
      <w:r>
        <w:rPr>
          <w:sz w:val="22"/>
          <w:szCs w:val="22"/>
        </w:rPr>
        <w:t xml:space="preserve">Electricity systems must be planned around demand that varies with weather, and temperature is the single most important weather driver. The relationship is not monotonic. Below a balance-point temperature, colder weather increases demand because buildings require heating; above that point, hotter weather increases demand because buildings require cooling. The result is a U-shaped or hockey-stick-shaped response curve whose exact shape, turning point and asymmetry differ by country, by building stock, and by appliance ownership.</w:t>
      </w:r>
    </w:p>
    <w:p>
      <w:pPr>
        <w:spacing w:after="140" w:line="300"/>
        <w:jc w:val="both"/>
      </w:pPr>
      <w:r>
        <w:rPr>
          <w:sz w:val="22"/>
          <w:szCs w:val="22"/>
        </w:rPr>
        <w:t xml:space="preserve">This creates a specific and consequential ambiguity when temperatures rise. Warming reduces heating load and increases cooling load at the same time. Whether total demand rises, falls, or stays flat depends on the relative magnitude of the two effects and on how they are distributed across the year and across the hours of the day. That question cannot be settled by intuition, and it cannot be settled by a single average number.</w:t>
      </w:r>
    </w:p>
    <w:p>
      <w:pPr>
        <w:spacing w:after="140" w:line="300"/>
        <w:jc w:val="both"/>
      </w:pPr>
      <w:r>
        <w:rPr>
          <w:sz w:val="22"/>
          <w:szCs w:val="22"/>
        </w:rPr>
        <w:t xml:space="preserve">The specific problem addressed in this report is the quantification of that relationship for Spain, and the use of the estimated relationship to answer a counterfactual question: how much would electricity demand, and the carbon emissions associated with meeting it, have differed if the observed period had been uniformly warmer by 1 °C, 2 °C or 3 °C?</w:t>
      </w:r>
    </w:p>
    <w:p>
      <w:pPr>
        <w:spacing w:after="140" w:line="300"/>
        <w:jc w:val="both"/>
      </w:pPr>
      <w:r>
        <w:rPr>
          <w:sz w:val="22"/>
          <w:szCs w:val="22"/>
        </w:rPr>
        <w:t xml:space="preserve">This is one component of the larger problem of climate adaptation in energy systems. We do not attempt to forecast future demand, model behavioural adaptation, or simulate the evolution of the generation mix. The domain of the present work is narrower and precisely bounded: the estimation, from historical data, of the temperature–demand response function for one national system, and the propagation of a temperature perturbation through that estimated function.</w:t>
      </w:r>
    </w:p>
    <w:p>
      <w:pPr>
        <w:pStyle w:val="Heading2"/>
        <w:spacing w:after="120" w:before="240"/>
      </w:pPr>
      <w:r>
        <w:rPr>
          <w:b/>
          <w:bCs/>
          <w:sz w:val="25"/>
          <w:szCs w:val="25"/>
        </w:rPr>
        <w:t xml:space="preserve">1.2 Importance of the problem</w:t>
      </w:r>
    </w:p>
    <w:p>
      <w:pPr>
        <w:spacing w:after="140" w:line="300"/>
        <w:jc w:val="both"/>
      </w:pPr>
      <w:r>
        <w:rPr>
          <w:sz w:val="22"/>
          <w:szCs w:val="22"/>
        </w:rPr>
        <w:t xml:space="preserve">Three considerations make this problem important. First, generation and network capacity are sized by peak demand rather than by annual energy consumption. A change that leaves annual consumption unaltered but shifts load from winter to summer can still require substantial new capacity, because summer peaks in Mediterranean systems coincide with high cooling load and reduced thermal plant efficiency. An analysis that reports only annual totals may therefore conclude that nothing important has happened when in fact the binding planning constraint has tightened.</w:t>
      </w:r>
    </w:p>
    <w:p>
      <w:pPr>
        <w:spacing w:after="140" w:line="300"/>
        <w:jc w:val="both"/>
      </w:pPr>
      <w:r>
        <w:rPr>
          <w:sz w:val="22"/>
          <w:szCs w:val="22"/>
        </w:rPr>
        <w:t xml:space="preserve">Second, Spain is a system where this tension is unusually sharp. It has a Mediterranean climate with hot summers and moderate winters, an air-conditioning stock that has grown substantially over recent decades, and significant electric heating in some regions. The heating-reduction and cooling-increase effects are therefore both material, and their net sign is genuinely uncertain a priori.</w:t>
      </w:r>
    </w:p>
    <w:p>
      <w:pPr>
        <w:spacing w:after="140" w:line="300"/>
        <w:jc w:val="both"/>
      </w:pPr>
      <w:r>
        <w:rPr>
          <w:sz w:val="22"/>
          <w:szCs w:val="22"/>
        </w:rPr>
        <w:t xml:space="preserve">Third, the emissions consequences of a demand change depend on which generators respond at the margin, not on the average carbon intensity of the system. Spain has a large dispatchable hydro fleet, which means the conventional assumption that incremental demand is met by fossil generation may not hold. Getting this wrong changes estimated emissions by a factor of more than two.</w:t>
      </w:r>
    </w:p>
    <w:p>
      <w:pPr>
        <w:pStyle w:val="Heading2"/>
        <w:spacing w:after="120" w:before="240"/>
      </w:pPr>
      <w:r>
        <w:rPr>
          <w:b/>
          <w:bCs/>
          <w:sz w:val="25"/>
          <w:szCs w:val="25"/>
        </w:rPr>
        <w:t xml:space="preserve">1.3 Proposed approach and its relation to existing techniques</w:t>
      </w:r>
    </w:p>
    <w:p>
      <w:pPr>
        <w:spacing w:after="140" w:line="300"/>
        <w:jc w:val="both"/>
      </w:pPr>
      <w:r>
        <w:rPr>
          <w:sz w:val="22"/>
          <w:szCs w:val="22"/>
        </w:rPr>
        <w:t xml:space="preserve">Our approach is a supervised regression model of hourly demand on weather and calendar variables, followed by counterfactual perturbation of the temperature input and comparison of the resulting predictions against a baseline. Uncertainty is quantified by a block bootstrap that resamples whole training days and refits the model, and a classification of each season and scenario as higher, lower or unchanged is derived from whether the resulting confidence interval excludes zero.</w:t>
      </w:r>
    </w:p>
    <w:p>
      <w:pPr>
        <w:spacing w:after="140" w:line="300"/>
        <w:jc w:val="both"/>
      </w:pPr>
      <w:r>
        <w:rPr>
          <w:sz w:val="22"/>
          <w:szCs w:val="22"/>
        </w:rPr>
        <w:t xml:space="preserve">The point of departure from much of the applied machine learning literature is the treatment of autoregressive features. Short-term load forecasting is a mature field in which the strongest predictor of demand at hour t is demand at hour t−1, and models are routinely built with lagged load, rolling means and similar features because they maximise predictive accuracy. Such models are appropriate for forecasting. They are not appropriate for counterfactual analysis, because lagged demand is a descendant of temperature: in a warmer world, demand an hour ago would also have been different. Perturbing temperature while holding lagged demand fixed therefore describes a state of the world that cannot exist, and blocks the very causal pathway the analysis is intended to trace.</w:t>
      </w:r>
    </w:p>
    <w:p>
      <w:pPr>
        <w:spacing w:after="140" w:line="300"/>
        <w:jc w:val="both"/>
      </w:pPr>
      <w:r>
        <w:rPr>
          <w:sz w:val="22"/>
          <w:szCs w:val="22"/>
        </w:rPr>
        <w:t xml:space="preserve">We treat this not as a caveat but as a testable claim, and demonstrate it quantitatively in Section 3.2. We then adopt an explicit two-model design: a forecasting model, reported to establish that the data and pipeline support accurate prediction, and a separate response model used for all counterfactual work. To our knowledge this separation, while standard in econometric work on energy demand, is rarely made explicit in machine-learning treatments of the same datasets.</w:t>
      </w:r>
    </w:p>
    <w:p>
      <w:pPr>
        <w:spacing w:after="140" w:line="300"/>
        <w:jc w:val="both"/>
      </w:pPr>
      <w:r>
        <w:rPr>
          <w:sz w:val="22"/>
          <w:szCs w:val="22"/>
        </w:rPr>
        <w:t xml:space="preserve">A second departure concerns the emission factor. Studies that convert a predicted demand change into a carbon change commonly multiply by a published national average grid intensity. We instead estimate a marginal emission factor from the same dataset, using the hourly generation-by-source columns, by two independent methods — regression on first differences, following the approach of Hawkes [1] and Siler-Evans et al. [2], and a per-source dispatch decomposition.</w:t>
      </w:r>
    </w:p>
    <w:p>
      <w:pPr>
        <w:pStyle w:val="Heading2"/>
        <w:spacing w:after="120" w:before="240"/>
      </w:pPr>
      <w:r>
        <w:rPr>
          <w:b/>
          <w:bCs/>
          <w:sz w:val="25"/>
          <w:szCs w:val="25"/>
        </w:rPr>
        <w:t xml:space="preserve">1.4 Goal and research hypotheses</w:t>
      </w:r>
    </w:p>
    <w:p>
      <w:pPr>
        <w:spacing w:after="140" w:line="300"/>
        <w:jc w:val="both"/>
      </w:pPr>
      <w:r>
        <w:rPr>
          <w:sz w:val="22"/>
          <w:szCs w:val="22"/>
        </w:rPr>
        <w:t xml:space="preserve">The overall goal is to estimate the temperature–demand response function for the Spanish electricity system from historical data, and to use it to quantify the demand and emissions consequences of counterfactual uniform warming, with honest uncertainty bounds.</w:t>
      </w:r>
    </w:p>
    <w:p>
      <w:pPr>
        <w:spacing w:after="140" w:line="300"/>
        <w:jc w:val="both"/>
      </w:pPr>
      <w:r>
        <w:rPr>
          <w:sz w:val="22"/>
          <w:szCs w:val="22"/>
        </w:rPr>
        <w:t xml:space="preserve">Four hypotheses are tested:</w:t>
      </w:r>
    </w:p>
    <w:p>
      <w:pPr>
        <w:pStyle w:val="ListParagraph"/>
        <w:numPr>
          <w:ilvl w:val="0"/>
          <w:numId w:val="2"/>
        </w:numPr>
        <w:spacing w:after="90" w:line="300"/>
      </w:pPr>
      <w:r>
        <w:rPr>
          <w:sz w:val="22"/>
          <w:szCs w:val="22"/>
        </w:rPr>
        <w:t xml:space="preserve">H1. Hourly Spanish electricity demand is a non-monotonic function of temperature, with a demand-minimising balance point in the region conventionally assumed for degree-day calculations (approximately 18 °C).</w:t>
      </w:r>
    </w:p>
    <w:p>
      <w:pPr>
        <w:pStyle w:val="ListParagraph"/>
        <w:numPr>
          <w:ilvl w:val="0"/>
          <w:numId w:val="2"/>
        </w:numPr>
        <w:spacing w:after="90" w:line="300"/>
      </w:pPr>
      <w:r>
        <w:rPr>
          <w:sz w:val="22"/>
          <w:szCs w:val="22"/>
        </w:rPr>
        <w:t xml:space="preserve">H2. A demand model including lagged demand, although more accurate as a forecaster, produces invalid counterfactual temperature responses relative to a model excluding it.</w:t>
      </w:r>
    </w:p>
    <w:p>
      <w:pPr>
        <w:pStyle w:val="ListParagraph"/>
        <w:numPr>
          <w:ilvl w:val="0"/>
          <w:numId w:val="2"/>
        </w:numPr>
        <w:spacing w:after="90" w:line="300"/>
      </w:pPr>
      <w:r>
        <w:rPr>
          <w:sz w:val="22"/>
          <w:szCs w:val="22"/>
        </w:rPr>
        <w:t xml:space="preserve">H3. Under uniform warming, the summer demand increase and the winter demand decrease are individually detectable, but partially offset, so that the annual net change is smaller than either seasonal effect.</w:t>
      </w:r>
    </w:p>
    <w:p>
      <w:pPr>
        <w:pStyle w:val="ListParagraph"/>
        <w:numPr>
          <w:ilvl w:val="0"/>
          <w:numId w:val="2"/>
        </w:numPr>
        <w:spacing w:after="90" w:line="300"/>
      </w:pPr>
      <w:r>
        <w:rPr>
          <w:sz w:val="22"/>
          <w:szCs w:val="22"/>
        </w:rPr>
        <w:t xml:space="preserve">H4. The marginal emission factor of the Spanish system differs materially from its average emission factor, so that using the average misestimates the carbon consequence of a demand change.</w:t>
      </w:r>
    </w:p>
    <w:p>
      <w:pPr>
        <w:pStyle w:val="Heading2"/>
        <w:spacing w:after="120" w:before="240"/>
      </w:pPr>
      <w:r>
        <w:rPr>
          <w:b/>
          <w:bCs/>
          <w:sz w:val="25"/>
          <w:szCs w:val="25"/>
        </w:rPr>
        <w:t xml:space="preserve">1.5 Novelty and key contributions</w:t>
      </w:r>
    </w:p>
    <w:p>
      <w:pPr>
        <w:spacing w:after="140" w:line="300"/>
        <w:jc w:val="both"/>
      </w:pPr>
      <w:r>
        <w:rPr>
          <w:sz w:val="22"/>
          <w:szCs w:val="22"/>
        </w:rPr>
        <w:t xml:space="preserve">The contributions of this report are:</w:t>
      </w:r>
    </w:p>
    <w:p>
      <w:pPr>
        <w:pStyle w:val="ListParagraph"/>
        <w:numPr>
          <w:ilvl w:val="0"/>
          <w:numId w:val="3"/>
        </w:numPr>
        <w:spacing w:after="90" w:line="300"/>
      </w:pPr>
      <w:r>
        <w:rPr>
          <w:sz w:val="22"/>
          <w:szCs w:val="22"/>
        </w:rPr>
        <w:t xml:space="preserve">A quantitative demonstration that autoregressive features invalidate counterfactual temperature analysis. Under a model where lagged demand carries 0.907 of total feature importance against 0.0027 for temperature, the +1, +2 and +3 °C scenarios yield +0.007, −0.21 and +1.42 MW respectively — non-monotonic, and two orders of magnitude below the model's own RMSE of 577 MW.</w:t>
      </w:r>
    </w:p>
    <w:p>
      <w:pPr>
        <w:pStyle w:val="ListParagraph"/>
        <w:numPr>
          <w:ilvl w:val="0"/>
          <w:numId w:val="3"/>
        </w:numPr>
        <w:spacing w:after="90" w:line="300"/>
      </w:pPr>
      <w:r>
        <w:rPr>
          <w:sz w:val="22"/>
          <w:szCs w:val="22"/>
        </w:rPr>
        <w:t xml:space="preserve">Identification of a strong time-of-day dependence in heating sensitivity, ranging from 3.2 MW/°C overnight to 326.0 MW/°C in the afternoon, which we interpret as occupancy-driven. Incorporating this interaction improves out-of-sample R² by 0.0082, more than five times the improvement obtained from piecewise degree-band flexibility.</w:t>
      </w:r>
    </w:p>
    <w:p>
      <w:pPr>
        <w:pStyle w:val="ListParagraph"/>
        <w:numPr>
          <w:ilvl w:val="0"/>
          <w:numId w:val="3"/>
        </w:numPr>
        <w:spacing w:after="90" w:line="300"/>
      </w:pPr>
      <w:r>
        <w:rPr>
          <w:sz w:val="22"/>
          <w:szCs w:val="22"/>
        </w:rPr>
        <w:t xml:space="preserve">A finding that uniform warming redistributes Spanish demand seasonally rather than increasing it in aggregate: at +3 °C, approximately 1,111 MW (3.9% of mean demand) is relocated from winter to summer with no statistically detectable change in the annual mean.</w:t>
      </w:r>
    </w:p>
    <w:p>
      <w:pPr>
        <w:pStyle w:val="ListParagraph"/>
        <w:numPr>
          <w:ilvl w:val="0"/>
          <w:numId w:val="3"/>
        </w:numPr>
        <w:spacing w:after="90" w:line="300"/>
      </w:pPr>
      <w:r>
        <w:rPr>
          <w:sz w:val="22"/>
          <w:szCs w:val="22"/>
        </w:rPr>
        <w:t xml:space="preserve">Estimation of the Spanish marginal emission factor (0.206 kg CO₂/kWh) from the study dataset by two independent methods that agree to three decimal places, together with the finding that it lies below the corresponding average factor (0.236 kg CO₂/kWh) because reservoir hydro supplies approximately 48% of the marginal demand response.</w:t>
      </w:r>
    </w:p>
    <w:p>
      <w:pPr>
        <w:pStyle w:val="ListParagraph"/>
        <w:numPr>
          <w:ilvl w:val="0"/>
          <w:numId w:val="3"/>
        </w:numPr>
        <w:spacing w:after="90" w:line="300"/>
      </w:pPr>
      <w:r>
        <w:rPr>
          <w:sz w:val="22"/>
          <w:szCs w:val="22"/>
        </w:rPr>
        <w:t xml:space="preserve">An explicit specification-uncertainty analysis showing that four specifications with out-of-sample R² differing by less than 0.012 imply summer responses spanning 287–846 MW, and that estimates rise monotonically with specification quality — evidence that simple specifications are biased downward rather than merely imprecise.</w:t>
      </w:r>
    </w:p>
    <w:p>
      <w:pPr>
        <w:pStyle w:val="Heading2"/>
        <w:spacing w:after="120" w:before="240"/>
      </w:pPr>
      <w:r>
        <w:rPr>
          <w:b/>
          <w:bCs/>
          <w:sz w:val="25"/>
          <w:szCs w:val="25"/>
        </w:rPr>
        <w:t xml:space="preserve">1.6 Experiments conducted</w:t>
      </w:r>
    </w:p>
    <w:p>
      <w:pPr>
        <w:spacing w:after="140" w:line="300"/>
        <w:jc w:val="both"/>
      </w:pPr>
      <w:r>
        <w:rPr>
          <w:sz w:val="22"/>
          <w:szCs w:val="22"/>
        </w:rPr>
        <w:t xml:space="preserve">The following experiments were designed to test the hypotheses above, and are reported in Section 3:</w:t>
      </w:r>
    </w:p>
    <w:p>
      <w:pPr>
        <w:pStyle w:val="ListParagraph"/>
        <w:numPr>
          <w:ilvl w:val="0"/>
          <w:numId w:val="3"/>
        </w:numPr>
        <w:spacing w:after="90" w:line="300"/>
      </w:pPr>
      <w:r>
        <w:rPr>
          <w:sz w:val="22"/>
          <w:szCs w:val="22"/>
        </w:rPr>
        <w:t xml:space="preserve">E1 — Forecasting benchmark. Four models (naive persistence, linear regression, random forest, gradient boosting) trained with weather, calendar and lagged demand features, evaluated chronologically. Establishes pipeline validity and provides the accuracy figure against which the response model's lower accuracy is interpreted. (H2)</w:t>
      </w:r>
    </w:p>
    <w:p>
      <w:pPr>
        <w:pStyle w:val="ListParagraph"/>
        <w:numPr>
          <w:ilvl w:val="0"/>
          <w:numId w:val="3"/>
        </w:numPr>
        <w:spacing w:after="90" w:line="300"/>
      </w:pPr>
      <w:r>
        <w:rPr>
          <w:sz w:val="22"/>
          <w:szCs w:val="22"/>
        </w:rPr>
        <w:t xml:space="preserve">E2 — Counterfactual validity test. The +1/+2/+3 °C perturbation applied to the forecasting model, to test whether the resulting scenario responses are coherent. (H2)</w:t>
      </w:r>
    </w:p>
    <w:p>
      <w:pPr>
        <w:pStyle w:val="ListParagraph"/>
        <w:numPr>
          <w:ilvl w:val="0"/>
          <w:numId w:val="3"/>
        </w:numPr>
        <w:spacing w:after="90" w:line="300"/>
      </w:pPr>
      <w:r>
        <w:rPr>
          <w:sz w:val="22"/>
          <w:szCs w:val="22"/>
        </w:rPr>
        <w:t xml:space="preserve">E3 — Response-model specification comparison. Four specifications of the weather-and-calendar-only model compared on identical data: single-slope degree hours, piecewise degree bands, degree hours interacted with time-of-day block, and random forest. (H1, H3)</w:t>
      </w:r>
    </w:p>
    <w:p>
      <w:pPr>
        <w:pStyle w:val="ListParagraph"/>
        <w:numPr>
          <w:ilvl w:val="0"/>
          <w:numId w:val="3"/>
        </w:numPr>
        <w:spacing w:after="90" w:line="300"/>
      </w:pPr>
      <w:r>
        <w:rPr>
          <w:sz w:val="22"/>
          <w:szCs w:val="22"/>
        </w:rPr>
        <w:t xml:space="preserve">E4 — Temperature response curve. Partial-dependence sweep of temperature across its observed range to locate the demand-minimising balance point empirically. (H1)</w:t>
      </w:r>
    </w:p>
    <w:p>
      <w:pPr>
        <w:pStyle w:val="ListParagraph"/>
        <w:numPr>
          <w:ilvl w:val="0"/>
          <w:numId w:val="3"/>
        </w:numPr>
        <w:spacing w:after="90" w:line="300"/>
      </w:pPr>
      <w:r>
        <w:rPr>
          <w:sz w:val="22"/>
          <w:szCs w:val="22"/>
        </w:rPr>
        <w:t xml:space="preserve">E5 — Counterfactual scenario analysis. Uniform +1/+2/+3 °C perturbations, with degree-hour features recomputed from the shifted temperature, evaluated by season and hour. (H3)</w:t>
      </w:r>
    </w:p>
    <w:p>
      <w:pPr>
        <w:pStyle w:val="ListParagraph"/>
        <w:numPr>
          <w:ilvl w:val="0"/>
          <w:numId w:val="3"/>
        </w:numPr>
        <w:spacing w:after="90" w:line="300"/>
      </w:pPr>
      <w:r>
        <w:rPr>
          <w:sz w:val="22"/>
          <w:szCs w:val="22"/>
        </w:rPr>
        <w:t xml:space="preserve">E6 — Uncertainty quantification and classification. Block bootstrap with 300 model refits on resampled training days; classification of each season-scenario cell by whether its interval excludes zero. (H3)</w:t>
      </w:r>
    </w:p>
    <w:p>
      <w:pPr>
        <w:pStyle w:val="ListParagraph"/>
        <w:numPr>
          <w:ilvl w:val="0"/>
          <w:numId w:val="3"/>
        </w:numPr>
        <w:spacing w:after="90" w:line="300"/>
      </w:pPr>
      <w:r>
        <w:rPr>
          <w:sz w:val="22"/>
          <w:szCs w:val="22"/>
        </w:rPr>
        <w:t xml:space="preserve">E7 — Emission factor estimation. Marginal factor estimated by first-difference regression and, independently, by per-source dispatch decomposition; compared against average and published factors. (H4)</w:t>
      </w:r>
    </w:p>
    <w:p>
      <w:pPr>
        <w:pStyle w:val="ListParagraph"/>
        <w:numPr>
          <w:ilvl w:val="0"/>
          <w:numId w:val="3"/>
        </w:numPr>
        <w:spacing w:after="90" w:line="300"/>
      </w:pPr>
      <w:r>
        <w:rPr>
          <w:sz w:val="22"/>
          <w:szCs w:val="22"/>
        </w:rPr>
        <w:t xml:space="preserve">E8 — Robustness and sensitivity. Balance-point sensitivity, calendar-control sensitivity, extrapolation diagnostics, and emission-factor sensitivity.</w:t>
      </w:r>
    </w:p>
    <w:p>
      <w:pPr>
        <w:pStyle w:val="Heading2"/>
        <w:spacing w:after="120" w:before="240"/>
      </w:pPr>
      <w:r>
        <w:rPr>
          <w:b/>
          <w:bCs/>
          <w:sz w:val="25"/>
          <w:szCs w:val="25"/>
        </w:rPr>
        <w:t xml:space="preserve">1.7 Overview of the method</w:t>
      </w:r>
    </w:p>
    <w:p>
      <w:pPr>
        <w:spacing w:after="140" w:line="300"/>
        <w:jc w:val="both"/>
      </w:pPr>
      <w:r>
        <w:rPr>
          <w:sz w:val="22"/>
          <w:szCs w:val="22"/>
        </w:rPr>
        <w:t xml:space="preserve">Figure 1 summarises the complete analysis pipeline, from the two source datasets through cleaning, spatial aggregation, integration, feature construction and chronological splitting, to the two-model design, specification comparison, counterfactual perturbation, uncertainty quantification and emissions analysis. Each step is described in detail in Section 2.</w:t>
      </w:r>
    </w:p>
    <w:p>
      <w:pPr>
        <w:spacing w:after="40" w:before="160"/>
        <w:jc w:val="center"/>
      </w:pPr>
      <w:r>
        <w:drawing>
          <wp:inline distT="0" distB="0" distL="0" distR="0">
            <wp:extent cx="440055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00550" cy="5372100"/>
                    </a:xfrm>
                    <a:prstGeom prst="rect">
                      <a:avLst/>
                    </a:prstGeom>
                  </pic:spPr>
                </pic:pic>
              </a:graphicData>
            </a:graphic>
          </wp:inline>
        </w:drawing>
      </w:r>
    </w:p>
    <w:p>
      <w:pPr>
        <w:spacing w:after="200" w:before="80"/>
        <w:jc w:val="center"/>
      </w:pPr>
      <w:r>
        <w:rPr>
          <w:i/>
          <w:iCs/>
          <w:sz w:val="19"/>
          <w:szCs w:val="19"/>
        </w:rPr>
        <w:t xml:space="preserve">Figure 1. Analysis pipeline. Orange indicates the forecasting branch, which is reported but not used for counterfactual inference; green indicates the response branch used for all scenario results.</w:t>
      </w:r>
    </w:p>
    <w:p>
      <w:pPr>
        <w:pStyle w:val="Heading2"/>
        <w:spacing w:after="120" w:before="240"/>
      </w:pPr>
      <w:r>
        <w:rPr>
          <w:b/>
          <w:bCs/>
          <w:sz w:val="25"/>
          <w:szCs w:val="25"/>
        </w:rPr>
        <w:t xml:space="preserve">1.8 Structure of this report</w:t>
      </w:r>
    </w:p>
    <w:p>
      <w:pPr>
        <w:spacing w:after="140" w:line="300"/>
        <w:jc w:val="both"/>
      </w:pPr>
      <w:r>
        <w:rPr>
          <w:sz w:val="22"/>
          <w:szCs w:val="22"/>
        </w:rPr>
        <w:t xml:space="preserve">Section 2 describes the methodology: data sources, cleaning and integration decisions, feature engineering, the two-model design, the specifications compared, the counterfactual construction, the uncertainty method and the emission-factor estimation. Section 3 presents experimental results and findings, with subsections covering forecasting performance, the counterfactual validity test, specification comparison, the temperature response curve, explainability analysis, scenario results, classification, and the emissions analysis. Section 4 discusses the principal findings, their implications, the limitations of the work, and conclusions.</w:t>
      </w:r>
    </w:p>
    <w:p>
      <w:r>
        <w:br w:type="page"/>
      </w:r>
    </w:p>
    <w:p>
      <w:pPr>
        <w:pStyle w:val="Heading1"/>
        <w:spacing w:after="160" w:before="320"/>
      </w:pPr>
      <w:r>
        <w:rPr>
          <w:b/>
          <w:bCs/>
          <w:sz w:val="30"/>
          <w:szCs w:val="30"/>
        </w:rPr>
        <w:t xml:space="preserve">2. Methodology</w:t>
      </w:r>
    </w:p>
    <w:p>
      <w:pPr>
        <w:pStyle w:val="Heading2"/>
        <w:spacing w:after="120" w:before="240"/>
      </w:pPr>
      <w:r>
        <w:rPr>
          <w:b/>
          <w:bCs/>
          <w:sz w:val="25"/>
          <w:szCs w:val="25"/>
        </w:rPr>
        <w:t xml:space="preserve">2.1 Data sources</w:t>
      </w:r>
    </w:p>
    <w:p>
      <w:pPr>
        <w:spacing w:after="140" w:line="300"/>
        <w:jc w:val="both"/>
      </w:pPr>
      <w:r>
        <w:rPr>
          <w:sz w:val="22"/>
          <w:szCs w:val="22"/>
        </w:rPr>
        <w:t xml:space="preserve">Two publicly available hourly datasets covering 1 January 2015 to 31 December 2018 were used. The weather dataset provides hourly observations for five Spanish cities — Madrid, Barcelona, Valencia, Seville and Bilbao — comprising 178,396 rows and 17 columns, with temperature reported in Kelvin. The electricity dataset provides hourly Spanish system data derived from the ENTSO-E Transparency Platform [3], comprising 35,064 rows and 29 columns, including actual total load, day-ahead load forecast, generation disaggregated by source, and prices.</w:t>
      </w:r>
    </w:p>
    <w:p>
      <w:pPr>
        <w:spacing w:after="140" w:line="300"/>
        <w:jc w:val="both"/>
      </w:pPr>
      <w:r>
        <w:rPr>
          <w:sz w:val="22"/>
          <w:szCs w:val="22"/>
        </w:rPr>
        <w:t xml:space="preserve">The target variable throughout is total load actual, in megawatts. Generation-by-source columns are not used as demand predictors — they are contemporaneous consequences of demand rather than causes of it — but are retained for the emissions analysis in Section 2.12.</w:t>
      </w:r>
    </w:p>
    <w:p>
      <w:pPr>
        <w:pStyle w:val="Heading2"/>
        <w:spacing w:after="120" w:before="240"/>
      </w:pPr>
      <w:r>
        <w:rPr>
          <w:b/>
          <w:bCs/>
          <w:sz w:val="25"/>
          <w:szCs w:val="25"/>
        </w:rPr>
        <w:t xml:space="preserve">2.2 Inspection and cleaning</w:t>
      </w:r>
    </w:p>
    <w:p>
      <w:pPr>
        <w:spacing w:after="140" w:line="300"/>
        <w:jc w:val="both"/>
      </w:pPr>
      <w:r>
        <w:rPr>
          <w:sz w:val="22"/>
          <w:szCs w:val="22"/>
        </w:rPr>
        <w:t xml:space="preserve">Inspection established that both datasets covered an identical period at hourly resolution, that the electricity series had uniform one-hour spacing across all 35,063 intervals, and that the weather dataset contained multiple rows per timestamp because it covers five cities. However, the number of weather rows per timestamp ranged from five to ten rather than being uniformly five, indicating duplication beyond the expected city dimension.</w:t>
      </w:r>
    </w:p>
    <w:p>
      <w:pPr>
        <w:spacing w:after="140" w:line="300"/>
        <w:jc w:val="both"/>
      </w:pPr>
      <w:r>
        <w:rPr>
          <w:sz w:val="22"/>
          <w:szCs w:val="22"/>
        </w:rPr>
        <w:t xml:space="preserve">Three distinct data quality problems were identified and handled separately, rather than by indiscriminate deduplication:</w:t>
      </w:r>
    </w:p>
    <w:p>
      <w:pPr>
        <w:pStyle w:val="ListParagraph"/>
        <w:numPr>
          <w:ilvl w:val="0"/>
          <w:numId w:val="3"/>
        </w:numPr>
        <w:spacing w:after="90" w:line="300"/>
      </w:pPr>
      <w:r>
        <w:rPr>
          <w:sz w:val="22"/>
          <w:szCs w:val="22"/>
        </w:rPr>
        <w:t xml:space="preserve">City name whitespace. One city name carried a leading space, which would have created spurious distinct categories. Names were stripped.</w:t>
      </w:r>
    </w:p>
    <w:p>
      <w:pPr>
        <w:pStyle w:val="ListParagraph"/>
        <w:numPr>
          <w:ilvl w:val="0"/>
          <w:numId w:val="3"/>
        </w:numPr>
        <w:spacing w:after="90" w:line="300"/>
      </w:pPr>
      <w:r>
        <w:rPr>
          <w:sz w:val="22"/>
          <w:szCs w:val="22"/>
        </w:rPr>
        <w:t xml:space="preserve">Exact duplicate rows. Twenty-one fully identical rows were removed, reducing the weather dataset to 178,375 rows.</w:t>
      </w:r>
    </w:p>
    <w:p>
      <w:pPr>
        <w:pStyle w:val="ListParagraph"/>
        <w:numPr>
          <w:ilvl w:val="0"/>
          <w:numId w:val="3"/>
        </w:numPr>
        <w:spacing w:after="90" w:line="300"/>
      </w:pPr>
      <w:r>
        <w:rPr>
          <w:sz w:val="22"/>
          <w:szCs w:val="22"/>
        </w:rPr>
        <w:t xml:space="preserve">Multiple distinct records per city and timestamp. After exact-duplicate removal, 5,874 rows remained in 2,798 duplicate city-timestamp groups, differing in weather-condition codes while agreeing on numeric measurements. These were collapsed by averaging numeric fields within each city-timestamp group, yielding 175,320 rows — exactly 35,064 timestamps for each of the five cities, with no remaining duplicates and no missing values.</w:t>
      </w:r>
    </w:p>
    <w:p>
      <w:pPr>
        <w:spacing w:after="140" w:line="300"/>
        <w:jc w:val="both"/>
      </w:pPr>
      <w:r>
        <w:rPr>
          <w:sz w:val="22"/>
          <w:szCs w:val="22"/>
        </w:rPr>
        <w:t xml:space="preserve">In the electricity dataset, two columns were entirely empty (generation hydro pumped storage aggregated, and the offshore wind day-ahead forecast) and were dropped. Thirty-six rows had a missing target value and were removed, since imputing the dependent variable would fabricate the quantity being modelled. This left 35,028 rows and 28 columns with no missing values.</w:t>
      </w:r>
    </w:p>
    <w:p>
      <w:pPr>
        <w:spacing w:after="140" w:line="300"/>
        <w:jc w:val="both"/>
      </w:pPr>
      <w:r>
        <w:rPr>
          <w:sz w:val="22"/>
          <w:szCs w:val="22"/>
        </w:rPr>
        <w:t xml:space="preserve">Temperatures were converted from Kelvin to Celsius, and the Kelvin originals were dropped rather than retained alongside, to eliminate any possibility of both unit systems entering the model. Categorical weather-condition columns were dropped as redundant with the numeric fields retained.</w:t>
      </w:r>
    </w:p>
    <w:p>
      <w:pPr>
        <w:pStyle w:val="Heading2"/>
        <w:spacing w:after="120" w:before="240"/>
      </w:pPr>
      <w:r>
        <w:rPr>
          <w:b/>
          <w:bCs/>
          <w:sz w:val="25"/>
          <w:szCs w:val="25"/>
        </w:rPr>
        <w:t xml:space="preserve">2.3 Timestamp standardisation</w:t>
      </w:r>
    </w:p>
    <w:p>
      <w:pPr>
        <w:spacing w:after="140" w:line="300"/>
        <w:jc w:val="both"/>
      </w:pPr>
      <w:r>
        <w:rPr>
          <w:sz w:val="22"/>
          <w:szCs w:val="22"/>
        </w:rPr>
        <w:t xml:space="preserve">Both datasets carried timezone-aware timestamps with mixed UTC offsets, reflecting Spanish daylight saving transitions. All timestamps were converted to UTC for the purpose of joining, which guarantees a unique, monotonic key and avoids the duplicate-hour and missing-hour artefacts that arise when joining on local wall-clock time.</w:t>
      </w:r>
    </w:p>
    <w:p>
      <w:pPr>
        <w:spacing w:after="140" w:line="300"/>
        <w:jc w:val="both"/>
      </w:pPr>
      <w:r>
        <w:rPr>
          <w:sz w:val="22"/>
          <w:szCs w:val="22"/>
        </w:rPr>
        <w:t xml:space="preserve">Calendar features, however, were derived from Europe/Madrid local time rather than UTC. This distinction matters: human demand patterns — working hours, meal times, evening activity — follow the local clock, so an hour-of-day feature computed in UTC would misalign by one or two hours depending on season and would blur precisely the diurnal structure the model needs to capture.</w:t>
      </w:r>
    </w:p>
    <w:p>
      <w:pPr>
        <w:pStyle w:val="Heading2"/>
        <w:spacing w:after="120" w:before="240"/>
      </w:pPr>
      <w:r>
        <w:rPr>
          <w:b/>
          <w:bCs/>
          <w:sz w:val="25"/>
          <w:szCs w:val="25"/>
        </w:rPr>
        <w:t xml:space="preserve">2.4 Spatial aggregation</w:t>
      </w:r>
    </w:p>
    <w:p>
      <w:pPr>
        <w:spacing w:after="140" w:line="300"/>
        <w:jc w:val="both"/>
      </w:pPr>
      <w:r>
        <w:rPr>
          <w:sz w:val="22"/>
          <w:szCs w:val="22"/>
        </w:rPr>
        <w:t xml:space="preserve">The research question concerns Spain-wide demand, but the weather data are city-level. A single national weather series was therefore constructed as a population-weighted mean across the five cities, using approximate 2018 municipal populations (Madrid 3,223,000; Barcelona 1,620,000; Valencia 791,000; Seville 689,000; Bilbao 345,000).</w:t>
      </w:r>
    </w:p>
    <w:p>
      <w:pPr>
        <w:spacing w:after="140" w:line="300"/>
        <w:jc w:val="both"/>
      </w:pPr>
      <w:r>
        <w:rPr>
          <w:sz w:val="22"/>
          <w:szCs w:val="22"/>
        </w:rPr>
        <w:t xml:space="preserve">Population weighting rather than simple averaging reflects the fact that weather in a more populous city is experienced by more electricity consumers, and therefore should exert proportionally greater influence on national demand. The resulting Spain-wide weather series contains 35,064 hourly rows.</w:t>
      </w:r>
    </w:p>
    <w:p>
      <w:pPr>
        <w:pStyle w:val="Heading2"/>
        <w:spacing w:after="120" w:before="240"/>
      </w:pPr>
      <w:r>
        <w:rPr>
          <w:b/>
          <w:bCs/>
          <w:sz w:val="25"/>
          <w:szCs w:val="25"/>
        </w:rPr>
        <w:t xml:space="preserve">2.5 Dataset integration</w:t>
      </w:r>
    </w:p>
    <w:p>
      <w:pPr>
        <w:spacing w:after="140" w:line="300"/>
        <w:jc w:val="both"/>
      </w:pPr>
      <w:r>
        <w:rPr>
          <w:sz w:val="22"/>
          <w:szCs w:val="22"/>
        </w:rPr>
        <w:t xml:space="preserve">The Spain-wide weather series and the cleaned electricity series were combined by an inner join on the UTC timestamp. The result contains 35,028 hourly observations and 39 columns. Verification confirmed that no electricity timestamps failed to match, that 36 weather timestamps had no electricity counterpart and were correctly dropped, that no duplicate timestamps were introduced, and that the join created no missing values. The absence of row multiplication confirms that the prior collapse of city-level duplicates was complete.</w:t>
      </w:r>
    </w:p>
    <w:p>
      <w:pPr>
        <w:pStyle w:val="Heading2"/>
        <w:spacing w:after="120" w:before="240"/>
      </w:pPr>
      <w:r>
        <w:rPr>
          <w:b/>
          <w:bCs/>
          <w:sz w:val="25"/>
          <w:szCs w:val="25"/>
        </w:rPr>
        <w:t xml:space="preserve">2.6 Feature engineering</w:t>
      </w:r>
    </w:p>
    <w:p>
      <w:pPr>
        <w:spacing w:after="140" w:line="300"/>
        <w:jc w:val="both"/>
      </w:pPr>
      <w:r>
        <w:rPr>
          <w:sz w:val="22"/>
          <w:szCs w:val="22"/>
        </w:rPr>
        <w:t xml:space="preserve">Three families of features were constructed.</w:t>
      </w:r>
    </w:p>
    <w:p>
      <w:pPr>
        <w:pStyle w:val="Heading3"/>
        <w:spacing w:after="100" w:before="200"/>
      </w:pPr>
      <w:r>
        <w:rPr>
          <w:b/>
          <w:bCs/>
          <w:sz w:val="23"/>
          <w:szCs w:val="23"/>
        </w:rPr>
        <w:t xml:space="preserve">2.6.1 Calendar features</w:t>
      </w:r>
    </w:p>
    <w:p>
      <w:pPr>
        <w:spacing w:after="140" w:line="300"/>
        <w:jc w:val="both"/>
      </w:pPr>
      <w:r>
        <w:rPr>
          <w:sz w:val="22"/>
          <w:szCs w:val="22"/>
        </w:rPr>
        <w:t xml:space="preserve">Hour of day, day of week, month, a weekend indicator and a categorical season, all derived from Europe/Madrid local time. Season is one-hot encoded with categories fixed in advance and fitted on the training set only, so that the test set cannot introduce a category the model has never seen.</w:t>
      </w:r>
    </w:p>
    <w:p>
      <w:pPr>
        <w:pStyle w:val="Heading3"/>
        <w:spacing w:after="100" w:before="200"/>
      </w:pPr>
      <w:r>
        <w:rPr>
          <w:b/>
          <w:bCs/>
          <w:sz w:val="23"/>
          <w:szCs w:val="23"/>
        </w:rPr>
        <w:t xml:space="preserve">2.6.2 Degree-hour features</w:t>
      </w:r>
    </w:p>
    <w:p>
      <w:pPr>
        <w:spacing w:after="140" w:line="300"/>
        <w:jc w:val="both"/>
      </w:pPr>
      <w:r>
        <w:rPr>
          <w:sz w:val="22"/>
          <w:szCs w:val="22"/>
        </w:rPr>
        <w:t xml:space="preserve">Rather than requiring the model to discover the U-shaped response from raw temperature, cooling and heating degree hours were constructed explicitly as CDD = max(0, T − 18) and HDD = max(0, 18 − T), where T is temperature in Celsius and 18 °C is the conventional balance point. This is the standard representation in the energy-demand literature and yields coefficients directly interpretable as megawatts per degree Celsius. The choice of balance point is subjected to sensitivity analysis in Section 3.11.</w:t>
      </w:r>
    </w:p>
    <w:p>
      <w:pPr>
        <w:spacing w:after="140" w:line="300"/>
        <w:jc w:val="both"/>
      </w:pPr>
      <w:r>
        <w:rPr>
          <w:sz w:val="22"/>
          <w:szCs w:val="22"/>
        </w:rPr>
        <w:t xml:space="preserve">Critically, when temperature is perturbed in the counterfactual scenarios, CDD and HDD are recomputed from the shifted temperature. Shifting the temperature column while leaving derived degree-hour columns unchanged would produce an internally inconsistent feature matrix and a meaningless scenario.</w:t>
      </w:r>
    </w:p>
    <w:p>
      <w:pPr>
        <w:pStyle w:val="Heading3"/>
        <w:spacing w:after="100" w:before="200"/>
      </w:pPr>
      <w:r>
        <w:rPr>
          <w:b/>
          <w:bCs/>
          <w:sz w:val="23"/>
          <w:szCs w:val="23"/>
        </w:rPr>
        <w:t xml:space="preserve">2.6.3 Lagged demand features</w:t>
      </w:r>
    </w:p>
    <w:p>
      <w:pPr>
        <w:spacing w:after="140" w:line="300"/>
        <w:jc w:val="both"/>
      </w:pPr>
      <w:r>
        <w:rPr>
          <w:sz w:val="22"/>
          <w:szCs w:val="22"/>
        </w:rPr>
        <w:t xml:space="preserve">For the forecasting model only, demand at t−1 hour, t−24 hours and t−168 hours were constructed, together with the rolling mean and standard deviation of the preceding 24 hours. Leakage was controlled by applying shift(1) before the rolling operation, so that every window terminates at t−1 and no window includes the target hour itself.</w:t>
      </w:r>
    </w:p>
    <w:p>
      <w:pPr>
        <w:spacing w:after="140" w:line="300"/>
        <w:jc w:val="both"/>
      </w:pPr>
      <w:r>
        <w:rPr>
          <w:sz w:val="22"/>
          <w:szCs w:val="22"/>
        </w:rPr>
        <w:t xml:space="preserve">Temperature minimum and maximum were excluded from all models, having exhibited correlations of 0.96–0.99 with mean temperature in exploratory analysis; retaining them would add multicollinearity without information.</w:t>
      </w:r>
    </w:p>
    <w:p>
      <w:pPr>
        <w:pStyle w:val="Heading2"/>
        <w:spacing w:after="120" w:before="240"/>
      </w:pPr>
      <w:r>
        <w:rPr>
          <w:b/>
          <w:bCs/>
          <w:sz w:val="25"/>
          <w:szCs w:val="25"/>
        </w:rPr>
        <w:t xml:space="preserve">2.7 Chronological train/test split</w:t>
      </w:r>
    </w:p>
    <w:p>
      <w:pPr>
        <w:spacing w:after="140" w:line="300"/>
        <w:jc w:val="both"/>
      </w:pPr>
      <w:r>
        <w:rPr>
          <w:sz w:val="22"/>
          <w:szCs w:val="22"/>
        </w:rPr>
        <w:t xml:space="preserve">The data were split chronologically rather than randomly: 2015–2017 for training (26,103 hours after removal of rows with incomplete lag windows) and 2018 for testing (8,757 hours, 25.0% of the data). Random splitting of a time series permits the model to train on observations immediately adjacent to its test cases, which inflates measured performance and does not reflect the deployment situation in which only the past is available.</w:t>
      </w:r>
    </w:p>
    <w:p>
      <w:pPr>
        <w:spacing w:after="140" w:line="300"/>
        <w:jc w:val="both"/>
      </w:pPr>
      <w:r>
        <w:rPr>
          <w:sz w:val="22"/>
          <w:szCs w:val="22"/>
        </w:rPr>
        <w:t xml:space="preserve">Rows with missing lag features were dropped after the split and separately within each partition, so that the 168-hour lookback at the start of the training period could not consume test observations. This removed 168 training rows and no test rows.</w:t>
      </w:r>
    </w:p>
    <w:p>
      <w:pPr>
        <w:pStyle w:val="Heading2"/>
        <w:spacing w:after="120" w:before="240"/>
      </w:pPr>
      <w:r>
        <w:rPr>
          <w:b/>
          <w:bCs/>
          <w:sz w:val="25"/>
          <w:szCs w:val="25"/>
        </w:rPr>
        <w:t xml:space="preserve">2.8 Two-model design</w:t>
      </w:r>
    </w:p>
    <w:p>
      <w:pPr>
        <w:spacing w:after="140" w:line="300"/>
        <w:jc w:val="both"/>
      </w:pPr>
      <w:r>
        <w:rPr>
          <w:sz w:val="22"/>
          <w:szCs w:val="22"/>
        </w:rPr>
        <w:t xml:space="preserve">Two models were estimated on the same split for different purposes.</w:t>
      </w:r>
    </w:p>
    <w:p>
      <w:pPr>
        <w:spacing w:after="140" w:line="300"/>
        <w:jc w:val="both"/>
      </w:pPr>
      <w:r>
        <w:rPr>
          <w:sz w:val="22"/>
          <w:szCs w:val="22"/>
        </w:rPr>
        <w:t xml:space="preserve">Model A, the forecasting model, uses weather, calendar and lagged demand features. Its purpose is to establish that the data and pipeline support accurate short-term prediction, and to provide the basis for the counterfactual validity test.</w:t>
      </w:r>
    </w:p>
    <w:p>
      <w:pPr>
        <w:spacing w:after="140" w:line="300"/>
        <w:jc w:val="both"/>
      </w:pPr>
      <w:r>
        <w:rPr>
          <w:sz w:val="22"/>
          <w:szCs w:val="22"/>
        </w:rPr>
        <w:t xml:space="preserve">Model B, the response model, uses weather and calendar features only. All counterfactual analysis uses Model B. The exclusion of lagged demand is deliberate and costly in accuracy terms: lagged demand is the strongest available predictor, so removing it substantially reduces R². It is nonetheless necessary, for the reason given in Section 1.3 and demonstrated empirically in Section 3.2.</w:t>
      </w:r>
    </w:p>
    <w:p>
      <w:pPr>
        <w:pStyle w:val="Heading2"/>
        <w:spacing w:after="120" w:before="240"/>
      </w:pPr>
      <w:r>
        <w:rPr>
          <w:b/>
          <w:bCs/>
          <w:sz w:val="25"/>
          <w:szCs w:val="25"/>
        </w:rPr>
        <w:t xml:space="preserve">2.9 Specifications compared within Model B</w:t>
      </w:r>
    </w:p>
    <w:p>
      <w:pPr>
        <w:spacing w:after="140" w:line="300"/>
        <w:jc w:val="both"/>
      </w:pPr>
      <w:r>
        <w:rPr>
          <w:sz w:val="22"/>
          <w:szCs w:val="22"/>
        </w:rPr>
        <w:t xml:space="preserve">Because the functional form of the temperature response is not known a priori, four specifications were compared on identical training and test data:</w:t>
      </w:r>
    </w:p>
    <w:p>
      <w:pPr>
        <w:pStyle w:val="ListParagraph"/>
        <w:numPr>
          <w:ilvl w:val="0"/>
          <w:numId w:val="2"/>
        </w:numPr>
        <w:spacing w:after="90" w:line="300"/>
      </w:pPr>
      <w:r>
        <w:rPr>
          <w:sz w:val="22"/>
          <w:szCs w:val="22"/>
        </w:rPr>
        <w:t xml:space="preserve">Single-slope linear. One coefficient each for CDD and HDD, plus humidity, wind speed, and one-hot encoded hour, day of week and month. Hour and calendar terms are one-hot encoded rather than left as integers, since a linear model would otherwise interpret hour 23 as twenty-three times hour 1.</w:t>
      </w:r>
    </w:p>
    <w:p>
      <w:pPr>
        <w:pStyle w:val="ListParagraph"/>
        <w:numPr>
          <w:ilvl w:val="0"/>
          <w:numId w:val="2"/>
        </w:numPr>
        <w:spacing w:after="90" w:line="300"/>
      </w:pPr>
      <w:r>
        <w:rPr>
          <w:sz w:val="22"/>
          <w:szCs w:val="22"/>
        </w:rPr>
        <w:t xml:space="preserve">Piecewise linear. CDD and HDD decomposed into temperature bands (18–22, 22–26, 26–30, 30+ °C and the heating equivalents), each with its own coefficient, permitting a convex response without imposing a functional form.</w:t>
      </w:r>
    </w:p>
    <w:p>
      <w:pPr>
        <w:pStyle w:val="ListParagraph"/>
        <w:numPr>
          <w:ilvl w:val="0"/>
          <w:numId w:val="2"/>
        </w:numPr>
        <w:spacing w:after="90" w:line="300"/>
      </w:pPr>
      <w:r>
        <w:rPr>
          <w:sz w:val="22"/>
          <w:szCs w:val="22"/>
        </w:rPr>
        <w:t xml:space="preserve">Linear with time-of-day interactions. CDD and HDD interacted with four time-of-day blocks (night 00–07, morning 08–13, afternoon 14–19, evening 20–23). Four blocks rather than twenty-four hourly interactions, to keep each interaction cell adequately populated and avoid the collinearity that destabilises finely divided specifications.</w:t>
      </w:r>
    </w:p>
    <w:p>
      <w:pPr>
        <w:pStyle w:val="ListParagraph"/>
        <w:numPr>
          <w:ilvl w:val="0"/>
          <w:numId w:val="2"/>
        </w:numPr>
        <w:spacing w:after="90" w:line="300"/>
      </w:pPr>
      <w:r>
        <w:rPr>
          <w:sz w:val="22"/>
          <w:szCs w:val="22"/>
        </w:rPr>
        <w:t xml:space="preserve">Random forest. 300 trees with a minimum of five samples per leaf, given raw temperature, degree hours, weather and calendar features. Capable of representing arbitrary interactions and non-linearities but not of extrapolating beyond the observed temperature range, since it predicts by averaging training observations.</w:t>
      </w:r>
    </w:p>
    <w:p>
      <w:pPr>
        <w:spacing w:after="140" w:line="300"/>
        <w:jc w:val="both"/>
      </w:pPr>
      <w:r>
        <w:rPr>
          <w:sz w:val="22"/>
          <w:szCs w:val="22"/>
        </w:rPr>
        <w:t xml:space="preserve">Selection was made on out-of-sample R² and mean absolute error, with interpretability and extrapolation capability as secondary criteria.</w:t>
      </w:r>
    </w:p>
    <w:p>
      <w:pPr>
        <w:pStyle w:val="Heading2"/>
        <w:spacing w:after="120" w:before="240"/>
      </w:pPr>
      <w:r>
        <w:rPr>
          <w:b/>
          <w:bCs/>
          <w:sz w:val="25"/>
          <w:szCs w:val="25"/>
        </w:rPr>
        <w:t xml:space="preserve">2.10 Counterfactual scenario construction</w:t>
      </w:r>
    </w:p>
    <w:p>
      <w:pPr>
        <w:spacing w:after="140" w:line="300"/>
        <w:jc w:val="both"/>
      </w:pPr>
      <w:r>
        <w:rPr>
          <w:sz w:val="22"/>
          <w:szCs w:val="22"/>
        </w:rPr>
        <w:t xml:space="preserve">For each warming level Δ ∈ {1, 2, 3} °C, the test-set feature matrix was reconstructed with temperature increased by Δ and degree-hour features recomputed accordingly. All calendar features were held at their observed values. The model was then applied to both the observed and perturbed matrices, and the difference taken hour by hour, giving 8,757 paired differences per scenario. These were aggregated by season and by hour of day.</w:t>
      </w:r>
    </w:p>
    <w:p>
      <w:pPr>
        <w:spacing w:after="140" w:line="300"/>
        <w:jc w:val="both"/>
      </w:pPr>
      <w:r>
        <w:rPr>
          <w:sz w:val="22"/>
          <w:szCs w:val="22"/>
        </w:rPr>
        <w:t xml:space="preserve">A verification step confirmed that exactly three columns — temperature, CDD and HDD — differ between the baseline and perturbed matrices.</w:t>
      </w:r>
    </w:p>
    <w:p>
      <w:pPr>
        <w:spacing w:after="140" w:line="300"/>
        <w:jc w:val="both"/>
      </w:pPr>
      <w:r>
        <w:rPr>
          <w:sz w:val="22"/>
          <w:szCs w:val="22"/>
        </w:rPr>
        <w:t xml:space="preserve">The interpretation of these quantities requires care. They answer the question: what would this model predict for these same hours if temperature had been Δ degrees higher and nothing else in the feature set had changed? They are not causal estimates, and they are not forecasts.</w:t>
      </w:r>
    </w:p>
    <w:p>
      <w:pPr>
        <w:pStyle w:val="Heading2"/>
        <w:spacing w:after="120" w:before="240"/>
      </w:pPr>
      <w:r>
        <w:rPr>
          <w:b/>
          <w:bCs/>
          <w:sz w:val="25"/>
          <w:szCs w:val="25"/>
        </w:rPr>
        <w:t xml:space="preserve">2.11 Uncertainty quantification and classification</w:t>
      </w:r>
    </w:p>
    <w:p>
      <w:pPr>
        <w:spacing w:after="140" w:line="300"/>
        <w:jc w:val="both"/>
      </w:pPr>
      <w:r>
        <w:rPr>
          <w:sz w:val="22"/>
          <w:szCs w:val="22"/>
        </w:rPr>
        <w:t xml:space="preserve">Uncertainty was quantified by a block bootstrap with 300 iterations. In each iteration, whole days were resampled with replacement from the training set, the model was refitted on the resampled data, and the seasonal and annual scenario effects were recomputed. The 2.5th and 97.5th percentiles across iterations give the 95% interval.</w:t>
      </w:r>
    </w:p>
    <w:p>
      <w:pPr>
        <w:spacing w:after="140" w:line="300"/>
        <w:jc w:val="both"/>
      </w:pPr>
      <w:r>
        <w:rPr>
          <w:sz w:val="22"/>
          <w:szCs w:val="22"/>
        </w:rPr>
        <w:t xml:space="preserve">Two design choices matter. First, whole days rather than individual hours are resampled, because hourly demand is strongly autocorrelated and hour-level resampling would treat 26,103 correlated observations as independent, producing intervals that are far too narrow. Second, the model is refitted in each iteration rather than merely re-averaging its predictions. An earlier version of this analysis resampled only the hours over which predictions were averaged; for a linear model this captures almost no uncertainty, because the per-hour effect of a temperature shift is nearly constant within a season, and it omits entirely the uncertainty in the estimated coefficients, which is the dominant component.</w:t>
      </w:r>
    </w:p>
    <w:p>
      <w:pPr>
        <w:spacing w:after="140" w:line="300"/>
        <w:jc w:val="both"/>
      </w:pPr>
      <w:r>
        <w:rPr>
          <w:sz w:val="22"/>
          <w:szCs w:val="22"/>
        </w:rPr>
        <w:t xml:space="preserve">Classification of each season and scenario follows directly from the interval:</w:t>
      </w:r>
    </w:p>
    <w:p>
      <w:pPr>
        <w:pStyle w:val="ListParagraph"/>
        <w:numPr>
          <w:ilvl w:val="0"/>
          <w:numId w:val="3"/>
        </w:numPr>
        <w:spacing w:after="90" w:line="300"/>
      </w:pPr>
      <w:r>
        <w:rPr>
          <w:sz w:val="22"/>
          <w:szCs w:val="22"/>
        </w:rPr>
        <w:t xml:space="preserve">Interval lies entirely above zero — higher demand;</w:t>
      </w:r>
    </w:p>
    <w:p>
      <w:pPr>
        <w:pStyle w:val="ListParagraph"/>
        <w:numPr>
          <w:ilvl w:val="0"/>
          <w:numId w:val="3"/>
        </w:numPr>
        <w:spacing w:after="90" w:line="300"/>
      </w:pPr>
      <w:r>
        <w:rPr>
          <w:sz w:val="22"/>
          <w:szCs w:val="22"/>
        </w:rPr>
        <w:t xml:space="preserve">Interval lies entirely below zero — lower demand;</w:t>
      </w:r>
    </w:p>
    <w:p>
      <w:pPr>
        <w:pStyle w:val="ListParagraph"/>
        <w:numPr>
          <w:ilvl w:val="0"/>
          <w:numId w:val="3"/>
        </w:numPr>
        <w:spacing w:after="90" w:line="300"/>
      </w:pPr>
      <w:r>
        <w:rPr>
          <w:sz w:val="22"/>
          <w:szCs w:val="22"/>
        </w:rPr>
        <w:t xml:space="preserve">Interval contains zero — no detectable change.</w:t>
      </w:r>
    </w:p>
    <w:p>
      <w:pPr>
        <w:spacing w:after="140" w:line="300"/>
        <w:jc w:val="both"/>
      </w:pPr>
      <w:r>
        <w:rPr>
          <w:sz w:val="22"/>
          <w:szCs w:val="22"/>
        </w:rPr>
        <w:t xml:space="preserve">No separate classification model was trained, and no classification metrics are reported. The justification is not convenience. No ground-truth labels exist for an unobserved 3 °C warmer Spain, so any training labels would have to be manufactured from the regression model's own scenario differences; a classifier fitted to such labels could at best imperfectly reproduce a subtraction already computed exactly. Reporting accuracy, precision, recall or an ROC curve for such a construction would be meaningless. The confidence-interval rule also replaces an arbitrary magnitude threshold: an early version of this work used a fixed 0.01 MW cut-off, which made the no-change category unreachable and classified as real effects that were far smaller than the model's own error.</w:t>
      </w:r>
    </w:p>
    <w:p>
      <w:pPr>
        <w:pStyle w:val="Heading2"/>
        <w:spacing w:after="120" w:before="240"/>
      </w:pPr>
      <w:r>
        <w:rPr>
          <w:b/>
          <w:bCs/>
          <w:sz w:val="25"/>
          <w:szCs w:val="25"/>
        </w:rPr>
        <w:t xml:space="preserve">2.12 Emission factor estimation</w:t>
      </w:r>
    </w:p>
    <w:p>
      <w:pPr>
        <w:spacing w:after="140" w:line="300"/>
        <w:jc w:val="both"/>
      </w:pPr>
      <w:r>
        <w:rPr>
          <w:sz w:val="22"/>
          <w:szCs w:val="22"/>
        </w:rPr>
        <w:t xml:space="preserve">Converting a demand change into an emissions change requires knowing the carbon intensity of the generation that responds at the margin, which is not the same as the average intensity of the system. Nuclear output is largely inflexible, and wind and solar generate according to weather rather than demand; the plants that adjust are dispatchable, and their intensity may be higher or lower than the fleet average.</w:t>
      </w:r>
    </w:p>
    <w:p>
      <w:pPr>
        <w:spacing w:after="140" w:line="300"/>
        <w:jc w:val="both"/>
      </w:pPr>
      <w:r>
        <w:rPr>
          <w:sz w:val="22"/>
          <w:szCs w:val="22"/>
        </w:rPr>
        <w:t xml:space="preserve">Hourly fossil CO₂ was first constructed from the generation-by-source columns using direct-combustion emission factors per unit of electricity generated. These factors are external assumptions drawn from published inventory sources [4] and are not estimated from the data; the values used and their provenance are stated in Section 3.9, and their influence on the results is assessed by sensitivity analysis. Nuclear, hydro, wind, solar and geothermal generation are assigned zero direct combustion emissions; biomass and waste are also assigned zero, following the convention by which biogenic carbon dioxide is reported separately in national inventories, a convention we note is contested.</w:t>
      </w:r>
    </w:p>
    <w:p>
      <w:pPr>
        <w:spacing w:after="140" w:line="300"/>
        <w:jc w:val="both"/>
      </w:pPr>
      <w:r>
        <w:rPr>
          <w:sz w:val="22"/>
          <w:szCs w:val="22"/>
        </w:rPr>
        <w:t xml:space="preserve">The marginal emission factor was then estimated by two independent methods.</w:t>
      </w:r>
    </w:p>
    <w:p>
      <w:pPr>
        <w:spacing w:after="140" w:line="300"/>
        <w:jc w:val="both"/>
      </w:pPr>
      <w:r>
        <w:rPr>
          <w:sz w:val="22"/>
          <w:szCs w:val="22"/>
        </w:rPr>
        <w:t xml:space="preserve">The first regresses the hour-to-hour change in fossil CO₂ on the hour-to-hour change in total demand, fitted through the origin, over consecutive-hour pairs only. Working in first differences removes slowly varying confounders — fuel prices, capacity additions, seasonal patterns — because these change negligibly between adjacent hours. This follows the approach established by Hawkes [1] and by Siler-Evans et al. [2], who show that average factors may substantially misestimate the emissions avoided by a demand-side intervention.</w:t>
      </w:r>
    </w:p>
    <w:p>
      <w:pPr>
        <w:spacing w:after="140" w:line="300"/>
        <w:jc w:val="both"/>
      </w:pPr>
      <w:r>
        <w:rPr>
          <w:sz w:val="22"/>
          <w:szCs w:val="22"/>
        </w:rPr>
        <w:t xml:space="preserve">The second decomposes the response by source, regressing the first difference of each generation column on the first difference of demand. The resulting per-source slopes give each source's share of the marginal response, and combining them with the emission factors yields an independent estimate of the marginal factor. Agreement between the two methods is evidence that the estimate reflects system behaviour rather than an artefact of either procedure.</w:t>
      </w:r>
    </w:p>
    <w:p>
      <w:r>
        <w:br w:type="page"/>
      </w:r>
    </w:p>
    <w:p>
      <w:pPr>
        <w:pStyle w:val="Heading1"/>
        <w:spacing w:after="160" w:before="320"/>
      </w:pPr>
      <w:r>
        <w:rPr>
          <w:b/>
          <w:bCs/>
          <w:sz w:val="30"/>
          <w:szCs w:val="30"/>
        </w:rPr>
        <w:t xml:space="preserve">3. Experimental Results and Findings</w:t>
      </w:r>
    </w:p>
    <w:p>
      <w:pPr>
        <w:pStyle w:val="Heading2"/>
        <w:spacing w:after="120" w:before="240"/>
      </w:pPr>
      <w:r>
        <w:rPr>
          <w:b/>
          <w:bCs/>
          <w:sz w:val="25"/>
          <w:szCs w:val="25"/>
        </w:rPr>
        <w:t xml:space="preserve">3.1 E1 — Forecasting benchmark</w:t>
      </w:r>
    </w:p>
    <w:p>
      <w:pPr>
        <w:spacing w:after="140" w:line="300"/>
        <w:jc w:val="both"/>
      </w:pPr>
      <w:r>
        <w:rPr>
          <w:sz w:val="22"/>
          <w:szCs w:val="22"/>
        </w:rPr>
        <w:t xml:space="preserve">Table 1 reports the four forecasting models on the 2018 test set. The random forest performs best on every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Model</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MAE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RMSE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R²</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Naive persistence baseline</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1076.3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1438.3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0.9034</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Linear regression</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975.7</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1295.3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0.9216</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Gradient boosting</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397.1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611.4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0.9825</w:t>
            </w:r>
          </w:p>
        </w:tc>
      </w:tr>
      <w:tr>
        <w:tc>
          <w:tcPr>
            <w:tcW w:type="dxa" w:w="0"/>
            <w:tcMar>
              <w:top w:type="dxa" w:w="60"/>
              <w:left w:type="dxa" w:w="90"/>
              <w:bottom w:type="dxa" w:w="60"/>
              <w:right w:type="dxa" w:w="90"/>
            </w:tcMar>
          </w:tcPr>
          <w:p>
            <w:pPr>
              <w:spacing w:after="0" w:line="260"/>
              <w:jc w:val="left"/>
            </w:pPr>
            <w:r>
              <w:rPr>
                <w:b/>
                <w:bCs/>
                <w:sz w:val="19"/>
                <w:szCs w:val="19"/>
              </w:rPr>
              <w:t xml:space="preserve">Random forest (Model A)</w:t>
            </w:r>
          </w:p>
        </w:tc>
        <w:tc>
          <w:tcPr>
            <w:tcW w:type="dxa" w:w="0"/>
            <w:tcMar>
              <w:top w:type="dxa" w:w="60"/>
              <w:left w:type="dxa" w:w="90"/>
              <w:bottom w:type="dxa" w:w="60"/>
              <w:right w:type="dxa" w:w="90"/>
            </w:tcMar>
          </w:tcPr>
          <w:p>
            <w:pPr>
              <w:spacing w:after="0" w:line="260"/>
              <w:jc w:val="right"/>
            </w:pPr>
            <w:r>
              <w:rPr>
                <w:b/>
                <w:bCs/>
                <w:sz w:val="19"/>
                <w:szCs w:val="19"/>
              </w:rPr>
              <w:t xml:space="preserve">355.4</w:t>
            </w:r>
          </w:p>
        </w:tc>
        <w:tc>
          <w:tcPr>
            <w:tcW w:type="dxa" w:w="0"/>
            <w:tcMar>
              <w:top w:type="dxa" w:w="60"/>
              <w:left w:type="dxa" w:w="90"/>
              <w:bottom w:type="dxa" w:w="60"/>
              <w:right w:type="dxa" w:w="90"/>
            </w:tcMar>
          </w:tcPr>
          <w:p>
            <w:pPr>
              <w:spacing w:after="0" w:line="260"/>
              <w:jc w:val="right"/>
            </w:pPr>
            <w:r>
              <w:rPr>
                <w:b/>
                <w:bCs/>
                <w:sz w:val="19"/>
                <w:szCs w:val="19"/>
              </w:rPr>
              <w:t xml:space="preserve">577.1</w:t>
            </w:r>
          </w:p>
        </w:tc>
        <w:tc>
          <w:tcPr>
            <w:tcW w:type="dxa" w:w="0"/>
            <w:tcMar>
              <w:top w:type="dxa" w:w="60"/>
              <w:left w:type="dxa" w:w="90"/>
              <w:bottom w:type="dxa" w:w="60"/>
              <w:right w:type="dxa" w:w="90"/>
            </w:tcMar>
          </w:tcPr>
          <w:p>
            <w:pPr>
              <w:spacing w:after="0" w:line="260"/>
              <w:jc w:val="right"/>
            </w:pPr>
            <w:r>
              <w:rPr>
                <w:b/>
                <w:bCs/>
                <w:sz w:val="19"/>
                <w:szCs w:val="19"/>
              </w:rPr>
              <w:t xml:space="preserve">0.9844</w:t>
            </w:r>
          </w:p>
        </w:tc>
      </w:tr>
    </w:tbl>
    <w:p>
      <w:pPr>
        <w:spacing w:after="200" w:before="80"/>
        <w:jc w:val="center"/>
      </w:pPr>
      <w:r>
        <w:rPr>
          <w:i/>
          <w:iCs/>
          <w:sz w:val="19"/>
          <w:szCs w:val="19"/>
        </w:rPr>
        <w:t xml:space="preserve">Table 1. Forecasting model performance, weather + calendar + lagged demand features, chronological test set (2018, n = 8,757).</w:t>
      </w:r>
    </w:p>
    <w:p>
      <w:pPr>
        <w:spacing w:after="140" w:line="300"/>
        <w:jc w:val="both"/>
      </w:pPr>
      <w:r>
        <w:rPr>
          <w:sz w:val="22"/>
          <w:szCs w:val="22"/>
        </w:rPr>
        <w:t xml:space="preserve">Two observations qualify the headline figure. First, naive persistence — predicting that demand now equals demand an hour ago — already achieves R² = 0.903. The random forest's 0.984 is a real improvement, reducing mean absolute error by 67%, but it is an improvement over a strong baseline rather than evidence that the model has learned the drivers of demand. Second, the residual analysis identified two extreme errors of approximately +10,700 MW and −12,800 MW; these are consistent with public holidays, which shift Spanish demand sharply in ways a model knowing only hour, weekday and month cannot anticipate.</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collage of Figures from notebook Phase 7 — actual vs predicted scatter, prediction over time (2 weeks), residuals vs predicted, and residual distribution. Arrange as a 2×2 panel.]</w:t>
      </w:r>
    </w:p>
    <w:p>
      <w:pPr>
        <w:spacing w:after="200" w:before="80"/>
        <w:jc w:val="center"/>
      </w:pPr>
      <w:r>
        <w:rPr>
          <w:i/>
          <w:iCs/>
          <w:sz w:val="19"/>
          <w:szCs w:val="19"/>
        </w:rPr>
        <w:t xml:space="preserve">Figure 2. Model A diagnostics. (a) Actual versus predicted demand with the identity line; (b) actual and predicted demand over the first two weeks of the test period; (c) residuals against predicted demand; (d) residual distribution.</w:t>
      </w:r>
    </w:p>
    <w:p>
      <w:pPr>
        <w:pStyle w:val="Heading2"/>
        <w:spacing w:after="120" w:before="240"/>
      </w:pPr>
      <w:r>
        <w:rPr>
          <w:b/>
          <w:bCs/>
          <w:sz w:val="25"/>
          <w:szCs w:val="25"/>
        </w:rPr>
        <w:t xml:space="preserve">3.2 E2 — Counterfactual validity test</w:t>
      </w:r>
    </w:p>
    <w:p>
      <w:pPr>
        <w:spacing w:after="140" w:line="300"/>
        <w:jc w:val="both"/>
      </w:pPr>
      <w:r>
        <w:rPr>
          <w:sz w:val="22"/>
          <w:szCs w:val="22"/>
        </w:rPr>
        <w:t xml:space="preserve">Model A's feature importances are dominated by a single variable. Demand at t−1 carries an importance of 0.907, and hour of day 0.0747; temperature ranks fourth at 0.0027, below both. This is not a defect of the model as a forecaster — recent demand genuinely is the best predictor of current demand — but it has a decisive consequence for counterfactual use.</w:t>
      </w:r>
    </w:p>
    <w:p>
      <w:pPr>
        <w:spacing w:after="140" w:line="300"/>
        <w:jc w:val="both"/>
      </w:pPr>
      <w:r>
        <w:rPr>
          <w:sz w:val="22"/>
          <w:szCs w:val="22"/>
        </w:rPr>
        <w:t xml:space="preserve">Applying the +1/+2/+3 °C perturbation to Model A, holding lagged demand at its observed values, produces mean demand changes of +0.007 MW, −0.21 MW and +1.42 MW respectively. Three features of this result establish its invalidity. The sequence is non-monotonic: two degrees of warming reduces demand while one degree and three degrees increase it. The magnitudes are two orders of magnitude below the model's own RMSE of 577 MW, so no such effect could be distinguished from noise. And the largest value, 1.42 MW, represents 0.005% of mean demand, which is not physically credible for a three-degree temperature change in a system with substantial cooling load.</w:t>
      </w:r>
    </w:p>
    <w:p>
      <w:pPr>
        <w:spacing w:after="140" w:line="300"/>
        <w:jc w:val="both"/>
      </w:pPr>
      <w:r>
        <w:rPr>
          <w:sz w:val="22"/>
          <w:szCs w:val="22"/>
        </w:rPr>
        <w:t xml:space="preserve">The cause is structural rather than statistical. Conditioning on lagged demand conditions on a variable that already contains the temperature effect, blocking the pathway from temperature to demand. Hypothesis H2 is supported, and all subsequent analysis uses Model B.</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Figure from notebook Phase 7 Cell 8 — Model A feature importance, full and zoomed panels.]</w:t>
      </w:r>
    </w:p>
    <w:p>
      <w:pPr>
        <w:spacing w:after="200" w:before="80"/>
        <w:jc w:val="center"/>
      </w:pPr>
      <w:r>
        <w:rPr>
          <w:i/>
          <w:iCs/>
          <w:sz w:val="19"/>
          <w:szCs w:val="19"/>
        </w:rPr>
        <w:t xml:space="preserve">Figure 3. Model A feature importance. Lagged demand at t−1 accounts for 0.907 of total importance; temperature ranks fourth at 0.0027. The zoomed panel excludes the dominant term.</w:t>
      </w:r>
    </w:p>
    <w:p>
      <w:pPr>
        <w:pStyle w:val="Heading2"/>
        <w:spacing w:after="120" w:before="240"/>
      </w:pPr>
      <w:r>
        <w:rPr>
          <w:b/>
          <w:bCs/>
          <w:sz w:val="25"/>
          <w:szCs w:val="25"/>
        </w:rPr>
        <w:t xml:space="preserve">3.3 E3 — Response model specification comparison</w:t>
      </w:r>
    </w:p>
    <w:p>
      <w:pPr>
        <w:spacing w:after="140" w:line="300"/>
        <w:jc w:val="both"/>
      </w:pPr>
      <w:r>
        <w:rPr>
          <w:sz w:val="22"/>
          <w:szCs w:val="22"/>
        </w:rPr>
        <w:t xml:space="preserve">Table 2 compares the four Model B specifications. All four fit the test data almost equally well, with R² spanning 0.6233 to 0.6351 — a range of 0.0118.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Specification</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MAE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RMSE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R²</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Random forest</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2054.8</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2839.8</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0.6233</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Linear, single slope</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2134.4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2826.1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0.6269</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Linear, piecewise bands</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2127.3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0.6284</w:t>
            </w:r>
          </w:p>
        </w:tc>
      </w:tr>
      <w:tr>
        <w:tc>
          <w:tcPr>
            <w:tcW w:type="dxa" w:w="0"/>
            <w:tcMar>
              <w:top w:type="dxa" w:w="60"/>
              <w:left w:type="dxa" w:w="90"/>
              <w:bottom w:type="dxa" w:w="60"/>
              <w:right w:type="dxa" w:w="90"/>
            </w:tcMar>
          </w:tcPr>
          <w:p>
            <w:pPr>
              <w:spacing w:after="0" w:line="260"/>
              <w:jc w:val="left"/>
            </w:pPr>
            <w:r>
              <w:rPr>
                <w:b/>
                <w:bCs/>
                <w:sz w:val="19"/>
                <w:szCs w:val="19"/>
              </w:rPr>
              <w:t xml:space="preserve">Linear + time-of-day interactions</w:t>
            </w:r>
          </w:p>
        </w:tc>
        <w:tc>
          <w:tcPr>
            <w:tcW w:type="dxa" w:w="0"/>
            <w:tcMar>
              <w:top w:type="dxa" w:w="60"/>
              <w:left w:type="dxa" w:w="90"/>
              <w:bottom w:type="dxa" w:w="60"/>
              <w:right w:type="dxa" w:w="90"/>
            </w:tcMar>
          </w:tcPr>
          <w:p>
            <w:pPr>
              <w:spacing w:after="0" w:line="260"/>
              <w:jc w:val="right"/>
            </w:pPr>
            <w:r>
              <w:rPr>
                <w:b/>
                <w:bCs/>
                <w:sz w:val="19"/>
                <w:szCs w:val="19"/>
              </w:rPr>
              <w:t xml:space="preserve">2096.9</w:t>
            </w:r>
          </w:p>
        </w:tc>
        <w:tc>
          <w:tcPr>
            <w:tcW w:type="dxa" w:w="0"/>
            <w:tcMar>
              <w:top w:type="dxa" w:w="60"/>
              <w:left w:type="dxa" w:w="90"/>
              <w:bottom w:type="dxa" w:w="60"/>
              <w:right w:type="dxa" w:w="90"/>
            </w:tcMar>
          </w:tcPr>
          <w:p>
            <w:pPr>
              <w:spacing w:after="0" w:line="260"/>
              <w:jc w:val="right"/>
            </w:pPr>
            <w:r>
              <w:rPr>
                <w:b/>
                <w:bCs/>
                <w:sz w:val="19"/>
                <w:szCs w:val="19"/>
              </w:rPr>
              <w:t xml:space="preserve">—</w:t>
            </w:r>
          </w:p>
        </w:tc>
        <w:tc>
          <w:tcPr>
            <w:tcW w:type="dxa" w:w="0"/>
            <w:tcMar>
              <w:top w:type="dxa" w:w="60"/>
              <w:left w:type="dxa" w:w="90"/>
              <w:bottom w:type="dxa" w:w="60"/>
              <w:right w:type="dxa" w:w="90"/>
            </w:tcMar>
          </w:tcPr>
          <w:p>
            <w:pPr>
              <w:spacing w:after="0" w:line="260"/>
              <w:jc w:val="right"/>
            </w:pPr>
            <w:r>
              <w:rPr>
                <w:b/>
                <w:bCs/>
                <w:sz w:val="19"/>
                <w:szCs w:val="19"/>
              </w:rPr>
              <w:t xml:space="preserve">0.6351</w:t>
            </w:r>
          </w:p>
        </w:tc>
      </w:tr>
    </w:tbl>
    <w:p>
      <w:pPr>
        <w:spacing w:after="200" w:before="80"/>
        <w:jc w:val="center"/>
      </w:pPr>
      <w:r>
        <w:rPr>
          <w:i/>
          <w:iCs/>
          <w:sz w:val="19"/>
          <w:szCs w:val="19"/>
        </w:rPr>
        <w:t xml:space="preserve">Table 2. Response model specifications, weather and calendar features only, test set 2018.</w:t>
      </w:r>
    </w:p>
    <w:p>
      <w:pPr>
        <w:spacing w:after="140" w:line="300"/>
        <w:jc w:val="both"/>
      </w:pPr>
      <w:r>
        <w:rPr>
          <w:sz w:val="22"/>
          <w:szCs w:val="22"/>
        </w:rPr>
        <w:t xml:space="preserve">The interaction specification was selected as primary on four grounds: highest out-of-sample R² and lowest mean absolute error among the linear specifications; coefficients directly interpretable as megawatts per degree Celsius; the capacity to extrapolate above the observed temperature range, which the random forest structurally lacks; and an explicit mechanism, discussed in Section 3.5.</w:t>
      </w:r>
    </w:p>
    <w:p>
      <w:pPr>
        <w:spacing w:after="140" w:line="300"/>
        <w:jc w:val="both"/>
      </w:pPr>
      <w:r>
        <w:rPr>
          <w:sz w:val="22"/>
          <w:szCs w:val="22"/>
        </w:rPr>
        <w:t xml:space="preserve">The reduction in R² relative to Model A (0.635 against 0.984) is expected and is not a deficiency. Model B has no access to demand history and therefore cannot know that industrial activity was elevated in the preceding hour. It answers a different question.</w:t>
      </w:r>
    </w:p>
    <w:p>
      <w:pPr>
        <w:pStyle w:val="Heading2"/>
        <w:spacing w:after="120" w:before="240"/>
      </w:pPr>
      <w:r>
        <w:rPr>
          <w:b/>
          <w:bCs/>
          <w:sz w:val="25"/>
          <w:szCs w:val="25"/>
        </w:rPr>
        <w:t xml:space="preserve">3.4 E4 — Temperature response curve</w:t>
      </w:r>
    </w:p>
    <w:p>
      <w:pPr>
        <w:spacing w:after="140" w:line="300"/>
        <w:jc w:val="both"/>
      </w:pPr>
      <w:r>
        <w:rPr>
          <w:sz w:val="22"/>
          <w:szCs w:val="22"/>
        </w:rPr>
        <w:t xml:space="preserve">A partial-dependence sweep of temperature across its observed range, holding calendar features at their observed values, locates the demand-minimising temperature at 19.0 °C. Mean predicted demand is 29,043 MW at −4 °C, falls to a minimum of 27,799 MW, and rises to 30,000 MW at 37 °C. The response is therefore U-shaped with an asymmetry: the cooling arm rises more steeply than the heating arm falls.</w:t>
      </w:r>
    </w:p>
    <w:p>
      <w:pPr>
        <w:spacing w:after="140" w:line="300"/>
        <w:jc w:val="both"/>
      </w:pPr>
      <w:r>
        <w:rPr>
          <w:sz w:val="22"/>
          <w:szCs w:val="22"/>
        </w:rPr>
        <w:t xml:space="preserve">The empirical minimum of 19.0 °C is close to the 18 °C balance point assumed a priori in constructing the degree-hour features, providing independent support for that convention in the Spanish context. Hypothesis H1 is supported.</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Figure from notebook Phase 8 Cell 5 — temperature response curve, overall panel and per-season panel.]</w:t>
      </w:r>
    </w:p>
    <w:p>
      <w:pPr>
        <w:spacing w:after="200" w:before="80"/>
        <w:jc w:val="center"/>
      </w:pPr>
      <w:r>
        <w:rPr>
          <w:i/>
          <w:iCs/>
          <w:sz w:val="19"/>
          <w:szCs w:val="19"/>
        </w:rPr>
        <w:t xml:space="preserve">Figure 4. Temperature response curve. (a) Mean predicted demand against temperature across the observed range, with the demand-minimising temperature marked; (b) the same relationship computed separately by season, each restricted to that season's observed temperature range.</w:t>
      </w:r>
    </w:p>
    <w:p>
      <w:pPr>
        <w:pStyle w:val="Heading2"/>
        <w:spacing w:after="120" w:before="240"/>
      </w:pPr>
      <w:r>
        <w:rPr>
          <w:b/>
          <w:bCs/>
          <w:sz w:val="25"/>
          <w:szCs w:val="25"/>
        </w:rPr>
        <w:t xml:space="preserve">3.5 Explainability analysis</w:t>
      </w:r>
    </w:p>
    <w:p>
      <w:pPr>
        <w:pStyle w:val="Heading3"/>
        <w:spacing w:after="100" w:before="200"/>
      </w:pPr>
      <w:r>
        <w:rPr>
          <w:b/>
          <w:bCs/>
          <w:sz w:val="23"/>
          <w:szCs w:val="23"/>
        </w:rPr>
        <w:t xml:space="preserve">3.5.1 Permutation importance</w:t>
      </w:r>
    </w:p>
    <w:p>
      <w:pPr>
        <w:spacing w:after="140" w:line="300"/>
        <w:jc w:val="both"/>
      </w:pPr>
      <w:r>
        <w:rPr>
          <w:sz w:val="22"/>
          <w:szCs w:val="22"/>
        </w:rPr>
        <w:t xml:space="preserve">Permutation importance on the test set, measured as the increase in mean absolute error when each feature is shuffled, ranks hour of day first by a wide margin (2387.8 MW), followed by day of week (279.8) and the weekend indicator (163.0). Temperature (80.6), heating degree hours (51.1) and cooling degree hours (40.7) follow. Cloud cover has a slightly negative importance (−5.8), indicating that the model performs marginally better without it.</w:t>
      </w:r>
    </w:p>
    <w:p>
      <w:pPr>
        <w:spacing w:after="140" w:line="300"/>
        <w:jc w:val="both"/>
      </w:pPr>
      <w:r>
        <w:rPr>
          <w:sz w:val="22"/>
          <w:szCs w:val="22"/>
        </w:rPr>
        <w:t xml:space="preserve">Two qualifications apply. Permutation importance is computed on held-out data and therefore reflects genuine predictive contribution, unlike the impurity-based importances of Figure 3. However, temperature, CDD and HDD are correlated by construction, since the latter two are derived from the first; permutation importance divides credit among correlated features, so each individually understates the contribution of temperature as a whole.</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Figure from notebook Phase 8 Cell 4 — permutation importance with error bars.]</w:t>
      </w:r>
    </w:p>
    <w:p>
      <w:pPr>
        <w:spacing w:after="200" w:before="80"/>
        <w:jc w:val="center"/>
      </w:pPr>
      <w:r>
        <w:rPr>
          <w:i/>
          <w:iCs/>
          <w:sz w:val="19"/>
          <w:szCs w:val="19"/>
        </w:rPr>
        <w:t xml:space="preserve">Figure 5. Permutation importance for the response model, measured as the increase in test mean absolute error when each feature is randomly shuffled. Error bars show the standard deviation across ten repetitions.</w:t>
      </w:r>
    </w:p>
    <w:p>
      <w:pPr>
        <w:pStyle w:val="Heading3"/>
        <w:spacing w:after="100" w:before="200"/>
      </w:pPr>
      <w:r>
        <w:rPr>
          <w:b/>
          <w:bCs/>
          <w:sz w:val="23"/>
          <w:szCs w:val="23"/>
        </w:rPr>
        <w:t xml:space="preserve">3.5.2 Time-of-day sensitivities</w:t>
      </w:r>
    </w:p>
    <w:p>
      <w:pPr>
        <w:spacing w:after="140" w:line="300"/>
        <w:jc w:val="both"/>
      </w:pPr>
      <w:r>
        <w:rPr>
          <w:sz w:val="22"/>
          <w:szCs w:val="22"/>
        </w:rPr>
        <w:t xml:space="preserve">The primary specification's coefficients give temperature sensitivity separately for each time-of-day block, reported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Time block (local)</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Cooling (MW/°C above 18 °C)</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Heating (MW/°C below 18 °C)</w:t>
            </w:r>
          </w:p>
        </w:tc>
      </w:tr>
      <w:tr>
        <w:tc>
          <w:tcPr>
            <w:tcW w:type="dxa" w:w="0"/>
            <w:tcMar>
              <w:top w:type="dxa" w:w="60"/>
              <w:left w:type="dxa" w:w="90"/>
              <w:bottom w:type="dxa" w:w="60"/>
              <w:right w:type="dxa" w:w="90"/>
            </w:tcMar>
          </w:tcPr>
          <w:p>
            <w:pPr>
              <w:spacing w:after="0" w:line="260"/>
              <w:jc w:val="left"/>
            </w:pPr>
            <w:r>
              <w:rPr>
                <w:sz w:val="19"/>
                <w:szCs w:val="19"/>
              </w:rPr>
              <w:t xml:space="preserve">Night (00–07)</w:t>
            </w:r>
          </w:p>
        </w:tc>
        <w:tc>
          <w:tcPr>
            <w:tcW w:type="dxa" w:w="0"/>
            <w:tcMar>
              <w:top w:type="dxa" w:w="60"/>
              <w:left w:type="dxa" w:w="90"/>
              <w:bottom w:type="dxa" w:w="60"/>
              <w:right w:type="dxa" w:w="90"/>
            </w:tcMar>
          </w:tcPr>
          <w:p>
            <w:pPr>
              <w:spacing w:after="0" w:line="260"/>
              <w:jc w:val="right"/>
            </w:pPr>
            <w:r>
              <w:rPr>
                <w:sz w:val="19"/>
                <w:szCs w:val="19"/>
              </w:rPr>
              <w:t xml:space="preserve">201.8</w:t>
            </w:r>
          </w:p>
        </w:tc>
        <w:tc>
          <w:tcPr>
            <w:tcW w:type="dxa" w:w="0"/>
            <w:tcMar>
              <w:top w:type="dxa" w:w="60"/>
              <w:left w:type="dxa" w:w="90"/>
              <w:bottom w:type="dxa" w:w="60"/>
              <w:right w:type="dxa" w:w="90"/>
            </w:tcMar>
          </w:tcPr>
          <w:p>
            <w:pPr>
              <w:spacing w:after="0" w:line="260"/>
              <w:jc w:val="right"/>
            </w:pPr>
            <w:r>
              <w:rPr>
                <w:sz w:val="19"/>
                <w:szCs w:val="19"/>
              </w:rPr>
              <w:t xml:space="preserve">3.2</w:t>
            </w:r>
          </w:p>
        </w:tc>
      </w:tr>
      <w:tr>
        <w:tc>
          <w:tcPr>
            <w:tcW w:type="dxa" w:w="0"/>
            <w:tcMar>
              <w:top w:type="dxa" w:w="60"/>
              <w:left w:type="dxa" w:w="90"/>
              <w:bottom w:type="dxa" w:w="60"/>
              <w:right w:type="dxa" w:w="90"/>
            </w:tcMar>
          </w:tcPr>
          <w:p>
            <w:pPr>
              <w:spacing w:after="0" w:line="260"/>
              <w:jc w:val="left"/>
            </w:pPr>
            <w:r>
              <w:rPr>
                <w:sz w:val="19"/>
                <w:szCs w:val="19"/>
              </w:rPr>
              <w:t xml:space="preserve">Morning (08–13)</w:t>
            </w:r>
          </w:p>
        </w:tc>
        <w:tc>
          <w:tcPr>
            <w:tcW w:type="dxa" w:w="0"/>
            <w:tcMar>
              <w:top w:type="dxa" w:w="60"/>
              <w:left w:type="dxa" w:w="90"/>
              <w:bottom w:type="dxa" w:w="60"/>
              <w:right w:type="dxa" w:w="90"/>
            </w:tcMar>
          </w:tcPr>
          <w:p>
            <w:pPr>
              <w:spacing w:after="0" w:line="260"/>
              <w:jc w:val="right"/>
            </w:pPr>
            <w:r>
              <w:rPr>
                <w:sz w:val="19"/>
                <w:szCs w:val="19"/>
              </w:rPr>
              <w:t xml:space="preserve">176.2</w:t>
            </w:r>
          </w:p>
        </w:tc>
        <w:tc>
          <w:tcPr>
            <w:tcW w:type="dxa" w:w="0"/>
            <w:tcMar>
              <w:top w:type="dxa" w:w="60"/>
              <w:left w:type="dxa" w:w="90"/>
              <w:bottom w:type="dxa" w:w="60"/>
              <w:right w:type="dxa" w:w="90"/>
            </w:tcMar>
          </w:tcPr>
          <w:p>
            <w:pPr>
              <w:spacing w:after="0" w:line="260"/>
              <w:jc w:val="right"/>
            </w:pPr>
            <w:r>
              <w:rPr>
                <w:sz w:val="19"/>
                <w:szCs w:val="19"/>
              </w:rPr>
              <w:t xml:space="preserve">133.5</w:t>
            </w:r>
          </w:p>
        </w:tc>
      </w:tr>
      <w:tr>
        <w:tc>
          <w:tcPr>
            <w:tcW w:type="dxa" w:w="0"/>
            <w:tcMar>
              <w:top w:type="dxa" w:w="60"/>
              <w:left w:type="dxa" w:w="90"/>
              <w:bottom w:type="dxa" w:w="60"/>
              <w:right w:type="dxa" w:w="90"/>
            </w:tcMar>
          </w:tcPr>
          <w:p>
            <w:pPr>
              <w:spacing w:after="0" w:line="260"/>
              <w:jc w:val="left"/>
            </w:pPr>
            <w:r>
              <w:rPr>
                <w:sz w:val="19"/>
                <w:szCs w:val="19"/>
              </w:rPr>
              <w:t xml:space="preserve">Afternoon (14–19)</w:t>
            </w:r>
          </w:p>
        </w:tc>
        <w:tc>
          <w:tcPr>
            <w:tcW w:type="dxa" w:w="0"/>
            <w:tcMar>
              <w:top w:type="dxa" w:w="60"/>
              <w:left w:type="dxa" w:w="90"/>
              <w:bottom w:type="dxa" w:w="60"/>
              <w:right w:type="dxa" w:w="90"/>
            </w:tcMar>
          </w:tcPr>
          <w:p>
            <w:pPr>
              <w:spacing w:after="0" w:line="260"/>
              <w:jc w:val="right"/>
            </w:pPr>
            <w:r>
              <w:rPr>
                <w:sz w:val="19"/>
                <w:szCs w:val="19"/>
              </w:rPr>
              <w:t xml:space="preserve">205.8</w:t>
            </w:r>
          </w:p>
        </w:tc>
        <w:tc>
          <w:tcPr>
            <w:tcW w:type="dxa" w:w="0"/>
            <w:tcMar>
              <w:top w:type="dxa" w:w="60"/>
              <w:left w:type="dxa" w:w="90"/>
              <w:bottom w:type="dxa" w:w="60"/>
              <w:right w:type="dxa" w:w="90"/>
            </w:tcMar>
          </w:tcPr>
          <w:p>
            <w:pPr>
              <w:spacing w:after="0" w:line="260"/>
              <w:jc w:val="right"/>
            </w:pPr>
            <w:r>
              <w:rPr>
                <w:sz w:val="19"/>
                <w:szCs w:val="19"/>
              </w:rPr>
              <w:t xml:space="preserve">326.0</w:t>
            </w:r>
          </w:p>
        </w:tc>
      </w:tr>
      <w:tr>
        <w:tc>
          <w:tcPr>
            <w:tcW w:type="dxa" w:w="0"/>
            <w:tcMar>
              <w:top w:type="dxa" w:w="60"/>
              <w:left w:type="dxa" w:w="90"/>
              <w:bottom w:type="dxa" w:w="60"/>
              <w:right w:type="dxa" w:w="90"/>
            </w:tcMar>
          </w:tcPr>
          <w:p>
            <w:pPr>
              <w:spacing w:after="0" w:line="260"/>
              <w:jc w:val="left"/>
            </w:pPr>
            <w:r>
              <w:rPr>
                <w:sz w:val="19"/>
                <w:szCs w:val="19"/>
              </w:rPr>
              <w:t xml:space="preserve">Evening (20–23)</w:t>
            </w:r>
          </w:p>
        </w:tc>
        <w:tc>
          <w:tcPr>
            <w:tcW w:type="dxa" w:w="0"/>
            <w:tcMar>
              <w:top w:type="dxa" w:w="60"/>
              <w:left w:type="dxa" w:w="90"/>
              <w:bottom w:type="dxa" w:w="60"/>
              <w:right w:type="dxa" w:w="90"/>
            </w:tcMar>
          </w:tcPr>
          <w:p>
            <w:pPr>
              <w:spacing w:after="0" w:line="260"/>
              <w:jc w:val="right"/>
            </w:pPr>
            <w:r>
              <w:rPr>
                <w:sz w:val="19"/>
                <w:szCs w:val="19"/>
              </w:rPr>
              <w:t xml:space="preserve">119.0</w:t>
            </w:r>
          </w:p>
        </w:tc>
        <w:tc>
          <w:tcPr>
            <w:tcW w:type="dxa" w:w="0"/>
            <w:tcMar>
              <w:top w:type="dxa" w:w="60"/>
              <w:left w:type="dxa" w:w="90"/>
              <w:bottom w:type="dxa" w:w="60"/>
              <w:right w:type="dxa" w:w="90"/>
            </w:tcMar>
          </w:tcPr>
          <w:p>
            <w:pPr>
              <w:spacing w:after="0" w:line="260"/>
              <w:jc w:val="right"/>
            </w:pPr>
            <w:r>
              <w:rPr>
                <w:sz w:val="19"/>
                <w:szCs w:val="19"/>
              </w:rPr>
              <w:t xml:space="preserve">158.8</w:t>
            </w:r>
          </w:p>
        </w:tc>
      </w:tr>
    </w:tbl>
    <w:p>
      <w:pPr>
        <w:spacing w:after="200" w:before="80"/>
        <w:jc w:val="center"/>
      </w:pPr>
      <w:r>
        <w:rPr>
          <w:i/>
          <w:iCs/>
          <w:sz w:val="19"/>
          <w:szCs w:val="19"/>
        </w:rPr>
        <w:t xml:space="preserve">Table 3. Temperature sensitivity by time of day, primary specification.</w:t>
      </w:r>
    </w:p>
    <w:p>
      <w:pPr>
        <w:spacing w:after="140" w:line="300"/>
        <w:jc w:val="both"/>
      </w:pPr>
      <w:r>
        <w:rPr>
          <w:sz w:val="22"/>
          <w:szCs w:val="22"/>
        </w:rPr>
        <w:t xml:space="preserve">The heating column is the more striking result. Heating sensitivity is effectively zero overnight (3.2 MW/°C) and largest in the afternoon (326.0 MW/°C), a hundredfold difference. The interpretation is occupancy: during the night, heating systems operate on setback and occupants are asleep, so a colder night produces little additional demand; by mid-afternoon, buildings are occupied and actively heated, so the same temperature difference produces a large response. Adding these interactions improved R² by 0.0082, more than five times the gain from piecewise degree bands (0.0015), indicating that the interaction captures real structure rather than fitting noise.</w:t>
      </w:r>
    </w:p>
    <w:p>
      <w:pPr>
        <w:spacing w:after="140" w:line="300"/>
        <w:jc w:val="both"/>
      </w:pPr>
      <w:r>
        <w:rPr>
          <w:sz w:val="22"/>
          <w:szCs w:val="22"/>
        </w:rPr>
        <w:t xml:space="preserve">The cooling column should be interpreted more cautiously. The four block coefficients (201.8, 176.2, 205.8, 119.0) do not differ in a manner that can be reliably distinguished, and hot night-time hours in Spain occur almost exclusively during summer heatwaves, making that interaction cell collinear with month effects. We therefore report a strong time-of-day dependence in heating and no reliably established dependence in cooling.</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Figure from notebook Phase 10 Cell 7 — grouped bar chart of cooling and heating sensitivity by time block.]</w:t>
      </w:r>
    </w:p>
    <w:p>
      <w:pPr>
        <w:spacing w:after="200" w:before="80"/>
        <w:jc w:val="center"/>
      </w:pPr>
      <w:r>
        <w:rPr>
          <w:i/>
          <w:iCs/>
          <w:sz w:val="19"/>
          <w:szCs w:val="19"/>
        </w:rPr>
        <w:t xml:space="preserve">Figure 6. Demand sensitivity to temperature by time of day. Heating sensitivity varies by two orders of magnitude across the day; cooling sensitivity does not vary reliably.</w:t>
      </w:r>
    </w:p>
    <w:p>
      <w:pPr>
        <w:pStyle w:val="Heading3"/>
        <w:spacing w:after="100" w:before="200"/>
      </w:pPr>
      <w:r>
        <w:rPr>
          <w:b/>
          <w:bCs/>
          <w:sz w:val="23"/>
          <w:szCs w:val="23"/>
        </w:rPr>
        <w:t xml:space="preserve">3.5.3 Convexity of the cooling response</w:t>
      </w:r>
    </w:p>
    <w:p>
      <w:pPr>
        <w:spacing w:after="140" w:line="300"/>
        <w:jc w:val="both"/>
      </w:pPr>
      <w:r>
        <w:rPr>
          <w:sz w:val="22"/>
          <w:szCs w:val="22"/>
        </w:rPr>
        <w:t xml:space="preserve">The piecewise specification was estimated to test whether the cooling response steepens with temperature. The band coefficients (−29.2, 120.9, 102.5 and 353.5 MW/°C for the 18–22, 22–26, 26–30 and 30+ °C bands respectively) indicate a steeper response at high temperatures, but are not individually reliable: the first is negative, which is not physically interpretable, and the sequence is non-monotonic. This is the characteristic signature of collinearity, the bands being highly correlated with one another and with the month indicators, compounded by sparse observation counts in the extreme bands. The heating side exhibits the same pathology, with a negative coefficient on the coldest band.</w:t>
      </w:r>
    </w:p>
    <w:p>
      <w:pPr>
        <w:spacing w:after="140" w:line="300"/>
        <w:jc w:val="both"/>
      </w:pPr>
      <w:r>
        <w:rPr>
          <w:sz w:val="22"/>
          <w:szCs w:val="22"/>
        </w:rPr>
        <w:t xml:space="preserve">We therefore report the directional conclusion — that the cooling response is convex, the highest band being approximately three times the middle bands — and do not quote individual band coefficients as estimates.</w:t>
      </w:r>
    </w:p>
    <w:p>
      <w:pPr>
        <w:pStyle w:val="Heading2"/>
        <w:spacing w:after="120" w:before="240"/>
      </w:pPr>
      <w:r>
        <w:rPr>
          <w:b/>
          <w:bCs/>
          <w:sz w:val="25"/>
          <w:szCs w:val="25"/>
        </w:rPr>
        <w:t xml:space="preserve">3.6 E5 — Counterfactual scenario results</w:t>
      </w:r>
    </w:p>
    <w:p>
      <w:pPr>
        <w:spacing w:after="140" w:line="300"/>
        <w:jc w:val="both"/>
      </w:pPr>
      <w:r>
        <w:rPr>
          <w:sz w:val="22"/>
          <w:szCs w:val="22"/>
        </w:rPr>
        <w:t xml:space="preserve">Table 4 reports the predicted demand change under each warming scenario, by season and in annual mean, with 95%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4"/>
        <w:gridCol w:w="1394"/>
        <w:gridCol w:w="1991"/>
        <w:gridCol w:w="2987"/>
        <w:gridCol w:w="1593"/>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Season</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Scenario</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Change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95% CI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Change (%)</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Winter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−140.00</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[−201.81, −83.27]</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−0.48</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Winter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−275.73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[−398.75, −162.99]</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−0.94</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Winter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−404.48</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[−587.75, −236.83]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−1.38</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Spring</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−47.44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[−101.16, +3.22]</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−0.17</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Spring</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−78.11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[−185.49, +22.91]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−0.28</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Spring</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−90.82</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[−250.45, +60.13]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−0.33</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Summer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+165.79</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[+111.10, +216.14]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+0.57</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Summer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+336.87</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[+226.99, +437.78]</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+1.16</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Summer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+512.34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[+346.78, +664.01]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+1.77</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Autumn</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+19.66</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[−29.58, +67.82]</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+0.07</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Autumn</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+54.22</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[−44.36, +151.13]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+0.19</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Autumn</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+3 °C</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+103.21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[−43.71, +251.13]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+0.36</w:t>
            </w:r>
          </w:p>
        </w:tc>
      </w:tr>
      <w:tr>
        <w:tc>
          <w:tcPr>
            <w:tcW w:type="dxa" w:w="0"/>
            <w:tcMar>
              <w:top w:type="dxa" w:w="60"/>
              <w:left w:type="dxa" w:w="90"/>
              <w:bottom w:type="dxa" w:w="60"/>
              <w:right w:type="dxa" w:w="90"/>
            </w:tcMar>
          </w:tcPr>
          <w:p>
            <w:pPr>
              <w:spacing w:after="0" w:line="260"/>
              <w:jc w:val="left"/>
            </w:pPr>
            <w:r>
              <w:rPr>
                <w:b/>
                <w:bCs/>
                <w:sz w:val="19"/>
                <w:szCs w:val="19"/>
              </w:rPr>
              <w:t xml:space="preserve">Annual</w:t>
            </w:r>
          </w:p>
        </w:tc>
        <w:tc>
          <w:tcPr>
            <w:tcW w:type="dxa" w:w="0"/>
            <w:tcMar>
              <w:top w:type="dxa" w:w="60"/>
              <w:left w:type="dxa" w:w="90"/>
              <w:bottom w:type="dxa" w:w="60"/>
              <w:right w:type="dxa" w:w="90"/>
            </w:tcMar>
          </w:tcPr>
          <w:p>
            <w:pPr>
              <w:spacing w:after="0" w:line="260"/>
              <w:jc w:val="right"/>
            </w:pPr>
            <w:r>
              <w:rPr>
                <w:b/>
                <w:bCs/>
                <w:sz w:val="19"/>
                <w:szCs w:val="19"/>
              </w:rPr>
              <w:t xml:space="preserve">+1 °C</w:t>
            </w:r>
          </w:p>
        </w:tc>
        <w:tc>
          <w:tcPr>
            <w:tcW w:type="dxa" w:w="0"/>
            <w:tcMar>
              <w:top w:type="dxa" w:w="60"/>
              <w:left w:type="dxa" w:w="90"/>
              <w:bottom w:type="dxa" w:w="60"/>
              <w:right w:type="dxa" w:w="90"/>
            </w:tcMar>
          </w:tcPr>
          <w:p>
            <w:pPr>
              <w:spacing w:after="0" w:line="260"/>
              <w:jc w:val="right"/>
            </w:pPr>
            <w:r>
              <w:rPr>
                <w:b/>
                <w:bCs/>
                <w:sz w:val="19"/>
                <w:szCs w:val="19"/>
              </w:rPr>
              <w:t xml:space="preserve">+0.19</w:t>
            </w:r>
          </w:p>
        </w:tc>
        <w:tc>
          <w:tcPr>
            <w:tcW w:type="dxa" w:w="0"/>
            <w:tcMar>
              <w:top w:type="dxa" w:w="60"/>
              <w:left w:type="dxa" w:w="90"/>
              <w:bottom w:type="dxa" w:w="60"/>
              <w:right w:type="dxa" w:w="90"/>
            </w:tcMar>
          </w:tcPr>
          <w:p>
            <w:pPr>
              <w:spacing w:after="0" w:line="260"/>
              <w:jc w:val="right"/>
            </w:pPr>
            <w:r>
              <w:rPr>
                <w:b/>
                <w:bCs/>
                <w:sz w:val="19"/>
                <w:szCs w:val="19"/>
              </w:rPr>
              <w:t xml:space="preserve">[−49.77, +47.35]</w:t>
            </w:r>
          </w:p>
        </w:tc>
        <w:tc>
          <w:tcPr>
            <w:tcW w:type="dxa" w:w="0"/>
            <w:tcMar>
              <w:top w:type="dxa" w:w="60"/>
              <w:left w:type="dxa" w:w="90"/>
              <w:bottom w:type="dxa" w:w="60"/>
              <w:right w:type="dxa" w:w="90"/>
            </w:tcMar>
          </w:tcPr>
          <w:p>
            <w:pPr>
              <w:spacing w:after="0" w:line="260"/>
              <w:jc w:val="right"/>
            </w:pPr>
            <w:r>
              <w:rPr>
                <w:b/>
                <w:bCs/>
                <w:sz w:val="19"/>
                <w:szCs w:val="19"/>
              </w:rPr>
              <w:t xml:space="preserve">+0.00</w:t>
            </w:r>
          </w:p>
        </w:tc>
      </w:tr>
      <w:tr>
        <w:tc>
          <w:tcPr>
            <w:tcW w:type="dxa" w:w="0"/>
            <w:tcMar>
              <w:top w:type="dxa" w:w="60"/>
              <w:left w:type="dxa" w:w="90"/>
              <w:bottom w:type="dxa" w:w="60"/>
              <w:right w:type="dxa" w:w="90"/>
            </w:tcMar>
          </w:tcPr>
          <w:p>
            <w:pPr>
              <w:spacing w:after="0" w:line="260"/>
              <w:jc w:val="left"/>
            </w:pPr>
            <w:r>
              <w:rPr>
                <w:b/>
                <w:bCs/>
                <w:sz w:val="19"/>
                <w:szCs w:val="19"/>
              </w:rPr>
              <w:t xml:space="preserve">Annual</w:t>
            </w:r>
          </w:p>
        </w:tc>
        <w:tc>
          <w:tcPr>
            <w:tcW w:type="dxa" w:w="0"/>
            <w:tcMar>
              <w:top w:type="dxa" w:w="60"/>
              <w:left w:type="dxa" w:w="90"/>
              <w:bottom w:type="dxa" w:w="60"/>
              <w:right w:type="dxa" w:w="90"/>
            </w:tcMar>
          </w:tcPr>
          <w:p>
            <w:pPr>
              <w:spacing w:after="0" w:line="260"/>
              <w:jc w:val="right"/>
            </w:pPr>
            <w:r>
              <w:rPr>
                <w:b/>
                <w:bCs/>
                <w:sz w:val="19"/>
                <w:szCs w:val="19"/>
              </w:rPr>
              <w:t xml:space="preserve">+2 °C</w:t>
            </w:r>
          </w:p>
        </w:tc>
        <w:tc>
          <w:tcPr>
            <w:tcW w:type="dxa" w:w="0"/>
            <w:tcMar>
              <w:top w:type="dxa" w:w="60"/>
              <w:left w:type="dxa" w:w="90"/>
              <w:bottom w:type="dxa" w:w="60"/>
              <w:right w:type="dxa" w:w="90"/>
            </w:tcMar>
          </w:tcPr>
          <w:p>
            <w:pPr>
              <w:spacing w:after="0" w:line="260"/>
              <w:jc w:val="right"/>
            </w:pPr>
            <w:r>
              <w:rPr>
                <w:b/>
                <w:bCs/>
                <w:sz w:val="19"/>
                <w:szCs w:val="19"/>
              </w:rPr>
              <w:t xml:space="preserve">+10.72</w:t>
            </w:r>
          </w:p>
        </w:tc>
        <w:tc>
          <w:tcPr>
            <w:tcW w:type="dxa" w:w="0"/>
            <w:tcMar>
              <w:top w:type="dxa" w:w="60"/>
              <w:left w:type="dxa" w:w="90"/>
              <w:bottom w:type="dxa" w:w="60"/>
              <w:right w:type="dxa" w:w="90"/>
            </w:tcMar>
          </w:tcPr>
          <w:p>
            <w:pPr>
              <w:spacing w:after="0" w:line="260"/>
              <w:jc w:val="right"/>
            </w:pPr>
            <w:r>
              <w:rPr>
                <w:b/>
                <w:bCs/>
                <w:sz w:val="19"/>
                <w:szCs w:val="19"/>
              </w:rPr>
              <w:t xml:space="preserve">[−88.66, +104.34]</w:t>
            </w:r>
          </w:p>
        </w:tc>
        <w:tc>
          <w:tcPr>
            <w:tcW w:type="dxa" w:w="0"/>
            <w:tcMar>
              <w:top w:type="dxa" w:w="60"/>
              <w:left w:type="dxa" w:w="90"/>
              <w:bottom w:type="dxa" w:w="60"/>
              <w:right w:type="dxa" w:w="90"/>
            </w:tcMar>
          </w:tcPr>
          <w:p>
            <w:pPr>
              <w:spacing w:after="0" w:line="260"/>
              <w:jc w:val="right"/>
            </w:pPr>
            <w:r>
              <w:rPr>
                <w:b/>
                <w:bCs/>
                <w:sz w:val="19"/>
                <w:szCs w:val="19"/>
              </w:rPr>
              <w:t xml:space="preserve">+0.04</w:t>
            </w:r>
          </w:p>
        </w:tc>
      </w:tr>
      <w:tr>
        <w:tc>
          <w:tcPr>
            <w:tcW w:type="dxa" w:w="0"/>
            <w:tcMar>
              <w:top w:type="dxa" w:w="60"/>
              <w:left w:type="dxa" w:w="90"/>
              <w:bottom w:type="dxa" w:w="60"/>
              <w:right w:type="dxa" w:w="90"/>
            </w:tcMar>
          </w:tcPr>
          <w:p>
            <w:pPr>
              <w:spacing w:after="0" w:line="260"/>
              <w:jc w:val="left"/>
            </w:pPr>
            <w:r>
              <w:rPr>
                <w:b/>
                <w:bCs/>
                <w:sz w:val="19"/>
                <w:szCs w:val="19"/>
              </w:rPr>
              <w:t xml:space="preserve">Annual</w:t>
            </w:r>
          </w:p>
        </w:tc>
        <w:tc>
          <w:tcPr>
            <w:tcW w:type="dxa" w:w="0"/>
            <w:tcMar>
              <w:top w:type="dxa" w:w="60"/>
              <w:left w:type="dxa" w:w="90"/>
              <w:bottom w:type="dxa" w:w="60"/>
              <w:right w:type="dxa" w:w="90"/>
            </w:tcMar>
          </w:tcPr>
          <w:p>
            <w:pPr>
              <w:spacing w:after="0" w:line="260"/>
              <w:jc w:val="right"/>
            </w:pPr>
            <w:r>
              <w:rPr>
                <w:b/>
                <w:bCs/>
                <w:sz w:val="19"/>
                <w:szCs w:val="19"/>
              </w:rPr>
              <w:t xml:space="preserve">+3 °C</w:t>
            </w:r>
          </w:p>
        </w:tc>
        <w:tc>
          <w:tcPr>
            <w:tcW w:type="dxa" w:w="0"/>
            <w:tcMar>
              <w:top w:type="dxa" w:w="60"/>
              <w:left w:type="dxa" w:w="90"/>
              <w:bottom w:type="dxa" w:w="60"/>
              <w:right w:type="dxa" w:w="90"/>
            </w:tcMar>
          </w:tcPr>
          <w:p>
            <w:pPr>
              <w:spacing w:after="0" w:line="260"/>
              <w:jc w:val="right"/>
            </w:pPr>
            <w:r>
              <w:rPr>
                <w:b/>
                <w:bCs/>
                <w:sz w:val="19"/>
                <w:szCs w:val="19"/>
              </w:rPr>
              <w:t xml:space="preserve">+32.20</w:t>
            </w:r>
          </w:p>
        </w:tc>
        <w:tc>
          <w:tcPr>
            <w:tcW w:type="dxa" w:w="0"/>
            <w:tcMar>
              <w:top w:type="dxa" w:w="60"/>
              <w:left w:type="dxa" w:w="90"/>
              <w:bottom w:type="dxa" w:w="60"/>
              <w:right w:type="dxa" w:w="90"/>
            </w:tcMar>
          </w:tcPr>
          <w:p>
            <w:pPr>
              <w:spacing w:after="0" w:line="260"/>
              <w:jc w:val="right"/>
            </w:pPr>
            <w:r>
              <w:rPr>
                <w:b/>
                <w:bCs/>
                <w:sz w:val="19"/>
                <w:szCs w:val="19"/>
              </w:rPr>
              <w:t xml:space="preserve">[−116.06, +174.60]</w:t>
            </w:r>
          </w:p>
        </w:tc>
        <w:tc>
          <w:tcPr>
            <w:tcW w:type="dxa" w:w="0"/>
            <w:tcMar>
              <w:top w:type="dxa" w:w="60"/>
              <w:left w:type="dxa" w:w="90"/>
              <w:bottom w:type="dxa" w:w="60"/>
              <w:right w:type="dxa" w:w="90"/>
            </w:tcMar>
          </w:tcPr>
          <w:p>
            <w:pPr>
              <w:spacing w:after="0" w:line="260"/>
              <w:jc w:val="right"/>
            </w:pPr>
            <w:r>
              <w:rPr>
                <w:b/>
                <w:bCs/>
                <w:sz w:val="19"/>
                <w:szCs w:val="19"/>
              </w:rPr>
              <w:t xml:space="preserve">+0.11</w:t>
            </w:r>
          </w:p>
        </w:tc>
      </w:tr>
    </w:tbl>
    <w:p>
      <w:pPr>
        <w:spacing w:after="200" w:before="80"/>
        <w:jc w:val="center"/>
      </w:pPr>
      <w:r>
        <w:rPr>
          <w:i/>
          <w:iCs/>
          <w:sz w:val="19"/>
          <w:szCs w:val="19"/>
        </w:rPr>
        <w:t xml:space="preserve">Table 4. Predicted change in electricity demand under counterfactual warming, primary specification. Intervals are 95% block-bootstrap intervals from 300 refits on resampled training days. Percentages are relative to the corresponding seasonal baseline.</w:t>
      </w:r>
    </w:p>
    <w:p>
      <w:pPr>
        <w:spacing w:after="140" w:line="300"/>
        <w:jc w:val="both"/>
      </w:pPr>
      <w:r>
        <w:rPr>
          <w:sz w:val="22"/>
          <w:szCs w:val="22"/>
        </w:rPr>
        <w:t xml:space="preserve">The seasonal effects scale with warming in a manner consistent with the shape of the response curve. Summer increments are mildly convex (165.8, 171.1 and 175.5 MW for the first, second and third degree respectively), reflecting the steepening cooling response. Winter increments are mildly concave (140.0, 135.7 and 128.8 MW), reflecting saturation as progressively fewer hours remain below the balance point.</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collage of Figures from notebook Phase 8 Cell 7 — seasonal percentage change (grouped bars) and hourly response profile under +3 °C by season.]</w:t>
      </w:r>
    </w:p>
    <w:p>
      <w:pPr>
        <w:spacing w:after="200" w:before="80"/>
        <w:jc w:val="center"/>
      </w:pPr>
      <w:r>
        <w:rPr>
          <w:i/>
          <w:iCs/>
          <w:sz w:val="19"/>
          <w:szCs w:val="19"/>
        </w:rPr>
        <w:t xml:space="preserve">Figure 7. Scenario effects by season and hour. (a) Percentage change in predicted demand by season and warming level; (b) mean change in predicted demand by hour of day under +3 °C, separately by season.</w:t>
      </w:r>
    </w:p>
    <w:p>
      <w:pPr>
        <w:pStyle w:val="Heading2"/>
        <w:spacing w:after="120" w:before="240"/>
      </w:pPr>
      <w:r>
        <w:rPr>
          <w:b/>
          <w:bCs/>
          <w:sz w:val="25"/>
          <w:szCs w:val="25"/>
        </w:rPr>
        <w:t xml:space="preserve">3.7 E6 — Classification and the redistribution result</w:t>
      </w:r>
    </w:p>
    <w:p>
      <w:pPr>
        <w:spacing w:after="140" w:line="300"/>
        <w:jc w:val="both"/>
      </w:pPr>
      <w:r>
        <w:rPr>
          <w:sz w:val="22"/>
          <w:szCs w:val="22"/>
        </w:rPr>
        <w:t xml:space="preserve">Applying the confidence-interval decision rule of Section 2.11 to Table 4 gives the classification in Table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1"/>
        <w:gridCol w:w="2621"/>
        <w:gridCol w:w="2621"/>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Season</w:t>
            </w:r>
          </w:p>
        </w:tc>
        <w:tc>
          <w:tcPr>
            <w:tcW w:type="dxa" w:w="0"/>
            <w:shd w:fill="EFEFEF" w:val="clear"/>
            <w:tcMar>
              <w:top w:type="dxa" w:w="60"/>
              <w:left w:type="dxa" w:w="90"/>
              <w:bottom w:type="dxa" w:w="60"/>
              <w:right w:type="dxa" w:w="90"/>
            </w:tcMar>
          </w:tcPr>
          <w:p>
            <w:pPr>
              <w:spacing w:after="0" w:line="260"/>
              <w:jc w:val="left"/>
            </w:pPr>
            <w:r>
              <w:rPr>
                <w:b/>
                <w:bCs/>
                <w:sz w:val="19"/>
                <w:szCs w:val="19"/>
              </w:rPr>
              <w:t xml:space="preserve">+1 °C</w:t>
            </w:r>
          </w:p>
        </w:tc>
        <w:tc>
          <w:tcPr>
            <w:tcW w:type="dxa" w:w="0"/>
            <w:shd w:fill="EFEFEF" w:val="clear"/>
            <w:tcMar>
              <w:top w:type="dxa" w:w="60"/>
              <w:left w:type="dxa" w:w="90"/>
              <w:bottom w:type="dxa" w:w="60"/>
              <w:right w:type="dxa" w:w="90"/>
            </w:tcMar>
          </w:tcPr>
          <w:p>
            <w:pPr>
              <w:spacing w:after="0" w:line="260"/>
              <w:jc w:val="left"/>
            </w:pPr>
            <w:r>
              <w:rPr>
                <w:b/>
                <w:bCs/>
                <w:sz w:val="19"/>
                <w:szCs w:val="19"/>
              </w:rPr>
              <w:t xml:space="preserve">+2 °C</w:t>
            </w:r>
          </w:p>
        </w:tc>
        <w:tc>
          <w:tcPr>
            <w:tcW w:type="dxa" w:w="0"/>
            <w:shd w:fill="EFEFEF" w:val="clear"/>
            <w:tcMar>
              <w:top w:type="dxa" w:w="60"/>
              <w:left w:type="dxa" w:w="90"/>
              <w:bottom w:type="dxa" w:w="60"/>
              <w:right w:type="dxa" w:w="90"/>
            </w:tcMar>
          </w:tcPr>
          <w:p>
            <w:pPr>
              <w:spacing w:after="0" w:line="260"/>
              <w:jc w:val="left"/>
            </w:pPr>
            <w:r>
              <w:rPr>
                <w:b/>
                <w:bCs/>
                <w:sz w:val="19"/>
                <w:szCs w:val="19"/>
              </w:rPr>
              <w:t xml:space="preserve">+3 °C</w:t>
            </w:r>
          </w:p>
        </w:tc>
      </w:tr>
      <w:tr>
        <w:tc>
          <w:tcPr>
            <w:tcW w:type="dxa" w:w="0"/>
            <w:tcMar>
              <w:top w:type="dxa" w:w="60"/>
              <w:left w:type="dxa" w:w="90"/>
              <w:bottom w:type="dxa" w:w="60"/>
              <w:right w:type="dxa" w:w="90"/>
            </w:tcMar>
          </w:tcPr>
          <w:p>
            <w:pPr>
              <w:spacing w:after="0" w:line="260"/>
              <w:jc w:val="left"/>
            </w:pPr>
            <w:r>
              <w:rPr>
                <w:sz w:val="19"/>
                <w:szCs w:val="19"/>
              </w:rPr>
              <w:t xml:space="preserve">Winter</w:t>
            </w:r>
          </w:p>
        </w:tc>
        <w:tc>
          <w:tcPr>
            <w:tcW w:type="dxa" w:w="0"/>
            <w:tcMar>
              <w:top w:type="dxa" w:w="60"/>
              <w:left w:type="dxa" w:w="90"/>
              <w:bottom w:type="dxa" w:w="60"/>
              <w:right w:type="dxa" w:w="90"/>
            </w:tcMar>
          </w:tcPr>
          <w:p>
            <w:pPr>
              <w:spacing w:after="0" w:line="260"/>
              <w:jc w:val="left"/>
            </w:pPr>
            <w:r>
              <w:rPr>
                <w:sz w:val="19"/>
                <w:szCs w:val="19"/>
              </w:rPr>
              <w:t xml:space="preserve">Lower demand</w:t>
            </w:r>
          </w:p>
        </w:tc>
        <w:tc>
          <w:tcPr>
            <w:tcW w:type="dxa" w:w="0"/>
            <w:tcMar>
              <w:top w:type="dxa" w:w="60"/>
              <w:left w:type="dxa" w:w="90"/>
              <w:bottom w:type="dxa" w:w="60"/>
              <w:right w:type="dxa" w:w="90"/>
            </w:tcMar>
          </w:tcPr>
          <w:p>
            <w:pPr>
              <w:spacing w:after="0" w:line="260"/>
              <w:jc w:val="left"/>
            </w:pPr>
            <w:r>
              <w:rPr>
                <w:sz w:val="19"/>
                <w:szCs w:val="19"/>
              </w:rPr>
              <w:t xml:space="preserve">Lower demand</w:t>
            </w:r>
          </w:p>
        </w:tc>
        <w:tc>
          <w:tcPr>
            <w:tcW w:type="dxa" w:w="0"/>
            <w:tcMar>
              <w:top w:type="dxa" w:w="60"/>
              <w:left w:type="dxa" w:w="90"/>
              <w:bottom w:type="dxa" w:w="60"/>
              <w:right w:type="dxa" w:w="90"/>
            </w:tcMar>
          </w:tcPr>
          <w:p>
            <w:pPr>
              <w:spacing w:after="0" w:line="260"/>
              <w:jc w:val="left"/>
            </w:pPr>
            <w:r>
              <w:rPr>
                <w:sz w:val="19"/>
                <w:szCs w:val="19"/>
              </w:rPr>
              <w:t xml:space="preserve">Lower demand</w:t>
            </w:r>
          </w:p>
        </w:tc>
      </w:tr>
      <w:tr>
        <w:tc>
          <w:tcPr>
            <w:tcW w:type="dxa" w:w="0"/>
            <w:tcMar>
              <w:top w:type="dxa" w:w="60"/>
              <w:left w:type="dxa" w:w="90"/>
              <w:bottom w:type="dxa" w:w="60"/>
              <w:right w:type="dxa" w:w="90"/>
            </w:tcMar>
          </w:tcPr>
          <w:p>
            <w:pPr>
              <w:spacing w:after="0" w:line="260"/>
              <w:jc w:val="left"/>
            </w:pPr>
            <w:r>
              <w:rPr>
                <w:sz w:val="19"/>
                <w:szCs w:val="19"/>
              </w:rPr>
              <w:t xml:space="preserve">Spring</w:t>
            </w:r>
          </w:p>
        </w:tc>
        <w:tc>
          <w:tcPr>
            <w:tcW w:type="dxa" w:w="0"/>
            <w:tcMar>
              <w:top w:type="dxa" w:w="60"/>
              <w:left w:type="dxa" w:w="90"/>
              <w:bottom w:type="dxa" w:w="60"/>
              <w:right w:type="dxa" w:w="90"/>
            </w:tcMar>
          </w:tcPr>
          <w:p>
            <w:pPr>
              <w:spacing w:after="0" w:line="260"/>
              <w:jc w:val="left"/>
            </w:pPr>
            <w:r>
              <w:rPr>
                <w:sz w:val="19"/>
                <w:szCs w:val="19"/>
              </w:rPr>
              <w:t xml:space="preserve">No detectable change</w:t>
            </w:r>
          </w:p>
        </w:tc>
        <w:tc>
          <w:tcPr>
            <w:tcW w:type="dxa" w:w="0"/>
            <w:tcMar>
              <w:top w:type="dxa" w:w="60"/>
              <w:left w:type="dxa" w:w="90"/>
              <w:bottom w:type="dxa" w:w="60"/>
              <w:right w:type="dxa" w:w="90"/>
            </w:tcMar>
          </w:tcPr>
          <w:p>
            <w:pPr>
              <w:spacing w:after="0" w:line="260"/>
              <w:jc w:val="left"/>
            </w:pPr>
            <w:r>
              <w:rPr>
                <w:sz w:val="19"/>
                <w:szCs w:val="19"/>
              </w:rPr>
              <w:t xml:space="preserve">No detectable change</w:t>
            </w:r>
          </w:p>
        </w:tc>
        <w:tc>
          <w:tcPr>
            <w:tcW w:type="dxa" w:w="0"/>
            <w:tcMar>
              <w:top w:type="dxa" w:w="60"/>
              <w:left w:type="dxa" w:w="90"/>
              <w:bottom w:type="dxa" w:w="60"/>
              <w:right w:type="dxa" w:w="90"/>
            </w:tcMar>
          </w:tcPr>
          <w:p>
            <w:pPr>
              <w:spacing w:after="0" w:line="260"/>
              <w:jc w:val="left"/>
            </w:pPr>
            <w:r>
              <w:rPr>
                <w:sz w:val="19"/>
                <w:szCs w:val="19"/>
              </w:rPr>
              <w:t xml:space="preserve">No detectable change</w:t>
            </w:r>
          </w:p>
        </w:tc>
      </w:tr>
      <w:tr>
        <w:tc>
          <w:tcPr>
            <w:tcW w:type="dxa" w:w="0"/>
            <w:tcMar>
              <w:top w:type="dxa" w:w="60"/>
              <w:left w:type="dxa" w:w="90"/>
              <w:bottom w:type="dxa" w:w="60"/>
              <w:right w:type="dxa" w:w="90"/>
            </w:tcMar>
          </w:tcPr>
          <w:p>
            <w:pPr>
              <w:spacing w:after="0" w:line="260"/>
              <w:jc w:val="left"/>
            </w:pPr>
            <w:r>
              <w:rPr>
                <w:sz w:val="19"/>
                <w:szCs w:val="19"/>
              </w:rPr>
              <w:t xml:space="preserve">Summer</w:t>
            </w:r>
          </w:p>
        </w:tc>
        <w:tc>
          <w:tcPr>
            <w:tcW w:type="dxa" w:w="0"/>
            <w:tcMar>
              <w:top w:type="dxa" w:w="60"/>
              <w:left w:type="dxa" w:w="90"/>
              <w:bottom w:type="dxa" w:w="60"/>
              <w:right w:type="dxa" w:w="90"/>
            </w:tcMar>
          </w:tcPr>
          <w:p>
            <w:pPr>
              <w:spacing w:after="0" w:line="260"/>
              <w:jc w:val="left"/>
            </w:pPr>
            <w:r>
              <w:rPr>
                <w:sz w:val="19"/>
                <w:szCs w:val="19"/>
              </w:rPr>
              <w:t xml:space="preserve">Higher demand</w:t>
            </w:r>
          </w:p>
        </w:tc>
        <w:tc>
          <w:tcPr>
            <w:tcW w:type="dxa" w:w="0"/>
            <w:tcMar>
              <w:top w:type="dxa" w:w="60"/>
              <w:left w:type="dxa" w:w="90"/>
              <w:bottom w:type="dxa" w:w="60"/>
              <w:right w:type="dxa" w:w="90"/>
            </w:tcMar>
          </w:tcPr>
          <w:p>
            <w:pPr>
              <w:spacing w:after="0" w:line="260"/>
              <w:jc w:val="left"/>
            </w:pPr>
            <w:r>
              <w:rPr>
                <w:sz w:val="19"/>
                <w:szCs w:val="19"/>
              </w:rPr>
              <w:t xml:space="preserve">Higher demand</w:t>
            </w:r>
          </w:p>
        </w:tc>
        <w:tc>
          <w:tcPr>
            <w:tcW w:type="dxa" w:w="0"/>
            <w:tcMar>
              <w:top w:type="dxa" w:w="60"/>
              <w:left w:type="dxa" w:w="90"/>
              <w:bottom w:type="dxa" w:w="60"/>
              <w:right w:type="dxa" w:w="90"/>
            </w:tcMar>
          </w:tcPr>
          <w:p>
            <w:pPr>
              <w:spacing w:after="0" w:line="260"/>
              <w:jc w:val="left"/>
            </w:pPr>
            <w:r>
              <w:rPr>
                <w:sz w:val="19"/>
                <w:szCs w:val="19"/>
              </w:rPr>
              <w:t xml:space="preserve">Higher demand</w:t>
            </w:r>
          </w:p>
        </w:tc>
      </w:tr>
      <w:tr>
        <w:tc>
          <w:tcPr>
            <w:tcW w:type="dxa" w:w="0"/>
            <w:tcMar>
              <w:top w:type="dxa" w:w="60"/>
              <w:left w:type="dxa" w:w="90"/>
              <w:bottom w:type="dxa" w:w="60"/>
              <w:right w:type="dxa" w:w="90"/>
            </w:tcMar>
          </w:tcPr>
          <w:p>
            <w:pPr>
              <w:spacing w:after="0" w:line="260"/>
              <w:jc w:val="left"/>
            </w:pPr>
            <w:r>
              <w:rPr>
                <w:sz w:val="19"/>
                <w:szCs w:val="19"/>
              </w:rPr>
              <w:t xml:space="preserve">Autumn</w:t>
            </w:r>
          </w:p>
        </w:tc>
        <w:tc>
          <w:tcPr>
            <w:tcW w:type="dxa" w:w="0"/>
            <w:tcMar>
              <w:top w:type="dxa" w:w="60"/>
              <w:left w:type="dxa" w:w="90"/>
              <w:bottom w:type="dxa" w:w="60"/>
              <w:right w:type="dxa" w:w="90"/>
            </w:tcMar>
          </w:tcPr>
          <w:p>
            <w:pPr>
              <w:spacing w:after="0" w:line="260"/>
              <w:jc w:val="left"/>
            </w:pPr>
            <w:r>
              <w:rPr>
                <w:sz w:val="19"/>
                <w:szCs w:val="19"/>
              </w:rPr>
              <w:t xml:space="preserve">No detectable change</w:t>
            </w:r>
          </w:p>
        </w:tc>
        <w:tc>
          <w:tcPr>
            <w:tcW w:type="dxa" w:w="0"/>
            <w:tcMar>
              <w:top w:type="dxa" w:w="60"/>
              <w:left w:type="dxa" w:w="90"/>
              <w:bottom w:type="dxa" w:w="60"/>
              <w:right w:type="dxa" w:w="90"/>
            </w:tcMar>
          </w:tcPr>
          <w:p>
            <w:pPr>
              <w:spacing w:after="0" w:line="260"/>
              <w:jc w:val="left"/>
            </w:pPr>
            <w:r>
              <w:rPr>
                <w:sz w:val="19"/>
                <w:szCs w:val="19"/>
              </w:rPr>
              <w:t xml:space="preserve">No detectable change</w:t>
            </w:r>
          </w:p>
        </w:tc>
        <w:tc>
          <w:tcPr>
            <w:tcW w:type="dxa" w:w="0"/>
            <w:tcMar>
              <w:top w:type="dxa" w:w="60"/>
              <w:left w:type="dxa" w:w="90"/>
              <w:bottom w:type="dxa" w:w="60"/>
              <w:right w:type="dxa" w:w="90"/>
            </w:tcMar>
          </w:tcPr>
          <w:p>
            <w:pPr>
              <w:spacing w:after="0" w:line="260"/>
              <w:jc w:val="left"/>
            </w:pPr>
            <w:r>
              <w:rPr>
                <w:sz w:val="19"/>
                <w:szCs w:val="19"/>
              </w:rPr>
              <w:t xml:space="preserve">No detectable change</w:t>
            </w:r>
          </w:p>
        </w:tc>
      </w:tr>
    </w:tbl>
    <w:p>
      <w:pPr>
        <w:spacing w:after="200" w:before="80"/>
        <w:jc w:val="center"/>
      </w:pPr>
      <w:r>
        <w:rPr>
          <w:i/>
          <w:iCs/>
          <w:sz w:val="19"/>
          <w:szCs w:val="19"/>
        </w:rPr>
        <w:t xml:space="preserve">Table 5. Classification of the demand response by season and warming scenario. Counts: 3 higher, 3 lower, 6 no detectable change.</w:t>
      </w:r>
    </w:p>
    <w:p>
      <w:pPr>
        <w:spacing w:after="140" w:line="300"/>
        <w:jc w:val="both"/>
      </w:pPr>
      <w:r>
        <w:rPr>
          <w:sz w:val="22"/>
          <w:szCs w:val="22"/>
        </w:rPr>
        <w:t xml:space="preserve">Only winter and summer show effects distinguishable from zero, and they do so consistently at all three warming levels. Spring and autumn are not detectable. This is a more conservative outcome than an earlier version of the analysis produced, in which spring was classified as lower demand; the wider intervals obtained from refit-based bootstrapping dissolved that claim, correctly.</w:t>
      </w:r>
    </w:p>
    <w:p>
      <w:pPr>
        <w:spacing w:after="140" w:line="300"/>
        <w:jc w:val="both"/>
      </w:pPr>
      <w:r>
        <w:rPr>
          <w:sz w:val="22"/>
          <w:szCs w:val="22"/>
        </w:rPr>
        <w:t xml:space="preserve">Table 6 sets the annual result against the seasonal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1310"/>
        <w:gridCol w:w="1591"/>
        <w:gridCol w:w="1591"/>
        <w:gridCol w:w="1685"/>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Scenario</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Annual mean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Detectable</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Increases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Decreases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Gross movement (MW)</w:t>
            </w:r>
          </w:p>
        </w:tc>
      </w:tr>
      <w:tr>
        <w:tc>
          <w:tcPr>
            <w:tcW w:type="dxa" w:w="0"/>
            <w:tcMar>
              <w:top w:type="dxa" w:w="60"/>
              <w:left w:type="dxa" w:w="90"/>
              <w:bottom w:type="dxa" w:w="60"/>
              <w:right w:type="dxa" w:w="90"/>
            </w:tcMar>
          </w:tcPr>
          <w:p>
            <w:pPr>
              <w:spacing w:after="0" w:line="260"/>
              <w:jc w:val="left"/>
            </w:pPr>
            <w:r>
              <w:rPr>
                <w:sz w:val="19"/>
                <w:szCs w:val="19"/>
              </w:rPr>
              <w:t xml:space="preserve">+1 °C</w:t>
            </w:r>
          </w:p>
        </w:tc>
        <w:tc>
          <w:tcPr>
            <w:tcW w:type="dxa" w:w="0"/>
            <w:tcMar>
              <w:top w:type="dxa" w:w="60"/>
              <w:left w:type="dxa" w:w="90"/>
              <w:bottom w:type="dxa" w:w="60"/>
              <w:right w:type="dxa" w:w="90"/>
            </w:tcMar>
          </w:tcPr>
          <w:p>
            <w:pPr>
              <w:spacing w:after="0" w:line="260"/>
              <w:jc w:val="right"/>
            </w:pPr>
            <w:r>
              <w:rPr>
                <w:sz w:val="19"/>
                <w:szCs w:val="19"/>
              </w:rPr>
              <w:t xml:space="preserve">+0.19</w:t>
            </w:r>
          </w:p>
        </w:tc>
        <w:tc>
          <w:tcPr>
            <w:tcW w:type="dxa" w:w="0"/>
            <w:tcMar>
              <w:top w:type="dxa" w:w="60"/>
              <w:left w:type="dxa" w:w="90"/>
              <w:bottom w:type="dxa" w:w="60"/>
              <w:right w:type="dxa" w:w="90"/>
            </w:tcMar>
          </w:tcPr>
          <w:p>
            <w:pPr>
              <w:spacing w:after="0" w:line="260"/>
              <w:jc w:val="right"/>
            </w:pPr>
            <w:r>
              <w:rPr>
                <w:sz w:val="19"/>
                <w:szCs w:val="19"/>
              </w:rPr>
              <w:t xml:space="preserve">No</w:t>
            </w:r>
          </w:p>
        </w:tc>
        <w:tc>
          <w:tcPr>
            <w:tcW w:type="dxa" w:w="0"/>
            <w:tcMar>
              <w:top w:type="dxa" w:w="60"/>
              <w:left w:type="dxa" w:w="90"/>
              <w:bottom w:type="dxa" w:w="60"/>
              <w:right w:type="dxa" w:w="90"/>
            </w:tcMar>
          </w:tcPr>
          <w:p>
            <w:pPr>
              <w:spacing w:after="0" w:line="260"/>
              <w:jc w:val="right"/>
            </w:pPr>
            <w:r>
              <w:rPr>
                <w:sz w:val="19"/>
                <w:szCs w:val="19"/>
              </w:rPr>
              <w:t xml:space="preserve">+185.4</w:t>
            </w:r>
          </w:p>
        </w:tc>
        <w:tc>
          <w:tcPr>
            <w:tcW w:type="dxa" w:w="0"/>
            <w:tcMar>
              <w:top w:type="dxa" w:w="60"/>
              <w:left w:type="dxa" w:w="90"/>
              <w:bottom w:type="dxa" w:w="60"/>
              <w:right w:type="dxa" w:w="90"/>
            </w:tcMar>
          </w:tcPr>
          <w:p>
            <w:pPr>
              <w:spacing w:after="0" w:line="260"/>
              <w:jc w:val="right"/>
            </w:pPr>
            <w:r>
              <w:rPr>
                <w:sz w:val="19"/>
                <w:szCs w:val="19"/>
              </w:rPr>
              <w:t xml:space="preserve">−187.4</w:t>
            </w:r>
          </w:p>
        </w:tc>
        <w:tc>
          <w:tcPr>
            <w:tcW w:type="dxa" w:w="0"/>
            <w:tcMar>
              <w:top w:type="dxa" w:w="60"/>
              <w:left w:type="dxa" w:w="90"/>
              <w:bottom w:type="dxa" w:w="60"/>
              <w:right w:type="dxa" w:w="90"/>
            </w:tcMar>
          </w:tcPr>
          <w:p>
            <w:pPr>
              <w:spacing w:after="0" w:line="260"/>
              <w:jc w:val="right"/>
            </w:pPr>
            <w:r>
              <w:rPr>
                <w:sz w:val="19"/>
                <w:szCs w:val="19"/>
              </w:rPr>
              <w:t xml:space="preserve">372.9</w:t>
            </w:r>
          </w:p>
        </w:tc>
      </w:tr>
      <w:tr>
        <w:tc>
          <w:tcPr>
            <w:tcW w:type="dxa" w:w="0"/>
            <w:tcMar>
              <w:top w:type="dxa" w:w="60"/>
              <w:left w:type="dxa" w:w="90"/>
              <w:bottom w:type="dxa" w:w="60"/>
              <w:right w:type="dxa" w:w="90"/>
            </w:tcMar>
          </w:tcPr>
          <w:p>
            <w:pPr>
              <w:spacing w:after="0" w:line="260"/>
              <w:jc w:val="left"/>
            </w:pPr>
            <w:r>
              <w:rPr>
                <w:sz w:val="19"/>
                <w:szCs w:val="19"/>
              </w:rPr>
              <w:t xml:space="preserve">+2 °C</w:t>
            </w:r>
          </w:p>
        </w:tc>
        <w:tc>
          <w:tcPr>
            <w:tcW w:type="dxa" w:w="0"/>
            <w:tcMar>
              <w:top w:type="dxa" w:w="60"/>
              <w:left w:type="dxa" w:w="90"/>
              <w:bottom w:type="dxa" w:w="60"/>
              <w:right w:type="dxa" w:w="90"/>
            </w:tcMar>
          </w:tcPr>
          <w:p>
            <w:pPr>
              <w:spacing w:after="0" w:line="260"/>
              <w:jc w:val="right"/>
            </w:pPr>
            <w:r>
              <w:rPr>
                <w:sz w:val="19"/>
                <w:szCs w:val="19"/>
              </w:rPr>
              <w:t xml:space="preserve">+10.72</w:t>
            </w:r>
          </w:p>
        </w:tc>
        <w:tc>
          <w:tcPr>
            <w:tcW w:type="dxa" w:w="0"/>
            <w:tcMar>
              <w:top w:type="dxa" w:w="60"/>
              <w:left w:type="dxa" w:w="90"/>
              <w:bottom w:type="dxa" w:w="60"/>
              <w:right w:type="dxa" w:w="90"/>
            </w:tcMar>
          </w:tcPr>
          <w:p>
            <w:pPr>
              <w:spacing w:after="0" w:line="260"/>
              <w:jc w:val="right"/>
            </w:pPr>
            <w:r>
              <w:rPr>
                <w:sz w:val="19"/>
                <w:szCs w:val="19"/>
              </w:rPr>
              <w:t xml:space="preserve">No</w:t>
            </w:r>
          </w:p>
        </w:tc>
        <w:tc>
          <w:tcPr>
            <w:tcW w:type="dxa" w:w="0"/>
            <w:tcMar>
              <w:top w:type="dxa" w:w="60"/>
              <w:left w:type="dxa" w:w="90"/>
              <w:bottom w:type="dxa" w:w="60"/>
              <w:right w:type="dxa" w:w="90"/>
            </w:tcMar>
          </w:tcPr>
          <w:p>
            <w:pPr>
              <w:spacing w:after="0" w:line="260"/>
              <w:jc w:val="right"/>
            </w:pPr>
            <w:r>
              <w:rPr>
                <w:sz w:val="19"/>
                <w:szCs w:val="19"/>
              </w:rPr>
              <w:t xml:space="preserve">+391.1</w:t>
            </w:r>
          </w:p>
        </w:tc>
        <w:tc>
          <w:tcPr>
            <w:tcW w:type="dxa" w:w="0"/>
            <w:tcMar>
              <w:top w:type="dxa" w:w="60"/>
              <w:left w:type="dxa" w:w="90"/>
              <w:bottom w:type="dxa" w:w="60"/>
              <w:right w:type="dxa" w:w="90"/>
            </w:tcMar>
          </w:tcPr>
          <w:p>
            <w:pPr>
              <w:spacing w:after="0" w:line="260"/>
              <w:jc w:val="right"/>
            </w:pPr>
            <w:r>
              <w:rPr>
                <w:sz w:val="19"/>
                <w:szCs w:val="19"/>
              </w:rPr>
              <w:t xml:space="preserve">−353.8</w:t>
            </w:r>
          </w:p>
        </w:tc>
        <w:tc>
          <w:tcPr>
            <w:tcW w:type="dxa" w:w="0"/>
            <w:tcMar>
              <w:top w:type="dxa" w:w="60"/>
              <w:left w:type="dxa" w:w="90"/>
              <w:bottom w:type="dxa" w:w="60"/>
              <w:right w:type="dxa" w:w="90"/>
            </w:tcMar>
          </w:tcPr>
          <w:p>
            <w:pPr>
              <w:spacing w:after="0" w:line="260"/>
              <w:jc w:val="right"/>
            </w:pPr>
            <w:r>
              <w:rPr>
                <w:sz w:val="19"/>
                <w:szCs w:val="19"/>
              </w:rPr>
              <w:t xml:space="preserve">744.9</w:t>
            </w:r>
          </w:p>
        </w:tc>
      </w:tr>
      <w:tr>
        <w:tc>
          <w:tcPr>
            <w:tcW w:type="dxa" w:w="0"/>
            <w:tcMar>
              <w:top w:type="dxa" w:w="60"/>
              <w:left w:type="dxa" w:w="90"/>
              <w:bottom w:type="dxa" w:w="60"/>
              <w:right w:type="dxa" w:w="90"/>
            </w:tcMar>
          </w:tcPr>
          <w:p>
            <w:pPr>
              <w:spacing w:after="0" w:line="260"/>
              <w:jc w:val="left"/>
            </w:pPr>
            <w:r>
              <w:rPr>
                <w:sz w:val="19"/>
                <w:szCs w:val="19"/>
              </w:rPr>
              <w:t xml:space="preserve">+3 °C</w:t>
            </w:r>
          </w:p>
        </w:tc>
        <w:tc>
          <w:tcPr>
            <w:tcW w:type="dxa" w:w="0"/>
            <w:tcMar>
              <w:top w:type="dxa" w:w="60"/>
              <w:left w:type="dxa" w:w="90"/>
              <w:bottom w:type="dxa" w:w="60"/>
              <w:right w:type="dxa" w:w="90"/>
            </w:tcMar>
          </w:tcPr>
          <w:p>
            <w:pPr>
              <w:spacing w:after="0" w:line="260"/>
              <w:jc w:val="right"/>
            </w:pPr>
            <w:r>
              <w:rPr>
                <w:sz w:val="19"/>
                <w:szCs w:val="19"/>
              </w:rPr>
              <w:t xml:space="preserve">+32.20</w:t>
            </w:r>
          </w:p>
        </w:tc>
        <w:tc>
          <w:tcPr>
            <w:tcW w:type="dxa" w:w="0"/>
            <w:tcMar>
              <w:top w:type="dxa" w:w="60"/>
              <w:left w:type="dxa" w:w="90"/>
              <w:bottom w:type="dxa" w:w="60"/>
              <w:right w:type="dxa" w:w="90"/>
            </w:tcMar>
          </w:tcPr>
          <w:p>
            <w:pPr>
              <w:spacing w:after="0" w:line="260"/>
              <w:jc w:val="right"/>
            </w:pPr>
            <w:r>
              <w:rPr>
                <w:sz w:val="19"/>
                <w:szCs w:val="19"/>
              </w:rPr>
              <w:t xml:space="preserve">No</w:t>
            </w:r>
          </w:p>
        </w:tc>
        <w:tc>
          <w:tcPr>
            <w:tcW w:type="dxa" w:w="0"/>
            <w:tcMar>
              <w:top w:type="dxa" w:w="60"/>
              <w:left w:type="dxa" w:w="90"/>
              <w:bottom w:type="dxa" w:w="60"/>
              <w:right w:type="dxa" w:w="90"/>
            </w:tcMar>
          </w:tcPr>
          <w:p>
            <w:pPr>
              <w:spacing w:after="0" w:line="260"/>
              <w:jc w:val="right"/>
            </w:pPr>
            <w:r>
              <w:rPr>
                <w:sz w:val="19"/>
                <w:szCs w:val="19"/>
              </w:rPr>
              <w:t xml:space="preserve">+615.5</w:t>
            </w:r>
          </w:p>
        </w:tc>
        <w:tc>
          <w:tcPr>
            <w:tcW w:type="dxa" w:w="0"/>
            <w:tcMar>
              <w:top w:type="dxa" w:w="60"/>
              <w:left w:type="dxa" w:w="90"/>
              <w:bottom w:type="dxa" w:w="60"/>
              <w:right w:type="dxa" w:w="90"/>
            </w:tcMar>
          </w:tcPr>
          <w:p>
            <w:pPr>
              <w:spacing w:after="0" w:line="260"/>
              <w:jc w:val="right"/>
            </w:pPr>
            <w:r>
              <w:rPr>
                <w:sz w:val="19"/>
                <w:szCs w:val="19"/>
              </w:rPr>
              <w:t xml:space="preserve">−495.3</w:t>
            </w:r>
          </w:p>
        </w:tc>
        <w:tc>
          <w:tcPr>
            <w:tcW w:type="dxa" w:w="0"/>
            <w:tcMar>
              <w:top w:type="dxa" w:w="60"/>
              <w:left w:type="dxa" w:w="90"/>
              <w:bottom w:type="dxa" w:w="60"/>
              <w:right w:type="dxa" w:w="90"/>
            </w:tcMar>
          </w:tcPr>
          <w:p>
            <w:pPr>
              <w:spacing w:after="0" w:line="260"/>
              <w:jc w:val="right"/>
            </w:pPr>
            <w:r>
              <w:rPr>
                <w:sz w:val="19"/>
                <w:szCs w:val="19"/>
              </w:rPr>
              <w:t xml:space="preserve">1110.8</w:t>
            </w:r>
          </w:p>
        </w:tc>
      </w:tr>
    </w:tbl>
    <w:p>
      <w:pPr>
        <w:spacing w:after="200" w:before="80"/>
        <w:jc w:val="center"/>
      </w:pPr>
      <w:r>
        <w:rPr>
          <w:i/>
          <w:iCs/>
          <w:sz w:val="19"/>
          <w:szCs w:val="19"/>
        </w:rPr>
        <w:t xml:space="preserve">Table 6. Annual net change against gross seasonal redistribution.</w:t>
      </w:r>
    </w:p>
    <w:p>
      <w:pPr>
        <w:spacing w:after="140" w:line="300"/>
        <w:jc w:val="both"/>
      </w:pPr>
      <w:r>
        <w:rPr>
          <w:sz w:val="22"/>
          <w:szCs w:val="22"/>
        </w:rPr>
        <w:t xml:space="preserve">This is the central finding of the study. At every warming level the annual mean change is statistically indistinguishable from zero — at +1 °C the point estimate is +0.19 MW against a mean demand of 28,544 MW — while the seasonal changes are individually significant and substantial. At +3 °C, approximately 1,111 MW of demand, some 3.9% of mean demand, is relocated from winter to summer, and the annual average conceals this entirely. Hypothesis H3 is supported.</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Figure from notebook Phase 9 Cell 2 — seasonal effects with 95% confidence intervals, coloured by classification, plus percentage-change panel.]</w:t>
      </w:r>
    </w:p>
    <w:p>
      <w:pPr>
        <w:spacing w:after="200" w:before="80"/>
        <w:jc w:val="center"/>
      </w:pPr>
      <w:r>
        <w:rPr>
          <w:i/>
          <w:iCs/>
          <w:sz w:val="19"/>
          <w:szCs w:val="19"/>
        </w:rPr>
        <w:t xml:space="preserve">Figure 8. Classification of seasonal demand response with 95% confidence intervals. Bars whose intervals cross zero are classified as showing no detectable change.</w:t>
      </w:r>
    </w:p>
    <w:p>
      <w:pPr>
        <w:pStyle w:val="Heading2"/>
        <w:spacing w:after="120" w:before="240"/>
      </w:pPr>
      <w:r>
        <w:rPr>
          <w:b/>
          <w:bCs/>
          <w:sz w:val="25"/>
          <w:szCs w:val="25"/>
        </w:rPr>
        <w:t xml:space="preserve">3.8 E8 — Robustness</w:t>
      </w:r>
    </w:p>
    <w:p>
      <w:pPr>
        <w:spacing w:after="140" w:line="300"/>
        <w:jc w:val="both"/>
      </w:pPr>
      <w:r>
        <w:rPr>
          <w:sz w:val="22"/>
          <w:szCs w:val="22"/>
        </w:rPr>
        <w:t xml:space="preserve">Three robustness checks were performed on the demand results.</w:t>
      </w:r>
    </w:p>
    <w:p>
      <w:pPr>
        <w:spacing w:after="140" w:line="300"/>
        <w:jc w:val="both"/>
      </w:pPr>
      <w:r>
        <w:rPr>
          <w:sz w:val="22"/>
          <w:szCs w:val="22"/>
        </w:rPr>
        <w:t xml:space="preserve">Balance-point sensitivity. Re-estimating with balance points of 16, 18 and 20 °C produced +3 °C effects of +61.8, +62.2 and +61.7 MW respectively, with R² varying by less than 0.0003. The result is insensitive to this choice, as expected given that raw temperature is also included as a feature.</w:t>
      </w:r>
    </w:p>
    <w:p>
      <w:pPr>
        <w:spacing w:after="140" w:line="300"/>
        <w:jc w:val="both"/>
      </w:pPr>
      <w:r>
        <w:rPr>
          <w:sz w:val="22"/>
          <w:szCs w:val="22"/>
        </w:rPr>
        <w:t xml:space="preserve">Calendar-control sensitivity. Removing month and season indicators reduced the estimated +3 °C effect from +61.6 to +39.4 MW. The direction of this change is informative: August in Spain is simultaneously the hottest month and one of reduced industrial activity, so without calendar controls the model cannot separate the effect of heat from the effect of the summer shutdown, and temperature absorbs part of the negative holiday effect. Retaining the controls is therefore the better-specified choice, supported by evidence rather than assumption.</w:t>
      </w:r>
    </w:p>
    <w:p>
      <w:pPr>
        <w:spacing w:after="140" w:line="300"/>
        <w:jc w:val="both"/>
      </w:pPr>
      <w:r>
        <w:rPr>
          <w:sz w:val="22"/>
          <w:szCs w:val="22"/>
        </w:rPr>
        <w:t xml:space="preserve">Extrapolation. Under +3 °C, 45 test hours (0.51%) exceed the training maximum of 36.8 °C. For the random forest these hours would be systematically understated, since a tree-based model cannot predict beyond the range it has observed. The selected linear specification extrapolates, so this constraint does not bind on the reported results, but the diagnostic is reported because it motivated the choice.</w:t>
      </w:r>
    </w:p>
    <w:p>
      <w:pPr>
        <w:pStyle w:val="Heading2"/>
        <w:spacing w:after="120" w:before="240"/>
      </w:pPr>
      <w:r>
        <w:rPr>
          <w:b/>
          <w:bCs/>
          <w:sz w:val="25"/>
          <w:szCs w:val="25"/>
        </w:rPr>
        <w:t xml:space="preserve">3.9 E7 — Emission factor estimation</w:t>
      </w:r>
    </w:p>
    <w:p>
      <w:pPr>
        <w:spacing w:after="140" w:line="300"/>
        <w:jc w:val="both"/>
      </w:pPr>
      <w:r>
        <w:rPr>
          <w:sz w:val="22"/>
          <w:szCs w:val="22"/>
        </w:rPr>
        <w:t xml:space="preserve">Direct-combustion emission factors were applied to the generation-by-source columns. Three fossil columns (oil shale, peat and coal-derived gas) were present but identically zero throughout and therefore contribute nothing. Summed over the four-year period, total fossil CO₂ is 236.7 Mt, an average of approximately 59 Mt per year, implying an average emission factor of 0.236 kg CO₂/kWh. This magnitude is consistent with published estimates of mainland Spanish power-sector emissions for the period, which provides an external check on the unit conversions.</w:t>
      </w:r>
    </w:p>
    <w:p>
      <w:pPr>
        <w:spacing w:after="140" w:line="300"/>
        <w:jc w:val="both"/>
      </w:pPr>
      <w:r>
        <w:rPr>
          <w:sz w:val="22"/>
          <w:szCs w:val="22"/>
        </w:rPr>
        <w:t xml:space="preserve">The marginal factor was then estimated by the two methods of Section 2.12. First-difference regression over 35,005 consecutive-hour pairs gives 0.206 kg CO₂/kWh, with a negligible intercept (98 kg/h) and R² of 0.348. The dispatch decomposition, reported in Table 7, gives an independent estimate of 0.206 kg CO₂/kWh — agreement to three decimal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808"/>
        <w:gridCol w:w="2246"/>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Generation source</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MW per MW of demand change</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Share of response</w:t>
            </w:r>
          </w:p>
        </w:tc>
      </w:tr>
      <w:tr>
        <w:tc>
          <w:tcPr>
            <w:tcW w:type="dxa" w:w="0"/>
            <w:tcMar>
              <w:top w:type="dxa" w:w="60"/>
              <w:left w:type="dxa" w:w="90"/>
              <w:bottom w:type="dxa" w:w="60"/>
              <w:right w:type="dxa" w:w="90"/>
            </w:tcMar>
          </w:tcPr>
          <w:p>
            <w:pPr>
              <w:spacing w:after="0" w:line="260"/>
              <w:jc w:val="left"/>
            </w:pPr>
            <w:r>
              <w:rPr>
                <w:sz w:val="19"/>
                <w:szCs w:val="19"/>
              </w:rPr>
              <w:t xml:space="preserve">Hydro water reservoir</w:t>
            </w:r>
          </w:p>
        </w:tc>
        <w:tc>
          <w:tcPr>
            <w:tcW w:type="dxa" w:w="0"/>
            <w:tcMar>
              <w:top w:type="dxa" w:w="60"/>
              <w:left w:type="dxa" w:w="90"/>
              <w:bottom w:type="dxa" w:w="60"/>
              <w:right w:type="dxa" w:w="90"/>
            </w:tcMar>
          </w:tcPr>
          <w:p>
            <w:pPr>
              <w:spacing w:after="0" w:line="260"/>
              <w:jc w:val="right"/>
            </w:pPr>
            <w:r>
              <w:rPr>
                <w:sz w:val="19"/>
                <w:szCs w:val="19"/>
              </w:rPr>
              <w:t xml:space="preserve">0.295</w:t>
            </w:r>
          </w:p>
        </w:tc>
        <w:tc>
          <w:tcPr>
            <w:tcW w:type="dxa" w:w="0"/>
            <w:tcMar>
              <w:top w:type="dxa" w:w="60"/>
              <w:left w:type="dxa" w:w="90"/>
              <w:bottom w:type="dxa" w:w="60"/>
              <w:right w:type="dxa" w:w="90"/>
            </w:tcMar>
          </w:tcPr>
          <w:p>
            <w:pPr>
              <w:spacing w:after="0" w:line="260"/>
              <w:jc w:val="right"/>
            </w:pPr>
            <w:r>
              <w:rPr>
                <w:sz w:val="19"/>
                <w:szCs w:val="19"/>
              </w:rPr>
              <w:t xml:space="preserve">47.7%</w:t>
            </w:r>
          </w:p>
        </w:tc>
      </w:tr>
      <w:tr>
        <w:tc>
          <w:tcPr>
            <w:tcW w:type="dxa" w:w="0"/>
            <w:tcMar>
              <w:top w:type="dxa" w:w="60"/>
              <w:left w:type="dxa" w:w="90"/>
              <w:bottom w:type="dxa" w:w="60"/>
              <w:right w:type="dxa" w:w="90"/>
            </w:tcMar>
          </w:tcPr>
          <w:p>
            <w:pPr>
              <w:spacing w:after="0" w:line="260"/>
              <w:jc w:val="left"/>
            </w:pPr>
            <w:r>
              <w:rPr>
                <w:sz w:val="19"/>
                <w:szCs w:val="19"/>
              </w:rPr>
              <w:t xml:space="preserve">Fossil gas</w:t>
            </w:r>
          </w:p>
        </w:tc>
        <w:tc>
          <w:tcPr>
            <w:tcW w:type="dxa" w:w="0"/>
            <w:tcMar>
              <w:top w:type="dxa" w:w="60"/>
              <w:left w:type="dxa" w:w="90"/>
              <w:bottom w:type="dxa" w:w="60"/>
              <w:right w:type="dxa" w:w="90"/>
            </w:tcMar>
          </w:tcPr>
          <w:p>
            <w:pPr>
              <w:spacing w:after="0" w:line="260"/>
              <w:jc w:val="right"/>
            </w:pPr>
            <w:r>
              <w:rPr>
                <w:sz w:val="19"/>
                <w:szCs w:val="19"/>
              </w:rPr>
              <w:t xml:space="preserve">0.227</w:t>
            </w:r>
          </w:p>
        </w:tc>
        <w:tc>
          <w:tcPr>
            <w:tcW w:type="dxa" w:w="0"/>
            <w:tcMar>
              <w:top w:type="dxa" w:w="60"/>
              <w:left w:type="dxa" w:w="90"/>
              <w:bottom w:type="dxa" w:w="60"/>
              <w:right w:type="dxa" w:w="90"/>
            </w:tcMar>
          </w:tcPr>
          <w:p>
            <w:pPr>
              <w:spacing w:after="0" w:line="260"/>
              <w:jc w:val="right"/>
            </w:pPr>
            <w:r>
              <w:rPr>
                <w:sz w:val="19"/>
                <w:szCs w:val="19"/>
              </w:rPr>
              <w:t xml:space="preserve">36.7%</w:t>
            </w:r>
          </w:p>
        </w:tc>
      </w:tr>
      <w:tr>
        <w:tc>
          <w:tcPr>
            <w:tcW w:type="dxa" w:w="0"/>
            <w:tcMar>
              <w:top w:type="dxa" w:w="60"/>
              <w:left w:type="dxa" w:w="90"/>
              <w:bottom w:type="dxa" w:w="60"/>
              <w:right w:type="dxa" w:w="90"/>
            </w:tcMar>
          </w:tcPr>
          <w:p>
            <w:pPr>
              <w:spacing w:after="0" w:line="260"/>
              <w:jc w:val="left"/>
            </w:pPr>
            <w:r>
              <w:rPr>
                <w:sz w:val="19"/>
                <w:szCs w:val="19"/>
              </w:rPr>
              <w:t xml:space="preserve">Fossil hard coal</w:t>
            </w:r>
          </w:p>
        </w:tc>
        <w:tc>
          <w:tcPr>
            <w:tcW w:type="dxa" w:w="0"/>
            <w:tcMar>
              <w:top w:type="dxa" w:w="60"/>
              <w:left w:type="dxa" w:w="90"/>
              <w:bottom w:type="dxa" w:w="60"/>
              <w:right w:type="dxa" w:w="90"/>
            </w:tcMar>
          </w:tcPr>
          <w:p>
            <w:pPr>
              <w:spacing w:after="0" w:line="260"/>
              <w:jc w:val="right"/>
            </w:pPr>
            <w:r>
              <w:rPr>
                <w:sz w:val="19"/>
                <w:szCs w:val="19"/>
              </w:rPr>
              <w:t xml:space="preserve">0.111</w:t>
            </w:r>
          </w:p>
        </w:tc>
        <w:tc>
          <w:tcPr>
            <w:tcW w:type="dxa" w:w="0"/>
            <w:tcMar>
              <w:top w:type="dxa" w:w="60"/>
              <w:left w:type="dxa" w:w="90"/>
              <w:bottom w:type="dxa" w:w="60"/>
              <w:right w:type="dxa" w:w="90"/>
            </w:tcMar>
          </w:tcPr>
          <w:p>
            <w:pPr>
              <w:spacing w:after="0" w:line="260"/>
              <w:jc w:val="right"/>
            </w:pPr>
            <w:r>
              <w:rPr>
                <w:sz w:val="19"/>
                <w:szCs w:val="19"/>
              </w:rPr>
              <w:t xml:space="preserve">17.9%</w:t>
            </w:r>
          </w:p>
        </w:tc>
      </w:tr>
      <w:tr>
        <w:tc>
          <w:tcPr>
            <w:tcW w:type="dxa" w:w="0"/>
            <w:tcMar>
              <w:top w:type="dxa" w:w="60"/>
              <w:left w:type="dxa" w:w="90"/>
              <w:bottom w:type="dxa" w:w="60"/>
              <w:right w:type="dxa" w:w="90"/>
            </w:tcMar>
          </w:tcPr>
          <w:p>
            <w:pPr>
              <w:spacing w:after="0" w:line="260"/>
              <w:jc w:val="left"/>
            </w:pPr>
            <w:r>
              <w:rPr>
                <w:sz w:val="19"/>
                <w:szCs w:val="19"/>
              </w:rPr>
              <w:t xml:space="preserve">Solar</w:t>
            </w:r>
          </w:p>
        </w:tc>
        <w:tc>
          <w:tcPr>
            <w:tcW w:type="dxa" w:w="0"/>
            <w:tcMar>
              <w:top w:type="dxa" w:w="60"/>
              <w:left w:type="dxa" w:w="90"/>
              <w:bottom w:type="dxa" w:w="60"/>
              <w:right w:type="dxa" w:w="90"/>
            </w:tcMar>
          </w:tcPr>
          <w:p>
            <w:pPr>
              <w:spacing w:after="0" w:line="260"/>
              <w:jc w:val="right"/>
            </w:pPr>
            <w:r>
              <w:rPr>
                <w:sz w:val="19"/>
                <w:szCs w:val="19"/>
              </w:rPr>
              <w:t xml:space="preserve">0.069</w:t>
            </w:r>
          </w:p>
        </w:tc>
        <w:tc>
          <w:tcPr>
            <w:tcW w:type="dxa" w:w="0"/>
            <w:tcMar>
              <w:top w:type="dxa" w:w="60"/>
              <w:left w:type="dxa" w:w="90"/>
              <w:bottom w:type="dxa" w:w="60"/>
              <w:right w:type="dxa" w:w="90"/>
            </w:tcMar>
          </w:tcPr>
          <w:p>
            <w:pPr>
              <w:spacing w:after="0" w:line="260"/>
              <w:jc w:val="right"/>
            </w:pPr>
            <w:r>
              <w:rPr>
                <w:sz w:val="19"/>
                <w:szCs w:val="19"/>
              </w:rPr>
              <w:t xml:space="preserve">11.1%</w:t>
            </w:r>
          </w:p>
        </w:tc>
      </w:tr>
      <w:tr>
        <w:tc>
          <w:tcPr>
            <w:tcW w:type="dxa" w:w="0"/>
            <w:tcMar>
              <w:top w:type="dxa" w:w="60"/>
              <w:left w:type="dxa" w:w="90"/>
              <w:bottom w:type="dxa" w:w="60"/>
              <w:right w:type="dxa" w:w="90"/>
            </w:tcMar>
          </w:tcPr>
          <w:p>
            <w:pPr>
              <w:spacing w:after="0" w:line="260"/>
              <w:jc w:val="left"/>
            </w:pPr>
            <w:r>
              <w:rPr>
                <w:sz w:val="19"/>
                <w:szCs w:val="19"/>
              </w:rPr>
              <w:t xml:space="preserve">Hydro run-of-river</w:t>
            </w:r>
          </w:p>
        </w:tc>
        <w:tc>
          <w:tcPr>
            <w:tcW w:type="dxa" w:w="0"/>
            <w:tcMar>
              <w:top w:type="dxa" w:w="60"/>
              <w:left w:type="dxa" w:w="90"/>
              <w:bottom w:type="dxa" w:w="60"/>
              <w:right w:type="dxa" w:w="90"/>
            </w:tcMar>
          </w:tcPr>
          <w:p>
            <w:pPr>
              <w:spacing w:after="0" w:line="260"/>
              <w:jc w:val="right"/>
            </w:pPr>
            <w:r>
              <w:rPr>
                <w:sz w:val="19"/>
                <w:szCs w:val="19"/>
              </w:rPr>
              <w:t xml:space="preserve">0.013</w:t>
            </w:r>
          </w:p>
        </w:tc>
        <w:tc>
          <w:tcPr>
            <w:tcW w:type="dxa" w:w="0"/>
            <w:tcMar>
              <w:top w:type="dxa" w:w="60"/>
              <w:left w:type="dxa" w:w="90"/>
              <w:bottom w:type="dxa" w:w="60"/>
              <w:right w:type="dxa" w:w="90"/>
            </w:tcMar>
          </w:tcPr>
          <w:p>
            <w:pPr>
              <w:spacing w:after="0" w:line="260"/>
              <w:jc w:val="right"/>
            </w:pPr>
            <w:r>
              <w:rPr>
                <w:sz w:val="19"/>
                <w:szCs w:val="19"/>
              </w:rPr>
              <w:t xml:space="preserve">2.2%</w:t>
            </w:r>
          </w:p>
        </w:tc>
      </w:tr>
      <w:tr>
        <w:tc>
          <w:tcPr>
            <w:tcW w:type="dxa" w:w="0"/>
            <w:tcMar>
              <w:top w:type="dxa" w:w="60"/>
              <w:left w:type="dxa" w:w="90"/>
              <w:bottom w:type="dxa" w:w="60"/>
              <w:right w:type="dxa" w:w="90"/>
            </w:tcMar>
          </w:tcPr>
          <w:p>
            <w:pPr>
              <w:spacing w:after="0" w:line="260"/>
              <w:jc w:val="left"/>
            </w:pPr>
            <w:r>
              <w:rPr>
                <w:sz w:val="19"/>
                <w:szCs w:val="19"/>
              </w:rPr>
              <w:t xml:space="preserve">Fossil brown coal / lignite</w:t>
            </w:r>
          </w:p>
        </w:tc>
        <w:tc>
          <w:tcPr>
            <w:tcW w:type="dxa" w:w="0"/>
            <w:tcMar>
              <w:top w:type="dxa" w:w="60"/>
              <w:left w:type="dxa" w:w="90"/>
              <w:bottom w:type="dxa" w:w="60"/>
              <w:right w:type="dxa" w:w="90"/>
            </w:tcMar>
          </w:tcPr>
          <w:p>
            <w:pPr>
              <w:spacing w:after="0" w:line="260"/>
              <w:jc w:val="right"/>
            </w:pPr>
            <w:r>
              <w:rPr>
                <w:sz w:val="19"/>
                <w:szCs w:val="19"/>
              </w:rPr>
              <w:t xml:space="preserve">0.012</w:t>
            </w:r>
          </w:p>
        </w:tc>
        <w:tc>
          <w:tcPr>
            <w:tcW w:type="dxa" w:w="0"/>
            <w:tcMar>
              <w:top w:type="dxa" w:w="60"/>
              <w:left w:type="dxa" w:w="90"/>
              <w:bottom w:type="dxa" w:w="60"/>
              <w:right w:type="dxa" w:w="90"/>
            </w:tcMar>
          </w:tcPr>
          <w:p>
            <w:pPr>
              <w:spacing w:after="0" w:line="260"/>
              <w:jc w:val="right"/>
            </w:pPr>
            <w:r>
              <w:rPr>
                <w:sz w:val="19"/>
                <w:szCs w:val="19"/>
              </w:rPr>
              <w:t xml:space="preserve">2.0%</w:t>
            </w:r>
          </w:p>
        </w:tc>
      </w:tr>
      <w:tr>
        <w:tc>
          <w:tcPr>
            <w:tcW w:type="dxa" w:w="0"/>
            <w:tcMar>
              <w:top w:type="dxa" w:w="60"/>
              <w:left w:type="dxa" w:w="90"/>
              <w:bottom w:type="dxa" w:w="60"/>
              <w:right w:type="dxa" w:w="90"/>
            </w:tcMar>
          </w:tcPr>
          <w:p>
            <w:pPr>
              <w:spacing w:after="0" w:line="260"/>
              <w:jc w:val="left"/>
            </w:pPr>
            <w:r>
              <w:rPr>
                <w:sz w:val="19"/>
                <w:szCs w:val="19"/>
              </w:rPr>
              <w:t xml:space="preserve">Hydro pumped storage consumption</w:t>
            </w:r>
          </w:p>
        </w:tc>
        <w:tc>
          <w:tcPr>
            <w:tcW w:type="dxa" w:w="0"/>
            <w:tcMar>
              <w:top w:type="dxa" w:w="60"/>
              <w:left w:type="dxa" w:w="90"/>
              <w:bottom w:type="dxa" w:w="60"/>
              <w:right w:type="dxa" w:w="90"/>
            </w:tcMar>
          </w:tcPr>
          <w:p>
            <w:pPr>
              <w:spacing w:after="0" w:line="260"/>
              <w:jc w:val="right"/>
            </w:pPr>
            <w:r>
              <w:rPr>
                <w:sz w:val="19"/>
                <w:szCs w:val="19"/>
              </w:rPr>
              <w:t xml:space="preserve">−0.112</w:t>
            </w:r>
          </w:p>
        </w:tc>
        <w:tc>
          <w:tcPr>
            <w:tcW w:type="dxa" w:w="0"/>
            <w:tcMar>
              <w:top w:type="dxa" w:w="60"/>
              <w:left w:type="dxa" w:w="90"/>
              <w:bottom w:type="dxa" w:w="60"/>
              <w:right w:type="dxa" w:w="90"/>
            </w:tcMar>
          </w:tcPr>
          <w:p>
            <w:pPr>
              <w:spacing w:after="0" w:line="260"/>
              <w:jc w:val="right"/>
            </w:pPr>
            <w:r>
              <w:rPr>
                <w:sz w:val="19"/>
                <w:szCs w:val="19"/>
              </w:rPr>
              <w:t xml:space="preserve">−18.2%</w:t>
            </w:r>
          </w:p>
        </w:tc>
      </w:tr>
    </w:tbl>
    <w:p>
      <w:pPr>
        <w:spacing w:after="200" w:before="80"/>
        <w:jc w:val="center"/>
      </w:pPr>
      <w:r>
        <w:rPr>
          <w:i/>
          <w:iCs/>
          <w:sz w:val="19"/>
          <w:szCs w:val="19"/>
        </w:rPr>
        <w:t xml:space="preserve">Table 7. Decomposition of the marginal demand response by generation source. Fossil share 0.353; zero-carbon share 0.265; slopes sum to 0.619.</w:t>
      </w:r>
    </w:p>
    <w:p>
      <w:pPr>
        <w:spacing w:after="140" w:line="300"/>
        <w:jc w:val="both"/>
      </w:pPr>
      <w:r>
        <w:rPr>
          <w:sz w:val="22"/>
          <w:szCs w:val="22"/>
        </w:rPr>
        <w:t xml:space="preserve">Three findings follow. First, reservoir hydro is the largest single responder to demand fluctuations, supplying 47.7% of the marginal response, which explains why the Spanish marginal factor lies below its average factor — the opposite of the usual expectation that incremental demand is met by fossil plant. This is consistent with Hawkes' finding for New Zealand, where hydro is likewise the leading marginal fuel and emissions consequently do not track the daytime demand profile [5]. Hypothesis H4 is supported, though in the opposite direction to the one conventionally assumed.</w:t>
      </w:r>
    </w:p>
    <w:p>
      <w:pPr>
        <w:spacing w:after="140" w:line="300"/>
        <w:jc w:val="both"/>
      </w:pPr>
      <w:r>
        <w:rPr>
          <w:sz w:val="22"/>
          <w:szCs w:val="22"/>
        </w:rPr>
        <w:t xml:space="preserve">Second, pumped-storage consumption has a negative coefficient of −0.112. Since this column records electricity consumed in pumping rather than generated, the negative sign means that pumping is curtailed as demand rises — discretionary load acting as demand response. The physical plausibility of this sign provides further validation of the method.</w:t>
      </w:r>
    </w:p>
    <w:p>
      <w:pPr>
        <w:spacing w:after="140" w:line="300"/>
        <w:jc w:val="both"/>
      </w:pPr>
      <w:r>
        <w:rPr>
          <w:sz w:val="22"/>
          <w:szCs w:val="22"/>
        </w:rPr>
        <w:t xml:space="preserve">Third, the slopes sum to 0.619 rather than unity. Since the system balance is Δload = ΣΔgeneration − Δpumping + Δimports, generation excluding pumping accounts for 0.731 and reduced pumping for a further 0.112, leaving approximately 0.157 — some 16% of the marginal response — met by net imports across the French, Portuguese and Moroccan interconnectors. The emissions associated with these imports are not observable in this dataset.</w:t>
      </w:r>
    </w:p>
    <w:p>
      <w:pPr>
        <w:spacing w:after="140" w:line="300"/>
        <w:jc w:val="both"/>
      </w:pPr>
      <w:r>
        <w:rPr>
          <w:sz w:val="22"/>
          <w:szCs w:val="22"/>
        </w:rPr>
        <w:t xml:space="preserve">One further caveat is necessary. Solar appears with a response coefficient of 0.069, but solar generation does not respond to demand; solar output and demand both rise in the morning for a common reason. The first-difference method cannot distinguish dispatch from diurnal co-movement, and because this misattributes response share to a zero-carbon source, it biases the marginal factor downward. The estimate of 0.206 kg CO₂/kWh should therefore be read as a lower bound.</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collage of Figures from notebook Phase 10 Cells 2 and 5 — marginal factor scatter with fitted line, and dispatch response by source.]</w:t>
      </w:r>
    </w:p>
    <w:p>
      <w:pPr>
        <w:spacing w:after="200" w:before="80"/>
        <w:jc w:val="center"/>
      </w:pPr>
      <w:r>
        <w:rPr>
          <w:i/>
          <w:iCs/>
          <w:sz w:val="19"/>
          <w:szCs w:val="19"/>
        </w:rPr>
        <w:t xml:space="preserve">Figure 9. Marginal emission factor estimation. (a) Hour-to-hour change in fossil CO₂ against hour-to-hour change in demand, with the through-origin fit; (b) response coefficient by generation source, fossil sources distinguished from zero-carbon.</w:t>
      </w:r>
    </w:p>
    <w:p>
      <w:pPr>
        <w:pStyle w:val="Heading2"/>
        <w:spacing w:after="120" w:before="240"/>
      </w:pPr>
      <w:r>
        <w:rPr>
          <w:b/>
          <w:bCs/>
          <w:sz w:val="25"/>
          <w:szCs w:val="25"/>
        </w:rPr>
        <w:t xml:space="preserve">3.10 Estimated emissions impact</w:t>
      </w:r>
    </w:p>
    <w:p>
      <w:pPr>
        <w:spacing w:after="140" w:line="300"/>
        <w:jc w:val="both"/>
      </w:pPr>
      <w:r>
        <w:rPr>
          <w:sz w:val="22"/>
          <w:szCs w:val="22"/>
        </w:rPr>
        <w:t xml:space="preserve">Applying the marginal factor to the seasonal demand changes gives the emissions estimates in Table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3"/>
        <w:gridCol w:w="1943"/>
        <w:gridCol w:w="1766"/>
        <w:gridCol w:w="2472"/>
        <w:gridCol w:w="1766"/>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Season</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Energy change (GWh)</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CO₂ change (t)</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95% CI (t)</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Classification</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Winter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−873.3</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−179,701</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[−261,122, −105,218]</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Lower</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Spring</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−200.4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−41,248</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[−113,745, +27,307]</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Not detectable</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Summer</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+1,130.2</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+232,576</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[+157,418, +301,426]</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Higher</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Autumn</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+225.5</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+46,404</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[−19,653, +112,916]</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Not detectable</w:t>
            </w:r>
          </w:p>
        </w:tc>
      </w:tr>
      <w:tr>
        <w:tc>
          <w:tcPr>
            <w:tcW w:type="dxa" w:w="0"/>
            <w:tcMar>
              <w:top w:type="dxa" w:w="60"/>
              <w:left w:type="dxa" w:w="90"/>
              <w:bottom w:type="dxa" w:w="60"/>
              <w:right w:type="dxa" w:w="90"/>
            </w:tcMar>
          </w:tcPr>
          <w:p>
            <w:pPr>
              <w:spacing w:after="0" w:line="260"/>
              <w:jc w:val="left"/>
            </w:pPr>
            <w:r>
              <w:rPr>
                <w:b/>
                <w:bCs/>
                <w:sz w:val="19"/>
                <w:szCs w:val="19"/>
              </w:rPr>
              <w:t xml:space="preserve">Net</w:t>
            </w:r>
          </w:p>
        </w:tc>
        <w:tc>
          <w:tcPr>
            <w:tcW w:type="dxa" w:w="0"/>
            <w:tcMar>
              <w:top w:type="dxa" w:w="60"/>
              <w:left w:type="dxa" w:w="90"/>
              <w:bottom w:type="dxa" w:w="60"/>
              <w:right w:type="dxa" w:w="90"/>
            </w:tcMar>
          </w:tcPr>
          <w:p>
            <w:pPr>
              <w:spacing w:after="0" w:line="260"/>
              <w:jc w:val="right"/>
            </w:pPr>
            <w:r>
              <w:rPr>
                <w:b/>
                <w:bCs/>
                <w:sz w:val="19"/>
                <w:szCs w:val="19"/>
              </w:rPr>
              <w:t xml:space="preserve">+282.0</w:t>
            </w:r>
          </w:p>
        </w:tc>
        <w:tc>
          <w:tcPr>
            <w:tcW w:type="dxa" w:w="0"/>
            <w:tcMar>
              <w:top w:type="dxa" w:w="60"/>
              <w:left w:type="dxa" w:w="90"/>
              <w:bottom w:type="dxa" w:w="60"/>
              <w:right w:type="dxa" w:w="90"/>
            </w:tcMar>
          </w:tcPr>
          <w:p>
            <w:pPr>
              <w:spacing w:after="0" w:line="260"/>
              <w:jc w:val="right"/>
            </w:pPr>
            <w:r>
              <w:rPr>
                <w:b/>
                <w:bCs/>
                <w:sz w:val="19"/>
                <w:szCs w:val="19"/>
              </w:rPr>
              <w:t xml:space="preserve">+58,031</w:t>
            </w:r>
          </w:p>
        </w:tc>
        <w:tc>
          <w:tcPr>
            <w:tcW w:type="dxa" w:w="0"/>
            <w:tcMar>
              <w:top w:type="dxa" w:w="60"/>
              <w:left w:type="dxa" w:w="90"/>
              <w:bottom w:type="dxa" w:w="60"/>
              <w:right w:type="dxa" w:w="90"/>
            </w:tcMar>
          </w:tcPr>
          <w:p>
            <w:pPr>
              <w:spacing w:after="0" w:line="260"/>
              <w:jc w:val="right"/>
            </w:pPr>
            <w:r>
              <w:rPr>
                <w:b/>
                <w:bCs/>
                <w:sz w:val="19"/>
                <w:szCs w:val="19"/>
              </w:rPr>
              <w:t xml:space="preserve">Not detectable</w:t>
            </w:r>
          </w:p>
        </w:tc>
        <w:tc>
          <w:tcPr>
            <w:tcW w:type="dxa" w:w="0"/>
            <w:tcMar>
              <w:top w:type="dxa" w:w="60"/>
              <w:left w:type="dxa" w:w="90"/>
              <w:bottom w:type="dxa" w:w="60"/>
              <w:right w:type="dxa" w:w="90"/>
            </w:tcMar>
          </w:tcPr>
          <w:p>
            <w:pPr>
              <w:spacing w:after="0" w:line="260"/>
              <w:jc w:val="right"/>
            </w:pPr>
            <w:r>
              <w:rPr>
                <w:b/>
                <w:bCs/>
                <w:sz w:val="19"/>
                <w:szCs w:val="19"/>
              </w:rPr>
              <w:t xml:space="preserve">—</w:t>
            </w:r>
          </w:p>
        </w:tc>
      </w:tr>
    </w:tbl>
    <w:p>
      <w:pPr>
        <w:spacing w:after="200" w:before="80"/>
        <w:jc w:val="center"/>
      </w:pPr>
      <w:r>
        <w:rPr>
          <w:i/>
          <w:iCs/>
          <w:sz w:val="19"/>
          <w:szCs w:val="19"/>
        </w:rPr>
        <w:t xml:space="preserve">Table 8. Estimated change in CO₂ emissions under +3 °C warming, using the marginal factor of 0.206 kg CO₂/kWh. Test period 2018.</w:t>
      </w:r>
    </w:p>
    <w:p>
      <w:pPr>
        <w:spacing w:after="140" w:line="300"/>
        <w:jc w:val="both"/>
      </w:pPr>
      <w:r>
        <w:rPr>
          <w:sz w:val="22"/>
          <w:szCs w:val="22"/>
        </w:rPr>
        <w:t xml:space="preserve">The emissions result mirrors the demand result: a detectable seasonal redistribution, with an increase of approximately 233 kt in summer and a decrease of approximately 180 kt in winter, and a net annual change of +58 kt that inherits the annual demand interval and is therefore not statistically distinguishable from zero.</w:t>
      </w:r>
    </w:p>
    <w:p>
      <w:pPr>
        <w:pStyle w:val="Heading2"/>
        <w:spacing w:after="120" w:before="240"/>
      </w:pPr>
      <w:r>
        <w:rPr>
          <w:b/>
          <w:bCs/>
          <w:sz w:val="25"/>
          <w:szCs w:val="25"/>
        </w:rPr>
        <w:t xml:space="preserve">3.11 Sensitivity of the emissions result</w:t>
      </w:r>
    </w:p>
    <w:p>
      <w:pPr>
        <w:spacing w:after="140" w:line="300"/>
        <w:jc w:val="both"/>
      </w:pPr>
      <w:r>
        <w:rPr>
          <w:sz w:val="22"/>
          <w:szCs w:val="22"/>
        </w:rPr>
        <w:t xml:space="preserve">Table 9 recomputes the +3 °C emissions result under four alternative emission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685"/>
        <w:gridCol w:w="1966"/>
        <w:gridCol w:w="1966"/>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Emission factor</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kg CO₂/kWh</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Summer (t)</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Net annual (t)</w:t>
            </w:r>
          </w:p>
        </w:tc>
      </w:tr>
      <w:tr>
        <w:tc>
          <w:tcPr>
            <w:tcW w:type="dxa" w:w="0"/>
            <w:tcMar>
              <w:top w:type="dxa" w:w="60"/>
              <w:left w:type="dxa" w:w="90"/>
              <w:bottom w:type="dxa" w:w="60"/>
              <w:right w:type="dxa" w:w="90"/>
            </w:tcMar>
          </w:tcPr>
          <w:p>
            <w:pPr>
              <w:spacing w:after="0" w:line="260"/>
              <w:jc w:val="left"/>
            </w:pPr>
            <w:r>
              <w:rPr>
                <w:sz w:val="19"/>
                <w:szCs w:val="19"/>
              </w:rPr>
              <w:t xml:space="preserve">Marginal, estimated from data</w:t>
            </w:r>
          </w:p>
        </w:tc>
        <w:tc>
          <w:tcPr>
            <w:tcW w:type="dxa" w:w="0"/>
            <w:tcMar>
              <w:top w:type="dxa" w:w="60"/>
              <w:left w:type="dxa" w:w="90"/>
              <w:bottom w:type="dxa" w:w="60"/>
              <w:right w:type="dxa" w:w="90"/>
            </w:tcMar>
          </w:tcPr>
          <w:p>
            <w:pPr>
              <w:spacing w:after="0" w:line="260"/>
              <w:jc w:val="right"/>
            </w:pPr>
            <w:r>
              <w:rPr>
                <w:sz w:val="19"/>
                <w:szCs w:val="19"/>
              </w:rPr>
              <w:t xml:space="preserve">0.206</w:t>
            </w:r>
          </w:p>
        </w:tc>
        <w:tc>
          <w:tcPr>
            <w:tcW w:type="dxa" w:w="0"/>
            <w:tcMar>
              <w:top w:type="dxa" w:w="60"/>
              <w:left w:type="dxa" w:w="90"/>
              <w:bottom w:type="dxa" w:w="60"/>
              <w:right w:type="dxa" w:w="90"/>
            </w:tcMar>
          </w:tcPr>
          <w:p>
            <w:pPr>
              <w:spacing w:after="0" w:line="260"/>
              <w:jc w:val="right"/>
            </w:pPr>
            <w:r>
              <w:rPr>
                <w:sz w:val="19"/>
                <w:szCs w:val="19"/>
              </w:rPr>
              <w:t xml:space="preserve">232,576</w:t>
            </w:r>
          </w:p>
        </w:tc>
        <w:tc>
          <w:tcPr>
            <w:tcW w:type="dxa" w:w="0"/>
            <w:tcMar>
              <w:top w:type="dxa" w:w="60"/>
              <w:left w:type="dxa" w:w="90"/>
              <w:bottom w:type="dxa" w:w="60"/>
              <w:right w:type="dxa" w:w="90"/>
            </w:tcMar>
          </w:tcPr>
          <w:p>
            <w:pPr>
              <w:spacing w:after="0" w:line="260"/>
              <w:jc w:val="right"/>
            </w:pPr>
            <w:r>
              <w:rPr>
                <w:sz w:val="19"/>
                <w:szCs w:val="19"/>
              </w:rPr>
              <w:t xml:space="preserve">58,031</w:t>
            </w:r>
          </w:p>
        </w:tc>
      </w:tr>
      <w:tr>
        <w:tc>
          <w:tcPr>
            <w:tcW w:type="dxa" w:w="0"/>
            <w:tcMar>
              <w:top w:type="dxa" w:w="60"/>
              <w:left w:type="dxa" w:w="90"/>
              <w:bottom w:type="dxa" w:w="60"/>
              <w:right w:type="dxa" w:w="90"/>
            </w:tcMar>
          </w:tcPr>
          <w:p>
            <w:pPr>
              <w:spacing w:after="0" w:line="260"/>
              <w:jc w:val="left"/>
            </w:pPr>
            <w:r>
              <w:rPr>
                <w:sz w:val="19"/>
                <w:szCs w:val="19"/>
              </w:rPr>
              <w:t xml:space="preserve">Average, computed from data</w:t>
            </w:r>
          </w:p>
        </w:tc>
        <w:tc>
          <w:tcPr>
            <w:tcW w:type="dxa" w:w="0"/>
            <w:tcMar>
              <w:top w:type="dxa" w:w="60"/>
              <w:left w:type="dxa" w:w="90"/>
              <w:bottom w:type="dxa" w:w="60"/>
              <w:right w:type="dxa" w:w="90"/>
            </w:tcMar>
          </w:tcPr>
          <w:p>
            <w:pPr>
              <w:spacing w:after="0" w:line="260"/>
              <w:jc w:val="right"/>
            </w:pPr>
            <w:r>
              <w:rPr>
                <w:sz w:val="19"/>
                <w:szCs w:val="19"/>
              </w:rPr>
              <w:t xml:space="preserve">0.236</w:t>
            </w:r>
          </w:p>
        </w:tc>
        <w:tc>
          <w:tcPr>
            <w:tcW w:type="dxa" w:w="0"/>
            <w:tcMar>
              <w:top w:type="dxa" w:w="60"/>
              <w:left w:type="dxa" w:w="90"/>
              <w:bottom w:type="dxa" w:w="60"/>
              <w:right w:type="dxa" w:w="90"/>
            </w:tcMar>
          </w:tcPr>
          <w:p>
            <w:pPr>
              <w:spacing w:after="0" w:line="260"/>
              <w:jc w:val="right"/>
            </w:pPr>
            <w:r>
              <w:rPr>
                <w:sz w:val="19"/>
                <w:szCs w:val="19"/>
              </w:rPr>
              <w:t xml:space="preserve">266,197</w:t>
            </w:r>
          </w:p>
        </w:tc>
        <w:tc>
          <w:tcPr>
            <w:tcW w:type="dxa" w:w="0"/>
            <w:tcMar>
              <w:top w:type="dxa" w:w="60"/>
              <w:left w:type="dxa" w:w="90"/>
              <w:bottom w:type="dxa" w:w="60"/>
              <w:right w:type="dxa" w:w="90"/>
            </w:tcMar>
          </w:tcPr>
          <w:p>
            <w:pPr>
              <w:spacing w:after="0" w:line="260"/>
              <w:jc w:val="right"/>
            </w:pPr>
            <w:r>
              <w:rPr>
                <w:sz w:val="19"/>
                <w:szCs w:val="19"/>
              </w:rPr>
              <w:t xml:space="preserve">66,420</w:t>
            </w:r>
          </w:p>
        </w:tc>
      </w:tr>
      <w:tr>
        <w:tc>
          <w:tcPr>
            <w:tcW w:type="dxa" w:w="0"/>
            <w:tcMar>
              <w:top w:type="dxa" w:w="60"/>
              <w:left w:type="dxa" w:w="90"/>
              <w:bottom w:type="dxa" w:w="60"/>
              <w:right w:type="dxa" w:w="90"/>
            </w:tcMar>
          </w:tcPr>
          <w:p>
            <w:pPr>
              <w:spacing w:after="0" w:line="260"/>
              <w:jc w:val="left"/>
            </w:pPr>
            <w:r>
              <w:rPr>
                <w:sz w:val="19"/>
                <w:szCs w:val="19"/>
              </w:rPr>
              <w:t xml:space="preserve">Published national average</w:t>
            </w:r>
          </w:p>
        </w:tc>
        <w:tc>
          <w:tcPr>
            <w:tcW w:type="dxa" w:w="0"/>
            <w:tcMar>
              <w:top w:type="dxa" w:w="60"/>
              <w:left w:type="dxa" w:w="90"/>
              <w:bottom w:type="dxa" w:w="60"/>
              <w:right w:type="dxa" w:w="90"/>
            </w:tcMar>
          </w:tcPr>
          <w:p>
            <w:pPr>
              <w:spacing w:after="0" w:line="260"/>
              <w:jc w:val="right"/>
            </w:pPr>
            <w:r>
              <w:rPr>
                <w:sz w:val="19"/>
                <w:szCs w:val="19"/>
              </w:rPr>
              <w:t xml:space="preserve">0.321</w:t>
            </w:r>
          </w:p>
        </w:tc>
        <w:tc>
          <w:tcPr>
            <w:tcW w:type="dxa" w:w="0"/>
            <w:tcMar>
              <w:top w:type="dxa" w:w="60"/>
              <w:left w:type="dxa" w:w="90"/>
              <w:bottom w:type="dxa" w:w="60"/>
              <w:right w:type="dxa" w:w="90"/>
            </w:tcMar>
          </w:tcPr>
          <w:p>
            <w:pPr>
              <w:spacing w:after="0" w:line="260"/>
              <w:jc w:val="right"/>
            </w:pPr>
            <w:r>
              <w:rPr>
                <w:sz w:val="19"/>
                <w:szCs w:val="19"/>
              </w:rPr>
              <w:t xml:space="preserve">362,801</w:t>
            </w:r>
          </w:p>
        </w:tc>
        <w:tc>
          <w:tcPr>
            <w:tcW w:type="dxa" w:w="0"/>
            <w:tcMar>
              <w:top w:type="dxa" w:w="60"/>
              <w:left w:type="dxa" w:w="90"/>
              <w:bottom w:type="dxa" w:w="60"/>
              <w:right w:type="dxa" w:w="90"/>
            </w:tcMar>
          </w:tcPr>
          <w:p>
            <w:pPr>
              <w:spacing w:after="0" w:line="260"/>
              <w:jc w:val="right"/>
            </w:pPr>
            <w:r>
              <w:rPr>
                <w:sz w:val="19"/>
                <w:szCs w:val="19"/>
              </w:rPr>
              <w:t xml:space="preserve">90,524</w:t>
            </w:r>
          </w:p>
        </w:tc>
      </w:tr>
      <w:tr>
        <w:tc>
          <w:tcPr>
            <w:tcW w:type="dxa" w:w="0"/>
            <w:tcMar>
              <w:top w:type="dxa" w:w="60"/>
              <w:left w:type="dxa" w:w="90"/>
              <w:bottom w:type="dxa" w:w="60"/>
              <w:right w:type="dxa" w:w="90"/>
            </w:tcMar>
          </w:tcPr>
          <w:p>
            <w:pPr>
              <w:spacing w:after="0" w:line="260"/>
              <w:jc w:val="left"/>
            </w:pPr>
            <w:r>
              <w:rPr>
                <w:sz w:val="19"/>
                <w:szCs w:val="19"/>
              </w:rPr>
              <w:t xml:space="preserve">Gas-only upper bound</w:t>
            </w:r>
          </w:p>
        </w:tc>
        <w:tc>
          <w:tcPr>
            <w:tcW w:type="dxa" w:w="0"/>
            <w:tcMar>
              <w:top w:type="dxa" w:w="60"/>
              <w:left w:type="dxa" w:w="90"/>
              <w:bottom w:type="dxa" w:w="60"/>
              <w:right w:type="dxa" w:w="90"/>
            </w:tcMar>
          </w:tcPr>
          <w:p>
            <w:pPr>
              <w:spacing w:after="0" w:line="260"/>
              <w:jc w:val="right"/>
            </w:pPr>
            <w:r>
              <w:rPr>
                <w:sz w:val="19"/>
                <w:szCs w:val="19"/>
              </w:rPr>
              <w:t xml:space="preserve">0.490</w:t>
            </w:r>
          </w:p>
        </w:tc>
        <w:tc>
          <w:tcPr>
            <w:tcW w:type="dxa" w:w="0"/>
            <w:tcMar>
              <w:top w:type="dxa" w:w="60"/>
              <w:left w:type="dxa" w:w="90"/>
              <w:bottom w:type="dxa" w:w="60"/>
              <w:right w:type="dxa" w:w="90"/>
            </w:tcMar>
          </w:tcPr>
          <w:p>
            <w:pPr>
              <w:spacing w:after="0" w:line="260"/>
              <w:jc w:val="right"/>
            </w:pPr>
            <w:r>
              <w:rPr>
                <w:sz w:val="19"/>
                <w:szCs w:val="19"/>
              </w:rPr>
              <w:t xml:space="preserve">553,809</w:t>
            </w:r>
          </w:p>
        </w:tc>
        <w:tc>
          <w:tcPr>
            <w:tcW w:type="dxa" w:w="0"/>
            <w:tcMar>
              <w:top w:type="dxa" w:w="60"/>
              <w:left w:type="dxa" w:w="90"/>
              <w:bottom w:type="dxa" w:w="60"/>
              <w:right w:type="dxa" w:w="90"/>
            </w:tcMar>
          </w:tcPr>
          <w:p>
            <w:pPr>
              <w:spacing w:after="0" w:line="260"/>
              <w:jc w:val="right"/>
            </w:pPr>
            <w:r>
              <w:rPr>
                <w:sz w:val="19"/>
                <w:szCs w:val="19"/>
              </w:rPr>
              <w:t xml:space="preserve">138,183</w:t>
            </w:r>
          </w:p>
        </w:tc>
      </w:tr>
    </w:tbl>
    <w:p>
      <w:pPr>
        <w:spacing w:after="200" w:before="80"/>
        <w:jc w:val="center"/>
      </w:pPr>
      <w:r>
        <w:rPr>
          <w:i/>
          <w:iCs/>
          <w:sz w:val="19"/>
          <w:szCs w:val="19"/>
        </w:rPr>
        <w:t xml:space="preserve">Table 9. Sensitivity of the +3 °C emissions estimate to the choice of emission factor.</w:t>
      </w:r>
    </w:p>
    <w:p>
      <w:pPr>
        <w:spacing w:after="140" w:line="300"/>
        <w:jc w:val="both"/>
      </w:pPr>
      <w:r>
        <w:rPr>
          <w:sz w:val="22"/>
          <w:szCs w:val="22"/>
        </w:rPr>
        <w:t xml:space="preserve">The range across factor choices is 80,152 t, which exceeds the central estimate of 58,031 t by a factor of 1.4. The emissions conclusion is therefore more sensitive to the emission-factor assumption than to any modelling decision in the demand analysis. This is stated as a limitation rather than buried in a footnote: the demand results are robust, while the emissions results are a scaled restatement of them under an assumption the data cannot fully adjudicate.</w:t>
      </w:r>
    </w:p>
    <w:p>
      <w:pPr>
        <w:pStyle w:val="Heading2"/>
        <w:spacing w:after="120" w:before="240"/>
      </w:pPr>
      <w:r>
        <w:rPr>
          <w:b/>
          <w:bCs/>
          <w:sz w:val="25"/>
          <w:szCs w:val="25"/>
        </w:rPr>
        <w:t xml:space="preserve">3.12 Specification uncertainty</w:t>
      </w:r>
    </w:p>
    <w:p>
      <w:pPr>
        <w:spacing w:after="140" w:line="300"/>
        <w:jc w:val="both"/>
      </w:pPr>
      <w:r>
        <w:rPr>
          <w:sz w:val="22"/>
          <w:szCs w:val="22"/>
        </w:rPr>
        <w:t xml:space="preserve">Because four specifications fit the data almost identically yet imply materially different effects, the magnitude of the estimated response is not uniquely determined by the data. Table 10 reports the +3 °C summer effect under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966"/>
        <w:gridCol w:w="1685"/>
        <w:gridCol w:w="1778"/>
      </w:tblGrid>
      <w:tr>
        <w:trPr>
          <w:tblHeader/>
        </w:trPr>
        <w:tc>
          <w:tcPr>
            <w:tcW w:type="dxa" w:w="0"/>
            <w:shd w:fill="EFEFEF" w:val="clear"/>
            <w:tcMar>
              <w:top w:type="dxa" w:w="60"/>
              <w:left w:type="dxa" w:w="90"/>
              <w:bottom w:type="dxa" w:w="60"/>
              <w:right w:type="dxa" w:w="90"/>
            </w:tcMar>
          </w:tcPr>
          <w:p>
            <w:pPr>
              <w:spacing w:after="0" w:line="260"/>
              <w:jc w:val="left"/>
            </w:pPr>
            <w:r>
              <w:rPr>
                <w:b/>
                <w:bCs/>
                <w:sz w:val="19"/>
                <w:szCs w:val="19"/>
              </w:rPr>
              <w:t xml:space="preserve">Specification</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Summer +3 °C (MW)</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 % of baseline</w:t>
            </w:r>
          </w:p>
        </w:tc>
        <w:tc>
          <w:tcPr>
            <w:tcW w:type="dxa" w:w="0"/>
            <w:shd w:fill="EFEFEF" w:val="clear"/>
            <w:tcMar>
              <w:top w:type="dxa" w:w="60"/>
              <w:left w:type="dxa" w:w="90"/>
              <w:bottom w:type="dxa" w:w="60"/>
              <w:right w:type="dxa" w:w="90"/>
            </w:tcMar>
          </w:tcPr>
          <w:p>
            <w:pPr>
              <w:spacing w:after="0" w:line="260"/>
              <w:jc w:val="right"/>
            </w:pPr>
            <w:r>
              <w:rPr>
                <w:b/>
                <w:bCs/>
                <w:sz w:val="19"/>
                <w:szCs w:val="19"/>
              </w:rPr>
              <w:t xml:space="preserve">R²</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Linear, single slope</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286.6</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1.0</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0.6269</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Linear, piecewise bands</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421.9</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1.5</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0.6284</w:t>
            </w:r>
          </w:p>
        </w:tc>
      </w:tr>
      <w:tr>
        <w:tc>
          <w:tcPr>
            <w:tcW w:type="dxa" w:w="0"/>
            <w:tcMar>
              <w:top w:type="dxa" w:w="60"/>
              <w:left w:type="dxa" w:w="90"/>
              <w:bottom w:type="dxa" w:w="60"/>
              <w:right w:type="dxa" w:w="90"/>
            </w:tcMar>
          </w:tcPr>
          <w:p>
            <w:pPr>
              <w:spacing w:after="0" w:line="260"/>
              <w:jc w:val="left"/>
            </w:pPr>
            <w:r>
              <w:rPr>
                <w:b/>
                <w:bCs/>
                <w:sz w:val="19"/>
                <w:szCs w:val="19"/>
              </w:rPr>
              <w:t xml:space="preserve">Linear + interactions (primary)</w:t>
            </w:r>
          </w:p>
        </w:tc>
        <w:tc>
          <w:tcPr>
            <w:tcW w:type="dxa" w:w="0"/>
            <w:tcMar>
              <w:top w:type="dxa" w:w="60"/>
              <w:left w:type="dxa" w:w="90"/>
              <w:bottom w:type="dxa" w:w="60"/>
              <w:right w:type="dxa" w:w="90"/>
            </w:tcMar>
          </w:tcPr>
          <w:p>
            <w:pPr>
              <w:spacing w:after="0" w:line="260"/>
              <w:jc w:val="right"/>
            </w:pPr>
            <w:r>
              <w:rPr>
                <w:b/>
                <w:bCs/>
                <w:sz w:val="19"/>
                <w:szCs w:val="19"/>
              </w:rPr>
              <w:t xml:space="preserve">512.3</w:t>
            </w:r>
          </w:p>
        </w:tc>
        <w:tc>
          <w:tcPr>
            <w:tcW w:type="dxa" w:w="0"/>
            <w:tcMar>
              <w:top w:type="dxa" w:w="60"/>
              <w:left w:type="dxa" w:w="90"/>
              <w:bottom w:type="dxa" w:w="60"/>
              <w:right w:type="dxa" w:w="90"/>
            </w:tcMar>
          </w:tcPr>
          <w:p>
            <w:pPr>
              <w:spacing w:after="0" w:line="260"/>
              <w:jc w:val="right"/>
            </w:pPr>
            <w:r>
              <w:rPr>
                <w:b/>
                <w:bCs/>
                <w:sz w:val="19"/>
                <w:szCs w:val="19"/>
              </w:rPr>
              <w:t xml:space="preserve">1.8</w:t>
            </w:r>
          </w:p>
        </w:tc>
        <w:tc>
          <w:tcPr>
            <w:tcW w:type="dxa" w:w="0"/>
            <w:tcMar>
              <w:top w:type="dxa" w:w="60"/>
              <w:left w:type="dxa" w:w="90"/>
              <w:bottom w:type="dxa" w:w="60"/>
              <w:right w:type="dxa" w:w="90"/>
            </w:tcMar>
          </w:tcPr>
          <w:p>
            <w:pPr>
              <w:spacing w:after="0" w:line="260"/>
              <w:jc w:val="right"/>
            </w:pPr>
            <w:r>
              <w:rPr>
                <w:b/>
                <w:bCs/>
                <w:sz w:val="19"/>
                <w:szCs w:val="19"/>
              </w:rPr>
              <w:t xml:space="preserve">0.6351</w:t>
            </w:r>
          </w:p>
        </w:tc>
      </w:tr>
      <w:tr>
        <w:tc>
          <w:tcPr>
            <w:tcW w:type="dxa" w:w="0"/>
            <w:tcMar>
              <w:top w:type="dxa" w:w="60"/>
              <w:left w:type="dxa" w:w="90"/>
              <w:bottom w:type="dxa" w:w="60"/>
              <w:right w:type="dxa" w:w="90"/>
            </w:tcMar>
          </w:tcPr>
          <w:p>
            <w:pPr>
              <w:spacing w:after="0" w:line="260"/>
              <w:jc w:val="left"/>
            </w:pPr>
            <w:r>
              <w:rPr>
                <w:b w:val="false"/>
                <w:bCs w:val="false"/>
                <w:sz w:val="19"/>
                <w:szCs w:val="19"/>
              </w:rPr>
              <w:t xml:space="preserve">Random forest</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845.5</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2.9</w:t>
            </w:r>
          </w:p>
        </w:tc>
        <w:tc>
          <w:tcPr>
            <w:tcW w:type="dxa" w:w="0"/>
            <w:tcMar>
              <w:top w:type="dxa" w:w="60"/>
              <w:left w:type="dxa" w:w="90"/>
              <w:bottom w:type="dxa" w:w="60"/>
              <w:right w:type="dxa" w:w="90"/>
            </w:tcMar>
          </w:tcPr>
          <w:p>
            <w:pPr>
              <w:spacing w:after="0" w:line="260"/>
              <w:jc w:val="right"/>
            </w:pPr>
            <w:r>
              <w:rPr>
                <w:b w:val="false"/>
                <w:bCs w:val="false"/>
                <w:sz w:val="19"/>
                <w:szCs w:val="19"/>
              </w:rPr>
              <w:t xml:space="preserve">0.6233</w:t>
            </w:r>
          </w:p>
        </w:tc>
      </w:tr>
    </w:tbl>
    <w:p>
      <w:pPr>
        <w:spacing w:after="200" w:before="80"/>
        <w:jc w:val="center"/>
      </w:pPr>
      <w:r>
        <w:rPr>
          <w:i/>
          <w:iCs/>
          <w:sz w:val="19"/>
          <w:szCs w:val="19"/>
        </w:rPr>
        <w:t xml:space="preserve">Table 10. Summer demand response at +3 °C under four specifications with statistically indistinguishable predictive performance.</w:t>
      </w:r>
    </w:p>
    <w:p>
      <w:pPr>
        <w:spacing w:after="140" w:line="300"/>
        <w:jc w:val="both"/>
      </w:pPr>
      <w:r>
        <w:rPr>
          <w:sz w:val="22"/>
          <w:szCs w:val="22"/>
        </w:rPr>
        <w:t xml:space="preserve">Two features of this table deserve emphasis. The spread is a factor of approximately three, far exceeding any of the bootstrap intervals in Table 4; statistical uncertainty is therefore not the dominant uncertainty in this study. And the estimates rise monotonically with specification quality as measured by R² among the linear specifications, which suggests that the simplest specification is biased downward rather than that the spread is random. The two linear specifications without interactions cannot represent the possibility that a hot afternoon differs from a hot night, which is precisely the mechanism identified in Section 3.5.2.</w:t>
      </w:r>
    </w:p>
    <w:p>
      <w:pPr>
        <w:spacing w:after="140" w:line="300"/>
        <w:jc w:val="both"/>
      </w:pPr>
      <w:r>
        <w:rPr>
          <w:sz w:val="22"/>
          <w:szCs w:val="22"/>
        </w:rPr>
        <w:t xml:space="preserve">Across all four specifications, however, the direction of every seasonal effect except autumn is invariant, and the finding of a negligible annual net change holds throughout (+5.7, —, +32.2 and +60.6 MW). The qualitative conclusion is robust; the magnitude is specification-dependent.</w:t>
      </w:r>
    </w:p>
    <w:p>
      <w:pPr>
        <w:pBdr>
          <w:top w:val="dashed" w:color="AAAAAA" w:sz="6"/>
          <w:bottom w:val="dashed" w:color="AAAAAA" w:sz="6"/>
          <w:left w:val="dashed" w:color="AAAAAA" w:sz="6"/>
          <w:right w:val="dashed" w:color="AAAAAA" w:sz="6"/>
        </w:pBdr>
        <w:spacing w:after="40" w:before="140"/>
        <w:jc w:val="center"/>
      </w:pPr>
      <w:r>
        <w:rPr>
          <w:i/>
          <w:iCs/>
          <w:color w:val="888888"/>
          <w:sz w:val="20"/>
          <w:szCs w:val="20"/>
        </w:rPr>
        <w:t xml:space="preserve">[Insert here (optional): learning curves for the primary specification and the random forest — training and validation error against training set size, using TimeSeriesSplit on the training period.]</w:t>
      </w:r>
    </w:p>
    <w:p>
      <w:pPr>
        <w:spacing w:after="200" w:before="80"/>
        <w:jc w:val="center"/>
      </w:pPr>
      <w:r>
        <w:rPr>
          <w:i/>
          <w:iCs/>
          <w:sz w:val="19"/>
          <w:szCs w:val="19"/>
        </w:rPr>
        <w:t xml:space="preserve">Figure 10. Learning curves for the primary specification and the random forest, showing training and validation error as a function of training set size.</w:t>
      </w:r>
    </w:p>
    <w:p>
      <w:r>
        <w:br w:type="page"/>
      </w:r>
    </w:p>
    <w:p>
      <w:pPr>
        <w:pStyle w:val="Heading1"/>
        <w:spacing w:after="160" w:before="320"/>
      </w:pPr>
      <w:r>
        <w:rPr>
          <w:b/>
          <w:bCs/>
          <w:sz w:val="30"/>
          <w:szCs w:val="30"/>
        </w:rPr>
        <w:t xml:space="preserve">4. Discussion and Conclusions</w:t>
      </w:r>
    </w:p>
    <w:p>
      <w:pPr>
        <w:pStyle w:val="Heading2"/>
        <w:spacing w:after="120" w:before="240"/>
      </w:pPr>
      <w:r>
        <w:rPr>
          <w:b/>
          <w:bCs/>
          <w:sz w:val="25"/>
          <w:szCs w:val="25"/>
        </w:rPr>
        <w:t xml:space="preserve">4.1 Principal findings</w:t>
      </w:r>
    </w:p>
    <w:p>
      <w:pPr>
        <w:spacing w:after="140" w:line="300"/>
        <w:jc w:val="both"/>
      </w:pPr>
      <w:r>
        <w:rPr>
          <w:sz w:val="22"/>
          <w:szCs w:val="22"/>
        </w:rPr>
        <w:t xml:space="preserve">Four findings emerge, in descending order of confidence.</w:t>
      </w:r>
    </w:p>
    <w:p>
      <w:pPr>
        <w:spacing w:after="140" w:line="300"/>
        <w:jc w:val="both"/>
      </w:pPr>
      <w:r>
        <w:rPr>
          <w:sz w:val="22"/>
          <w:szCs w:val="22"/>
        </w:rPr>
        <w:t xml:space="preserve">Warming redistributes demand rather than increasing it. At +3 °C, summer demand rises 1.77% and winter demand falls 1.38%, both detectable, while the annual mean change is not. The practical significance is that generation and network capacity are sized by peak demand, so a seasonal shift toward summer — when cooling load coincides with reduced thermal plant efficiency — can increase required capacity even with unchanged annual consumption. Studies reporting only annual energy would classify this as no impact.</w:t>
      </w:r>
    </w:p>
    <w:p>
      <w:pPr>
        <w:spacing w:after="140" w:line="300"/>
        <w:jc w:val="both"/>
      </w:pPr>
      <w:r>
        <w:rPr>
          <w:sz w:val="22"/>
          <w:szCs w:val="22"/>
        </w:rPr>
        <w:t xml:space="preserve">Heating sensitivity is occupancy-driven. The hundredfold difference between overnight (3.2 MW/°C) and afternoon (326.0 MW/°C) heating sensitivity is, to our knowledge, not a result previously quantified for Spain, and it improved out-of-sample fit measurably rather than merely adding parameters. It suggests that demand-side interventions targeting heating will have very different system effects depending on the hour at which they act.</w:t>
      </w:r>
    </w:p>
    <w:p>
      <w:pPr>
        <w:spacing w:after="140" w:line="300"/>
        <w:jc w:val="both"/>
      </w:pPr>
      <w:r>
        <w:rPr>
          <w:sz w:val="22"/>
          <w:szCs w:val="22"/>
        </w:rPr>
        <w:t xml:space="preserve">Autoregressive features invalidate counterfactual analysis. This is demonstrated rather than asserted, and it is directly relevant to a substantial applied literature in which lagged load is included for accuracy and feature importances or perturbation analyses are then interpreted causally.</w:t>
      </w:r>
    </w:p>
    <w:p>
      <w:pPr>
        <w:spacing w:after="140" w:line="300"/>
        <w:jc w:val="both"/>
      </w:pPr>
      <w:r>
        <w:rPr>
          <w:sz w:val="22"/>
          <w:szCs w:val="22"/>
        </w:rPr>
        <w:t xml:space="preserve">The Spanish marginal emission factor lies below its average. Because reservoir hydro supplies 47.7% of the marginal demand response, incremental demand is less carbon-intensive than the fleet average, contrary to the usual assumption. Analyses using a national average factor will overstate the emissions consequence of a marginal demand increase in this system, though the countervailing considerations in Section 4.3 bound how far this conclusion can be pushed.</w:t>
      </w:r>
    </w:p>
    <w:p>
      <w:pPr>
        <w:pStyle w:val="Heading2"/>
        <w:spacing w:after="120" w:before="240"/>
      </w:pPr>
      <w:r>
        <w:rPr>
          <w:b/>
          <w:bCs/>
          <w:sz w:val="25"/>
          <w:szCs w:val="25"/>
        </w:rPr>
        <w:t xml:space="preserve">4.2 Interpretation and implications</w:t>
      </w:r>
    </w:p>
    <w:p>
      <w:pPr>
        <w:spacing w:after="140" w:line="300"/>
        <w:jc w:val="both"/>
      </w:pPr>
      <w:r>
        <w:rPr>
          <w:sz w:val="22"/>
          <w:szCs w:val="22"/>
        </w:rPr>
        <w:t xml:space="preserve">Taken together, these results argue for peak-oriented rather than energy-oriented assessment of climate impacts on electricity systems. An annual-energy framing would report essentially no effect of 3 °C warming on Spanish demand; an hourly, seasonally resolved framing reports a substantial reallocation with capacity implications. The choice of temporal resolution is therefore not a technical detail but determines the qualitative conclusion.</w:t>
      </w:r>
    </w:p>
    <w:p>
      <w:pPr>
        <w:spacing w:after="140" w:line="300"/>
        <w:jc w:val="both"/>
      </w:pPr>
      <w:r>
        <w:rPr>
          <w:sz w:val="22"/>
          <w:szCs w:val="22"/>
        </w:rPr>
        <w:t xml:space="preserve">The empirical balance point of 19.0 °C, close to the 18 °C convention, supports the continued use of degree-day representations for Spain. The convexity of the cooling response, though not precisely estimable here, implies that responses estimated from historical variation will understate the effect of warming that pushes temperatures into ranges rarely observed.</w:t>
      </w:r>
    </w:p>
    <w:p>
      <w:pPr>
        <w:pStyle w:val="Heading2"/>
        <w:spacing w:after="120" w:before="240"/>
      </w:pPr>
      <w:r>
        <w:rPr>
          <w:b/>
          <w:bCs/>
          <w:sz w:val="25"/>
          <w:szCs w:val="25"/>
        </w:rPr>
        <w:t xml:space="preserve">4.3 Limitations</w:t>
      </w:r>
    </w:p>
    <w:p>
      <w:pPr>
        <w:spacing w:after="140" w:line="300"/>
        <w:jc w:val="both"/>
      </w:pPr>
      <w:r>
        <w:rPr>
          <w:sz w:val="22"/>
          <w:szCs w:val="22"/>
        </w:rPr>
        <w:t xml:space="preserve">The limitations below are ordered by their likely influence on the conclusions.</w:t>
      </w:r>
    </w:p>
    <w:p>
      <w:pPr>
        <w:pStyle w:val="ListParagraph"/>
        <w:numPr>
          <w:ilvl w:val="0"/>
          <w:numId w:val="2"/>
        </w:numPr>
        <w:spacing w:after="90" w:line="300"/>
      </w:pPr>
      <w:r>
        <w:rPr>
          <w:sz w:val="22"/>
          <w:szCs w:val="22"/>
        </w:rPr>
        <w:t xml:space="preserve">Specification uncertainty exceeds statistical uncertainty. The summer +3 °C effect spans 287–846 MW across specifications whose R² differ by less than 0.012. Reported confidence intervals reflect uncertainty within the chosen specification and do not encompass this range.</w:t>
      </w:r>
    </w:p>
    <w:p>
      <w:pPr>
        <w:pStyle w:val="ListParagraph"/>
        <w:numPr>
          <w:ilvl w:val="0"/>
          <w:numId w:val="2"/>
        </w:numPr>
        <w:spacing w:after="90" w:line="300"/>
      </w:pPr>
      <w:r>
        <w:rPr>
          <w:sz w:val="22"/>
          <w:szCs w:val="22"/>
        </w:rPr>
        <w:t xml:space="preserve">The emissions estimate is dominated by the emission-factor assumption. The range across plausible factors (80,152 t) exceeds the central estimate (58,031 t).</w:t>
      </w:r>
    </w:p>
    <w:p>
      <w:pPr>
        <w:pStyle w:val="ListParagraph"/>
        <w:numPr>
          <w:ilvl w:val="0"/>
          <w:numId w:val="2"/>
        </w:numPr>
        <w:spacing w:after="90" w:line="300"/>
      </w:pPr>
      <w:r>
        <w:rPr>
          <w:sz w:val="22"/>
          <w:szCs w:val="22"/>
        </w:rPr>
        <w:t xml:space="preserve">No behavioural or technological adaptation is modelled. Air-conditioning penetration, building fabric and consumption habits are held at 2015–2018 levels. Since warming would in reality increase air-conditioning ownership, the cooling response is likely understated, and this is plausibly the largest bias relative to any real future.</w:t>
      </w:r>
    </w:p>
    <w:p>
      <w:pPr>
        <w:pStyle w:val="ListParagraph"/>
        <w:numPr>
          <w:ilvl w:val="0"/>
          <w:numId w:val="2"/>
        </w:numPr>
        <w:spacing w:after="90" w:line="300"/>
      </w:pPr>
      <w:r>
        <w:rPr>
          <w:sz w:val="22"/>
          <w:szCs w:val="22"/>
        </w:rPr>
        <w:t xml:space="preserve">The marginal factor may not apply to sustained increases. It was estimated from hour-to-hour fluctuations, which reservoir hydro can absorb. A sustained increase across summer afternoons over months cannot be met the same way, because hydro is energy-limited and Spanish reservoir levels are lowest in summer. The defensible reading is a bracket: 0.206 kg CO₂/kWh as a short-run floor and the gas-only figure as a physically plausible ceiling.</w:t>
      </w:r>
    </w:p>
    <w:p>
      <w:pPr>
        <w:pStyle w:val="ListParagraph"/>
        <w:numPr>
          <w:ilvl w:val="0"/>
          <w:numId w:val="2"/>
        </w:numPr>
        <w:spacing w:after="90" w:line="300"/>
      </w:pPr>
      <w:r>
        <w:rPr>
          <w:sz w:val="22"/>
          <w:szCs w:val="22"/>
        </w:rPr>
        <w:t xml:space="preserve">Net imports are unobserved. Approximately 16% of the marginal response is met across interconnectors, with associated emissions invisible in this dataset.</w:t>
      </w:r>
    </w:p>
    <w:p>
      <w:pPr>
        <w:pStyle w:val="ListParagraph"/>
        <w:numPr>
          <w:ilvl w:val="0"/>
          <w:numId w:val="2"/>
        </w:numPr>
        <w:spacing w:after="90" w:line="300"/>
      </w:pPr>
      <w:r>
        <w:rPr>
          <w:sz w:val="22"/>
          <w:szCs w:val="22"/>
        </w:rPr>
        <w:t xml:space="preserve">Weather is represented by five cities. North-western Spain, the interior and the islands are unrepresented, and population weighting by municipal population is an approximation to the true spatial distribution of consumption.</w:t>
      </w:r>
    </w:p>
    <w:p>
      <w:pPr>
        <w:pStyle w:val="ListParagraph"/>
        <w:numPr>
          <w:ilvl w:val="0"/>
          <w:numId w:val="2"/>
        </w:numPr>
        <w:spacing w:after="90" w:line="300"/>
      </w:pPr>
      <w:r>
        <w:rPr>
          <w:sz w:val="22"/>
          <w:szCs w:val="22"/>
        </w:rPr>
        <w:t xml:space="preserve">Uniform warming is a simplification. Real warming is not spatially or seasonally uniform, and would alter humidity and the frequency of extremes as well as mean temperature.</w:t>
      </w:r>
    </w:p>
    <w:p>
      <w:pPr>
        <w:pStyle w:val="ListParagraph"/>
        <w:numPr>
          <w:ilvl w:val="0"/>
          <w:numId w:val="2"/>
        </w:numPr>
        <w:spacing w:after="90" w:line="300"/>
      </w:pPr>
      <w:r>
        <w:rPr>
          <w:sz w:val="22"/>
          <w:szCs w:val="22"/>
        </w:rPr>
        <w:t xml:space="preserve">Extrapolation. 0.51% of +3 °C hours exceed the observed temperature maximum. The linear primary specification extrapolates, but does so by assuming the estimated slope continues.</w:t>
      </w:r>
    </w:p>
    <w:p>
      <w:pPr>
        <w:pStyle w:val="ListParagraph"/>
        <w:numPr>
          <w:ilvl w:val="0"/>
          <w:numId w:val="2"/>
        </w:numPr>
        <w:spacing w:after="90" w:line="300"/>
      </w:pPr>
      <w:r>
        <w:rPr>
          <w:sz w:val="22"/>
          <w:szCs w:val="22"/>
        </w:rPr>
        <w:t xml:space="preserve">Only direct combustion emissions are counted. Lifecycle emissions are excluded, and biogenic CO₂ from biomass and waste is treated as zero following inventory convention, a treatment that is contested.</w:t>
      </w:r>
    </w:p>
    <w:p>
      <w:pPr>
        <w:pStyle w:val="ListParagraph"/>
        <w:numPr>
          <w:ilvl w:val="0"/>
          <w:numId w:val="2"/>
        </w:numPr>
        <w:spacing w:after="90" w:line="300"/>
      </w:pPr>
      <w:r>
        <w:rPr>
          <w:sz w:val="22"/>
          <w:szCs w:val="22"/>
        </w:rPr>
        <w:t xml:space="preserve">Four years is a short record for separating temperature response from coincident trends in economic activity, efficiency and appliance stock.</w:t>
      </w:r>
    </w:p>
    <w:p>
      <w:pPr>
        <w:pStyle w:val="Heading2"/>
        <w:spacing w:after="120" w:before="240"/>
      </w:pPr>
      <w:r>
        <w:rPr>
          <w:b/>
          <w:bCs/>
          <w:sz w:val="25"/>
          <w:szCs w:val="25"/>
        </w:rPr>
        <w:t xml:space="preserve">4.4 Conclusion</w:t>
      </w:r>
    </w:p>
    <w:p>
      <w:pPr>
        <w:spacing w:after="140" w:line="300"/>
        <w:jc w:val="both"/>
      </w:pPr>
      <w:r>
        <w:rPr>
          <w:sz w:val="22"/>
          <w:szCs w:val="22"/>
        </w:rPr>
        <w:t xml:space="preserve">This study estimated the temperature–demand relationship for the Spanish electricity system from four years of hourly data and used it to evaluate counterfactual uniform warming. The principal substantive conclusion is that warming of up to 3 °C redistributes demand across seasons — raising summer demand by 1.77% and lowering winter demand by 1.38% at +3 °C — without a statistically detectable change in annual consumption, relocating approximately 3.9% of mean demand. The associated emissions effect follows the same pattern, with a net annual change indistinguishable from zero.</w:t>
      </w:r>
    </w:p>
    <w:p>
      <w:pPr>
        <w:spacing w:after="140" w:line="300"/>
        <w:jc w:val="both"/>
      </w:pPr>
      <w:r>
        <w:rPr>
          <w:sz w:val="22"/>
          <w:szCs w:val="22"/>
        </w:rPr>
        <w:t xml:space="preserve">Two methodological conclusions accompany this. First, models containing lagged demand, however accurate as forecasters, cannot be used for counterfactual temperature analysis; the separation of forecasting from response estimation should be explicit. Second, in a system with substantial dispatchable hydro, the marginal emission factor may fall below the average, so converting demand changes to emissions using published average intensities can mislead.</w:t>
      </w:r>
    </w:p>
    <w:p>
      <w:pPr>
        <w:spacing w:after="140" w:line="300"/>
        <w:jc w:val="both"/>
      </w:pPr>
      <w:r>
        <w:rPr>
          <w:sz w:val="22"/>
          <w:szCs w:val="22"/>
        </w:rPr>
        <w:t xml:space="preserve">The most valuable extensions would be the inclusion of adaptation dynamics, which the present analysis explicitly excludes and which plausibly dominates the long-run response; a longer record permitting separation of temperature response from appliance-stock trends; and spatially resolved weather with correspondingly resolved demand data.</w:t>
      </w:r>
    </w:p>
    <w:p>
      <w:r>
        <w:br w:type="page"/>
      </w:r>
    </w:p>
    <w:p>
      <w:pPr>
        <w:pStyle w:val="Heading1"/>
        <w:spacing w:after="160" w:before="320"/>
      </w:pPr>
      <w:r>
        <w:rPr>
          <w:b/>
          <w:bCs/>
          <w:sz w:val="30"/>
          <w:szCs w:val="30"/>
        </w:rPr>
        <w:t xml:space="preserve">References</w:t>
      </w:r>
    </w:p>
    <w:p>
      <w:pPr>
        <w:spacing w:after="100" w:line="300"/>
        <w:jc w:val="left"/>
      </w:pPr>
      <w:r>
        <w:rPr>
          <w:sz w:val="22"/>
          <w:szCs w:val="22"/>
        </w:rPr>
        <w:t xml:space="preserve">[1] A. D. Hawkes, “Estimating marginal CO2 emissions rates for national electricity systems,” Energy Policy, vol. 38, no. 10, pp. 5977–5987, 2010. doi: 10.1016/j.enpol.2010.05.053.</w:t>
      </w:r>
    </w:p>
    <w:p>
      <w:pPr>
        <w:spacing w:after="100" w:line="300"/>
        <w:jc w:val="left"/>
      </w:pPr>
      <w:r>
        <w:rPr>
          <w:sz w:val="22"/>
          <w:szCs w:val="22"/>
        </w:rPr>
        <w:t xml:space="preserve">[2] K. Siler-Evans, I. L. Azevedo, and M. G. Morgan, “Marginal emissions factors for the U.S. electricity system,” Environmental Science &amp; Technology, vol. 46, no. 9, pp. 4742–4748, 2012. doi: 10.1021/es300145v.</w:t>
      </w:r>
    </w:p>
    <w:p>
      <w:pPr>
        <w:spacing w:after="100" w:line="300"/>
        <w:jc w:val="left"/>
      </w:pPr>
      <w:r>
        <w:rPr>
          <w:sz w:val="22"/>
          <w:szCs w:val="22"/>
        </w:rPr>
        <w:t xml:space="preserve">[3] ENTSO-E, “Transparency Platform,” European Network of Transmission System Operators for Electricity. [Online]. Available: https://transparency.entsoe.eu/</w:t>
      </w:r>
    </w:p>
    <w:p>
      <w:pPr>
        <w:spacing w:after="100" w:line="300"/>
        <w:jc w:val="left"/>
      </w:pPr>
      <w:r>
        <w:rPr>
          <w:color w:val="993C1D"/>
          <w:sz w:val="22"/>
          <w:szCs w:val="22"/>
        </w:rPr>
        <w:t xml:space="preserve">[4] [TO BE COMPLETED — cite the source of your direct-combustion emission factors. Suggested: IPCC, Climate Change 2014: Mitigation of Climate Change, Working Group III Contribution to AR5, Annex III, Table A.III.2; or the relevant European Environment Agency emission-factor publication; or Spain’s National Inventory Report to the UNFCCC. Insert the exact edition, table and page you took each factor from.]</w:t>
      </w:r>
    </w:p>
    <w:p>
      <w:pPr>
        <w:spacing w:after="100" w:line="300"/>
        <w:jc w:val="left"/>
      </w:pPr>
      <w:r>
        <w:rPr>
          <w:sz w:val="22"/>
          <w:szCs w:val="22"/>
        </w:rPr>
        <w:t xml:space="preserve">[5] A. D. Hawkes, “Long-run marginal CO2 emissions factors in national electricity systems,” Applied Energy, vol. 125, pp. 197–205, 2014. doi: 10.1016/j.apenergy.2014.03.060.</w:t>
      </w:r>
    </w:p>
    <w:p>
      <w:pPr>
        <w:spacing w:after="100" w:line="300"/>
        <w:jc w:val="left"/>
      </w:pPr>
      <w:r>
        <w:rPr>
          <w:sz w:val="22"/>
          <w:szCs w:val="22"/>
        </w:rPr>
        <w:t xml:space="preserve">[6] L. Breiman, “Random forests,” Machine Learning, vol. 45, no. 1, pp. 5–32, 2001.</w:t>
      </w:r>
    </w:p>
    <w:p>
      <w:pPr>
        <w:spacing w:after="100" w:line="300"/>
        <w:jc w:val="left"/>
      </w:pPr>
      <w:r>
        <w:rPr>
          <w:sz w:val="22"/>
          <w:szCs w:val="22"/>
        </w:rPr>
        <w:t xml:space="preserve">[7] F. Pedregosa et al., “Scikit-learn: Machine learning in Python,” Journal of Machine Learning Research, vol. 12, pp. 2825–2830, 2011.</w:t>
      </w:r>
    </w:p>
    <w:p>
      <w:pPr>
        <w:spacing w:after="100" w:line="300"/>
        <w:jc w:val="left"/>
      </w:pPr>
      <w:r>
        <w:rPr>
          <w:sz w:val="22"/>
          <w:szCs w:val="22"/>
        </w:rPr>
        <w:t xml:space="preserve">[8] V. Sharandin, “Energy consumption hourly Spain” and “Energy consumption weather hourly Spain” datasets, Hugging Face Datasets. [Online]. Available: https://huggingface.co/datasets/vitaliy-sharandin/</w:t>
      </w:r>
    </w:p>
    <w:p>
      <w:pPr>
        <w:spacing w:after="140" w:line="300"/>
        <w:jc w:val="left"/>
      </w:pPr>
      <w:r>
        <w:rPr>
          <w:i/>
          <w:iCs/>
          <w:sz w:val="22"/>
          <w:szCs w:val="22"/>
        </w:rPr>
        <w:t xml:space="preserve">Note: verify every reference against the published source before submission, and add citations for any Spanish demand or climate literature your course expects.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8cb6329a4c100afe1237fffca40254f64854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2026-08-25T18:41:54.016Z</dcterms:created>
  <dcterms:modified xsi:type="dcterms:W3CDTF">2026-08-25T18:41:54.016Z</dcterms:modified>
</cp:coreProperties>
</file>

<file path=docProps/custom.xml><?xml version="1.0" encoding="utf-8"?>
<Properties xmlns="http://schemas.openxmlformats.org/officeDocument/2006/custom-properties" xmlns:vt="http://schemas.openxmlformats.org/officeDocument/2006/docPropsVTypes"/>
</file>