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500"/>
        <w:jc w:val="center"/>
      </w:pPr>
      <w:r>
        <w:rPr>
          <w:spacing w:val="60"/>
          <w:sz w:val="28"/>
          <w:szCs w:val="28"/>
        </w:rPr>
        <w:t xml:space="preserve">PROJECT REPORT</w:t>
      </w:r>
    </w:p>
    <w:p>
      <w:pPr>
        <w:spacing w:after="120"/>
        <w:jc w:val="center"/>
      </w:pPr>
      <w:r>
        <w:rPr>
          <w:b/>
          <w:bCs/>
          <w:sz w:val="40"/>
          <w:szCs w:val="40"/>
        </w:rPr>
        <w:t xml:space="preserve">Weather-Driven Electricity Demand in Spain:</w:t>
      </w:r>
    </w:p>
    <w:p>
      <w:pPr>
        <w:spacing w:after="120"/>
        <w:jc w:val="center"/>
      </w:pPr>
      <w:r>
        <w:rPr>
          <w:b/>
          <w:bCs/>
          <w:sz w:val="40"/>
          <w:szCs w:val="40"/>
        </w:rPr>
        <w:t xml:space="preserve">Machine Learning Models for Forecasting and</w:t>
      </w:r>
    </w:p>
    <w:p>
      <w:pPr>
        <w:spacing w:after="700"/>
        <w:jc w:val="center"/>
      </w:pPr>
      <w:r>
        <w:rPr>
          <w:b/>
          <w:bCs/>
          <w:sz w:val="40"/>
          <w:szCs w:val="40"/>
        </w:rPr>
        <w:t xml:space="preserve">Counterfactual Warming Scenarios</w:t>
      </w:r>
    </w:p>
    <w:p>
      <w:pPr>
        <w:spacing w:after="300"/>
        <w:jc w:val="center"/>
      </w:pPr>
      <w:r>
        <w:rPr>
          <w:b/>
          <w:bCs/>
          <w:sz w:val="26"/>
          <w:szCs w:val="26"/>
        </w:rPr>
        <w:t xml:space="preserve">Group # [GROUP NUMBER]</w:t>
      </w:r>
    </w:p>
    <w:tbl>
      <w:tblPr>
        <w:tblW w:type="dxa" w:w="5600"/>
        <w:jc w:val="center"/>
        <w:tblBorders>
          <w:top w:val="single" w:color="000000" w:sz="8"/>
          <w:left w:val="none" w:color="FFFFFF" w:sz="0"/>
          <w:bottom w:val="single" w:color="000000" w:sz="8"/>
          <w:right w:val="none" w:color="FFFFFF" w:sz="0"/>
          <w:insideH w:val="single" w:color="BBBBBB" w:sz="2"/>
          <w:insideV w:val="none" w:color="FFFFFF" w:sz="0"/>
        </w:tblBorders>
      </w:tblPr>
      <w:tblGrid>
        <w:gridCol w:w="3200"/>
        <w:gridCol w:w="2400"/>
      </w:tblGrid>
      <w:tr>
        <w:tc>
          <w:tcPr>
            <w:tcW w:type="dxa" w:w="3200"/>
            <w:shd w:fill="E8E8E8" w:color="auto" w:val="clear"/>
            <w:tcMar>
              <w:top w:type="dxa" w:w="70"/>
              <w:left w:type="dxa" w:w="120"/>
              <w:bottom w:type="dxa" w:w="70"/>
              <w:right w:type="dxa" w:w="120"/>
            </w:tcMar>
          </w:tcPr>
          <w:p>
            <w:pPr>
              <w:spacing w:after="0"/>
            </w:pPr>
            <w:r>
              <w:rPr>
                <w:b/>
                <w:bCs/>
                <w:sz w:val="21"/>
                <w:szCs w:val="21"/>
              </w:rPr>
              <w:t xml:space="preserve">Name</w:t>
            </w:r>
          </w:p>
        </w:tc>
        <w:tc>
          <w:tcPr>
            <w:tcW w:type="dxa" w:w="2400"/>
            <w:shd w:fill="E8E8E8" w:color="auto" w:val="clear"/>
            <w:tcMar>
              <w:top w:type="dxa" w:w="70"/>
              <w:left w:type="dxa" w:w="120"/>
              <w:bottom w:type="dxa" w:w="70"/>
              <w:right w:type="dxa" w:w="120"/>
            </w:tcMar>
          </w:tcPr>
          <w:p>
            <w:pPr>
              <w:spacing w:after="0"/>
            </w:pPr>
            <w:r>
              <w:rPr>
                <w:b/>
                <w:bCs/>
                <w:sz w:val="21"/>
                <w:szCs w:val="21"/>
              </w:rPr>
              <w:t xml:space="preserve">Student ID</w:t>
            </w:r>
          </w:p>
        </w:tc>
      </w:tr>
      <w:tr>
        <w:tc>
          <w:tcPr>
            <w:tcW w:type="dxa" w:w="3200"/>
            <w:tcMar>
              <w:top w:type="dxa" w:w="70"/>
              <w:left w:type="dxa" w:w="120"/>
              <w:bottom w:type="dxa" w:w="70"/>
              <w:right w:type="dxa" w:w="120"/>
            </w:tcMar>
          </w:tcPr>
          <w:p>
            <w:pPr>
              <w:spacing w:after="0"/>
            </w:pPr>
            <w:r>
              <w:rPr>
                <w:b w:val="false"/>
                <w:bCs w:val="false"/>
                <w:sz w:val="21"/>
                <w:szCs w:val="21"/>
              </w:rPr>
              <w:t xml:space="preserve">[Member 1 Name]</w:t>
            </w:r>
          </w:p>
        </w:tc>
        <w:tc>
          <w:tcPr>
            <w:tcW w:type="dxa" w:w="2400"/>
            <w:tcMar>
              <w:top w:type="dxa" w:w="70"/>
              <w:left w:type="dxa" w:w="120"/>
              <w:bottom w:type="dxa" w:w="70"/>
              <w:right w:type="dxa" w:w="120"/>
            </w:tcMar>
          </w:tcPr>
          <w:p>
            <w:pPr>
              <w:spacing w:after="0"/>
            </w:pPr>
            <w:r>
              <w:rPr>
                <w:b w:val="false"/>
                <w:bCs w:val="false"/>
                <w:sz w:val="21"/>
                <w:szCs w:val="21"/>
              </w:rPr>
              <w:t xml:space="preserve">[ID]</w:t>
            </w:r>
          </w:p>
        </w:tc>
      </w:tr>
      <w:tr>
        <w:tc>
          <w:tcPr>
            <w:tcW w:type="dxa" w:w="3200"/>
            <w:tcMar>
              <w:top w:type="dxa" w:w="70"/>
              <w:left w:type="dxa" w:w="120"/>
              <w:bottom w:type="dxa" w:w="70"/>
              <w:right w:type="dxa" w:w="120"/>
            </w:tcMar>
          </w:tcPr>
          <w:p>
            <w:pPr>
              <w:spacing w:after="0"/>
            </w:pPr>
            <w:r>
              <w:rPr>
                <w:b w:val="false"/>
                <w:bCs w:val="false"/>
                <w:sz w:val="21"/>
                <w:szCs w:val="21"/>
              </w:rPr>
              <w:t xml:space="preserve">[Member 2 Name]</w:t>
            </w:r>
          </w:p>
        </w:tc>
        <w:tc>
          <w:tcPr>
            <w:tcW w:type="dxa" w:w="2400"/>
            <w:tcMar>
              <w:top w:type="dxa" w:w="70"/>
              <w:left w:type="dxa" w:w="120"/>
              <w:bottom w:type="dxa" w:w="70"/>
              <w:right w:type="dxa" w:w="120"/>
            </w:tcMar>
          </w:tcPr>
          <w:p>
            <w:pPr>
              <w:spacing w:after="0"/>
            </w:pPr>
            <w:r>
              <w:rPr>
                <w:b w:val="false"/>
                <w:bCs w:val="false"/>
                <w:sz w:val="21"/>
                <w:szCs w:val="21"/>
              </w:rPr>
              <w:t xml:space="preserve">[ID]</w:t>
            </w:r>
          </w:p>
        </w:tc>
      </w:tr>
      <w:tr>
        <w:tc>
          <w:tcPr>
            <w:tcW w:type="dxa" w:w="3200"/>
            <w:tcMar>
              <w:top w:type="dxa" w:w="70"/>
              <w:left w:type="dxa" w:w="120"/>
              <w:bottom w:type="dxa" w:w="70"/>
              <w:right w:type="dxa" w:w="120"/>
            </w:tcMar>
          </w:tcPr>
          <w:p>
            <w:pPr>
              <w:spacing w:after="0"/>
            </w:pPr>
            <w:r>
              <w:rPr>
                <w:b w:val="false"/>
                <w:bCs w:val="false"/>
                <w:sz w:val="21"/>
                <w:szCs w:val="21"/>
              </w:rPr>
              <w:t xml:space="preserve">[Member 3 Name]</w:t>
            </w:r>
          </w:p>
        </w:tc>
        <w:tc>
          <w:tcPr>
            <w:tcW w:type="dxa" w:w="2400"/>
            <w:tcMar>
              <w:top w:type="dxa" w:w="70"/>
              <w:left w:type="dxa" w:w="120"/>
              <w:bottom w:type="dxa" w:w="70"/>
              <w:right w:type="dxa" w:w="120"/>
            </w:tcMar>
          </w:tcPr>
          <w:p>
            <w:pPr>
              <w:spacing w:after="0"/>
            </w:pPr>
            <w:r>
              <w:rPr>
                <w:b w:val="false"/>
                <w:bCs w:val="false"/>
                <w:sz w:val="21"/>
                <w:szCs w:val="21"/>
              </w:rPr>
              <w:t xml:space="preserve">[ID]</w:t>
            </w:r>
          </w:p>
        </w:tc>
      </w:tr>
      <w:tr>
        <w:tc>
          <w:tcPr>
            <w:tcW w:type="dxa" w:w="3200"/>
            <w:tcMar>
              <w:top w:type="dxa" w:w="70"/>
              <w:left w:type="dxa" w:w="120"/>
              <w:bottom w:type="dxa" w:w="70"/>
              <w:right w:type="dxa" w:w="120"/>
            </w:tcMar>
          </w:tcPr>
          <w:p>
            <w:pPr>
              <w:spacing w:after="0"/>
            </w:pPr>
            <w:r>
              <w:rPr>
                <w:b w:val="false"/>
                <w:bCs w:val="false"/>
                <w:sz w:val="21"/>
                <w:szCs w:val="21"/>
              </w:rPr>
              <w:t xml:space="preserve">[Member 4 Name]</w:t>
            </w:r>
          </w:p>
        </w:tc>
        <w:tc>
          <w:tcPr>
            <w:tcW w:type="dxa" w:w="2400"/>
            <w:tcMar>
              <w:top w:type="dxa" w:w="70"/>
              <w:left w:type="dxa" w:w="120"/>
              <w:bottom w:type="dxa" w:w="70"/>
              <w:right w:type="dxa" w:w="120"/>
            </w:tcMar>
          </w:tcPr>
          <w:p>
            <w:pPr>
              <w:spacing w:after="0"/>
            </w:pPr>
            <w:r>
              <w:rPr>
                <w:b w:val="false"/>
                <w:bCs w:val="false"/>
                <w:sz w:val="21"/>
                <w:szCs w:val="21"/>
              </w:rPr>
              <w:t xml:space="preserve">[ID]</w:t>
            </w:r>
          </w:p>
        </w:tc>
      </w:tr>
    </w:tbl>
    <w:p>
      <w:pPr>
        <w:spacing w:after="700"/>
      </w:pPr>
    </w:p>
    <w:p>
      <w:pPr>
        <w:spacing w:after="140"/>
        <w:jc w:val="center"/>
      </w:pPr>
      <w:r>
        <w:rPr>
          <w:sz w:val="24"/>
          <w:szCs w:val="24"/>
        </w:rPr>
        <w:t xml:space="preserve">[Course Code] — [Course Title]</w:t>
      </w:r>
    </w:p>
    <w:p>
      <w:pPr>
        <w:spacing w:after="80"/>
        <w:jc w:val="center"/>
      </w:pPr>
      <w:r>
        <w:rPr>
          <w:sz w:val="24"/>
          <w:szCs w:val="24"/>
        </w:rPr>
        <w:t xml:space="preserve">[Department]</w:t>
      </w:r>
    </w:p>
    <w:p>
      <w:pPr>
        <w:spacing w:after="900"/>
        <w:jc w:val="center"/>
      </w:pPr>
      <w:r>
        <w:rPr>
          <w:sz w:val="24"/>
          <w:szCs w:val="24"/>
        </w:rPr>
        <w:t xml:space="preserve">[University Name]</w:t>
      </w:r>
    </w:p>
    <w:p>
      <w:pPr>
        <w:jc w:val="center"/>
      </w:pPr>
      <w:r>
        <w:rPr>
          <w:sz w:val="24"/>
          <w:szCs w:val="24"/>
        </w:rPr>
        <w:t xml:space="preserve">31 August 2026</w:t>
      </w:r>
    </w:p>
    <w:p>
      <w:r>
        <w:br w:type="page"/>
      </w:r>
    </w:p>
    <w:p>
      <w:pPr>
        <w:spacing w:after="220"/>
        <w:jc w:val="center"/>
      </w:pPr>
      <w:r>
        <w:rPr>
          <w:b/>
          <w:bCs/>
          <w:sz w:val="28"/>
          <w:szCs w:val="28"/>
        </w:rPr>
        <w:t xml:space="preserve">Abstract</w:t>
      </w:r>
    </w:p>
    <w:p>
      <w:pPr>
        <w:spacing w:after="140" w:line="276"/>
        <w:jc w:val="both"/>
      </w:pPr>
      <w:r>
        <w:t xml:space="preserve">This project investigates how ambient weather conditions drive hourly electricity demand in Spain, and uses the estimated relationship to ask a counterfactual question: what would happen to national demand, and to the carbon emissions associated with meeting it, under uniform warming of +1, +2 and +3 °C? Four years of hourly load and generation data from the Spanish transmission operator were merged with hourly weather observations from the country's five largest cities, producing an integrated dataset of 35,028 hourly records spanning 2015–2018.</w:t>
      </w:r>
    </w:p>
    <w:p>
      <w:pPr>
        <w:spacing w:after="140" w:line="276"/>
        <w:jc w:val="both"/>
      </w:pPr>
      <w:r>
        <w:t xml:space="preserve">Two distinct classes of model were built for two distinct purposes. A </w:t>
      </w:r>
      <w:r>
        <w:rPr>
          <w:i/>
          <w:iCs/>
        </w:rPr>
        <w:t xml:space="preserve">forecasting</w:t>
      </w:r>
      <w:r>
        <w:t xml:space="preserve"> model, which is permitted to use recent demand history, achieved a test-set R² of 0.9844 and a mean absolute error of 355 MW (1.2% of mean load) using a Random Forest regressor — a 67% error reduction against a naive persistence baseline. A separate </w:t>
      </w:r>
      <w:r>
        <w:rPr>
          <w:i/>
          <w:iCs/>
        </w:rPr>
        <w:t xml:space="preserve">response</w:t>
      </w:r>
      <w:r>
        <w:t xml:space="preserve"> model, deliberately restricted to weather and calendar inputs so that it remains valid under counterfactual intervention, achieved R² = 0.6351 using a linear specification with heating- and cooling-degree terms interacted with time of day.</w:t>
      </w:r>
    </w:p>
    <w:p>
      <w:pPr>
        <w:spacing w:after="140" w:line="276"/>
        <w:jc w:val="both"/>
      </w:pPr>
      <w:r>
        <w:t xml:space="preserve">The response model recovers a U-shaped demand–temperature relationship minimised at 19.0 °C, with a cooling response that steepens sharply above 30 °C (353 MW per °C, against a national mean load of approximately 28,700 MW). Applying warming scenarios to the 2018 test year and quantifying uncertainty by a day-block bootstrap over 300 model refits, we find that warming produces a statistically detectable </w:t>
      </w:r>
      <w:r>
        <w:rPr>
          <w:b/>
          <w:bCs/>
        </w:rPr>
        <w:t xml:space="preserve">seasonal redistribution</w:t>
      </w:r>
      <w:r>
        <w:t xml:space="preserve"> of demand rather than a change in annual totals: under +3 °C summer demand rises by +512 MW (95% CI [+347, +664]) while winter demand falls by −404 MW (95% CI [−588, −237]), yet the annual mean change of +32 MW is not distinguishable from zero (95% CI [−116, +175]). A marginal emission factor of 0.206 kg CO₂/kWh, estimated directly from the generation data by a first-difference regression, translates this into approximately +233 kt CO₂ in summer against −180 kt CO₂ in winter. Because generation and network capacity are sized by peak rather than average demand, a null result in the annual total does not imply a null result for the system.</w:t>
      </w:r>
    </w:p>
    <w:p>
      <w:r>
        <w:br w:type="page"/>
      </w:r>
    </w:p>
    <w:p>
      <w:pPr>
        <w:spacing w:after="240"/>
      </w:pPr>
      <w:r>
        <w:rPr>
          <w:b/>
          <w:bCs/>
          <w:sz w:val="30"/>
          <w:szCs w:val="30"/>
        </w:rPr>
        <w:t xml:space="preserve">Table of Contents</w:t>
      </w:r>
    </w:p>
    <w:p>
      <w:pPr>
        <w:spacing w:after="220"/>
      </w:pPr>
      <w:r>
        <w:rPr>
          <w:i/>
          <w:iCs/>
          <w:color w:val="777777"/>
          <w:sz w:val="18"/>
          <w:szCs w:val="18"/>
        </w:rPr>
        <w:t xml:space="preserve">(In Word: right-click the table below and choose “Update Field” to populate the contents and page numbers. This line can then be deleted.)</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t xml:space="preserve">1. Introduction</w:t>
      </w:r>
    </w:p>
    <w:p>
      <w:pPr>
        <w:pStyle w:val="Heading2"/>
        <w:spacing w:after="140" w:before="280"/>
      </w:pPr>
      <w:r>
        <w:t xml:space="preserve">1.1 Background and motivation</w:t>
      </w:r>
    </w:p>
    <w:p>
      <w:pPr>
        <w:spacing w:after="140" w:line="276"/>
        <w:jc w:val="both"/>
      </w:pPr>
      <w:r>
        <w:t xml:space="preserve">Electricity demand is unusual among economic quantities in that it must be balanced against supply continuously and almost instantaneously. Storage remains a small fraction of system capacity, so the grid operator must match generation to consumption in real time, and must have provisioned enough dispatchable capacity in advance to do so on the single worst hour of the year. This makes the drivers of demand, and in particular its extremes, a question of direct operational and planning consequence.</w:t>
      </w:r>
    </w:p>
    <w:p>
      <w:pPr>
        <w:spacing w:after="140" w:line="276"/>
        <w:jc w:val="both"/>
      </w:pPr>
      <w:r>
        <w:t xml:space="preserve">Weather is one of the strongest of those drivers. Below some comfort threshold, households and businesses consume electricity for heating; above it, they consume electricity for cooling. The resulting relationship between temperature and demand is not monotonic but U-shaped, and the two arms of the U need not be symmetric — they depend on the prevailing heating technology mix, the penetration of air conditioning, building stock, and behavioural patterns that themselves vary by hour of the day.</w:t>
      </w:r>
    </w:p>
    <w:p>
      <w:pPr>
        <w:spacing w:after="140" w:line="276"/>
        <w:jc w:val="both"/>
      </w:pPr>
      <w:r>
        <w:t xml:space="preserve">Spain is a particularly informative case. It spans a wide climatic range, from the temperate Atlantic north to the semi-arid south, it has substantial and growing air-conditioning penetration, and its heating demand is met by a mixture of electricity, natural gas and other fuels, so the electrical heating response is real but muted relative to the cooling response. It also has a generation mix in which the marginal unit varies considerably — hydro reservoirs, combined-cycle gas and coal all participate in following load — which means the carbon consequence of an extra megawatt-hour of demand is not obvious a priori and must itself be estimated.</w:t>
      </w:r>
    </w:p>
    <w:p>
      <w:pPr>
        <w:pStyle w:val="Heading2"/>
        <w:spacing w:after="140" w:before="280"/>
      </w:pPr>
      <w:r>
        <w:t xml:space="preserve">1.2 Problem statement</w:t>
      </w:r>
    </w:p>
    <w:p>
      <w:pPr>
        <w:spacing w:after="140" w:line="276"/>
        <w:jc w:val="both"/>
      </w:pPr>
      <w:r>
        <w:t xml:space="preserve">The core difficulty this project confronts is that the two questions one naturally wants to ask of such data require </w:t>
      </w:r>
      <w:r>
        <w:rPr>
          <w:b/>
          <w:bCs/>
        </w:rPr>
        <w:t xml:space="preserve">different</w:t>
      </w:r>
      <w:r>
        <w:t xml:space="preserve"> models, and conflating them produces results that look excellent and mean nothing.</w:t>
      </w:r>
    </w:p>
    <w:p>
      <w:pPr>
        <w:spacing w:after="140" w:line="276"/>
        <w:jc w:val="both"/>
      </w:pPr>
      <w:r>
        <w:t xml:space="preserve">The first question is predictive: </w:t>
      </w:r>
      <w:r>
        <w:rPr>
          <w:i/>
          <w:iCs/>
        </w:rPr>
        <w:t xml:space="preserve">given everything we know at time t, what will demand be?</w:t>
      </w:r>
      <w:r>
        <w:t xml:space="preserve"> The best answer uses recent demand history, because demand is highly autocorrelated — last hour's load is an extraordinarily good predictor of this hour's load.</w:t>
      </w:r>
    </w:p>
    <w:p>
      <w:pPr>
        <w:spacing w:after="140" w:line="276"/>
        <w:jc w:val="both"/>
      </w:pPr>
      <w:r>
        <w:t xml:space="preserve">The second question is causal-counterfactual: </w:t>
      </w:r>
      <w:r>
        <w:rPr>
          <w:i/>
          <w:iCs/>
        </w:rPr>
        <w:t xml:space="preserve">if temperatures were uniformly warmer, what would demand be?</w:t>
      </w:r>
      <w:r>
        <w:t xml:space="preserve"> A model that uses lagged demand cannot answer this. Under a warming intervention the lagged demand values would themselves change, but the model has no mechanism to update them; it would hold them fixed at their observed values and thereby absorb almost the entire temperature effect into a stale autoregressive term. The scenario result would be a near-zero artefact of the model structure, not a finding about the world.</w:t>
      </w:r>
    </w:p>
    <w:p>
      <w:pPr>
        <w:spacing w:after="140" w:line="276"/>
        <w:jc w:val="both"/>
      </w:pPr>
      <w:r>
        <w:t xml:space="preserve">This project therefore constructs and evaluates both model classes separately, states explicitly which is valid for which purpose, and uses only the second for scenario analysis.</w:t>
      </w:r>
    </w:p>
    <w:p>
      <w:pPr>
        <w:pStyle w:val="Heading2"/>
        <w:spacing w:after="140" w:before="280"/>
      </w:pPr>
      <w:r>
        <w:t xml:space="preserve">1.3 Objectives</w:t>
      </w:r>
    </w:p>
    <w:p>
      <w:pPr>
        <w:pStyle w:val="ListParagraph"/>
        <w:numPr>
          <w:ilvl w:val="0"/>
          <w:numId w:val="2"/>
        </w:numPr>
        <w:spacing w:after="110" w:line="276"/>
        <w:jc w:val="both"/>
      </w:pPr>
      <w:r>
        <w:t xml:space="preserve">Integrate hourly electricity load and generation data for Spain with hourly multi-city weather observations, resolving the timestamp, duplication and spatial-resolution mismatches between the two sources.</w:t>
      </w:r>
    </w:p>
    <w:p>
      <w:pPr>
        <w:pStyle w:val="ListParagraph"/>
        <w:numPr>
          <w:ilvl w:val="0"/>
          <w:numId w:val="2"/>
        </w:numPr>
        <w:spacing w:after="110" w:line="276"/>
        <w:jc w:val="both"/>
      </w:pPr>
      <w:r>
        <w:t xml:space="preserve">Engineer a feature set capturing calendar structure, autoregressive demand structure, and the physically motivated heating- and cooling-degree transformations of temperature.</w:t>
      </w:r>
    </w:p>
    <w:p>
      <w:pPr>
        <w:pStyle w:val="ListParagraph"/>
        <w:numPr>
          <w:ilvl w:val="0"/>
          <w:numId w:val="2"/>
        </w:numPr>
        <w:spacing w:after="110" w:line="276"/>
        <w:jc w:val="both"/>
      </w:pPr>
      <w:r>
        <w:t xml:space="preserve">Build and compare regression models for short-horizon demand forecasting, benchmarked against a naive persistence baseline.</w:t>
      </w:r>
    </w:p>
    <w:p>
      <w:pPr>
        <w:pStyle w:val="ListParagraph"/>
        <w:numPr>
          <w:ilvl w:val="0"/>
          <w:numId w:val="2"/>
        </w:numPr>
        <w:spacing w:after="110" w:line="276"/>
        <w:jc w:val="both"/>
      </w:pPr>
      <w:r>
        <w:t xml:space="preserve">Build a separate weather-and-calendar-only response model, compare four specifications for it, and select a primary specification on stated criteria.</w:t>
      </w:r>
    </w:p>
    <w:p>
      <w:pPr>
        <w:pStyle w:val="ListParagraph"/>
        <w:numPr>
          <w:ilvl w:val="0"/>
          <w:numId w:val="2"/>
        </w:numPr>
        <w:spacing w:after="110" w:line="276"/>
        <w:jc w:val="both"/>
      </w:pPr>
      <w:r>
        <w:t xml:space="preserve">Estimate the demand response to uniform warming of +1, +2 and +3 °C, with confidence intervals that reflect uncertainty in the fitted model rather than only sampling noise.</w:t>
      </w:r>
    </w:p>
    <w:p>
      <w:pPr>
        <w:pStyle w:val="ListParagraph"/>
        <w:numPr>
          <w:ilvl w:val="0"/>
          <w:numId w:val="2"/>
        </w:numPr>
        <w:spacing w:after="110" w:line="276"/>
        <w:jc w:val="both"/>
      </w:pPr>
      <w:r>
        <w:t xml:space="preserve">Classify each season/scenario combination as a detectable increase, a detectable decrease, or no detectable change, using a statistical rather than arbitrary decision rule.</w:t>
      </w:r>
    </w:p>
    <w:p>
      <w:pPr>
        <w:pStyle w:val="ListParagraph"/>
        <w:numPr>
          <w:ilvl w:val="0"/>
          <w:numId w:val="2"/>
        </w:numPr>
        <w:spacing w:after="110" w:line="276"/>
        <w:jc w:val="both"/>
      </w:pPr>
      <w:r>
        <w:t xml:space="preserve">Estimate the CO₂ consequence of the projected demand changes using an emission factor derived from the generation data itself, and test the sensitivity of that estimate to the choice of factor.</w:t>
      </w:r>
    </w:p>
    <w:p>
      <w:pPr>
        <w:pStyle w:val="Heading2"/>
        <w:spacing w:after="140" w:before="280"/>
      </w:pPr>
      <w:r>
        <w:t xml:space="preserve">1.4 Organisation of this report</w:t>
      </w:r>
    </w:p>
    <w:p>
      <w:pPr>
        <w:spacing w:after="140" w:line="276"/>
        <w:jc w:val="both"/>
      </w:pPr>
      <w:r>
        <w:t xml:space="preserve">Section 2 documents the data sources, cleaning decisions, feature construction, model specifications, scenario mechanics and uncertainty quantification. Section 3 presents the experimental results in the order they were produced, from exploratory analysis through forecasting performance to scenario classification and emissions. Section 4 states the principal findings, discusses their interpretation for grid planning, and sets out the limitations of the analysis.</w:t>
      </w:r>
    </w:p>
    <w:p>
      <w:pPr>
        <w:pStyle w:val="Heading1"/>
        <w:spacing w:after="180" w:before="360"/>
      </w:pPr>
      <w:r>
        <w:t xml:space="preserve">2. Methodology</w:t>
      </w:r>
    </w:p>
    <w:p>
      <w:pPr>
        <w:pStyle w:val="Heading2"/>
        <w:spacing w:after="140" w:before="280"/>
      </w:pPr>
      <w:r>
        <w:t xml:space="preserve">2.1 Data sources</w:t>
      </w:r>
    </w:p>
    <w:p>
      <w:pPr>
        <w:spacing w:after="140" w:line="276"/>
        <w:jc w:val="both"/>
      </w:pPr>
      <w:r>
        <w:t xml:space="preserve">Two public hourly datasets covering the same four-year window were used.</w:t>
      </w:r>
    </w:p>
    <w:p>
      <w:pPr>
        <w:spacing w:after="140" w:line="276"/>
        <w:jc w:val="both"/>
      </w:pPr>
      <w:r>
        <w:rPr>
          <w:b/>
          <w:bCs/>
        </w:rPr>
        <w:t xml:space="preserve">Electricity data.</w:t>
      </w:r>
      <w:r>
        <w:t xml:space="preserve"> Hourly generation by source, day-ahead forecasts, actual and forecast total load, and day-ahead and actual prices for Spain, as published by the transmission system operator (Red Eléctrica de España) and redistributed via the ENTSO-E transparency platform. Raw dimensions: 35,064 rows × 29 columns, covering 1 January 2015 00:00 to 31 December 2018 23:00 local time. The target variable throughout is </w:t>
      </w:r>
      <w:r>
        <w:rPr>
          <w:rFonts w:ascii="Consolas" w:cs="Consolas" w:eastAsia="Consolas" w:hAnsi="Consolas"/>
          <w:sz w:val="19"/>
          <w:szCs w:val="19"/>
        </w:rPr>
        <w:t xml:space="preserve">total load actual</w:t>
      </w:r>
      <w:r>
        <w:t xml:space="preserve">, in megawatts.</w:t>
      </w:r>
    </w:p>
    <w:p>
      <w:pPr>
        <w:spacing w:after="140" w:line="276"/>
        <w:jc w:val="both"/>
      </w:pPr>
      <w:r>
        <w:rPr>
          <w:b/>
          <w:bCs/>
        </w:rPr>
        <w:t xml:space="preserve">Weather data.</w:t>
      </w:r>
      <w:r>
        <w:t xml:space="preserve"> Hourly observations for the five largest Spanish cities — Madrid, Barcelona, Valencia, Seville and Bilbao — comprising temperature, minimum and maximum temperature, atmospheric pressure, relative humidity, wind speed and direction, one- and three-hour rainfall, three-hour snowfall, cloud cover, and a categorical weather-condition code. Raw dimensions: 178,396 rows × 17 columns. Temperatures are supplied in Kelvin.</w:t>
      </w:r>
    </w:p>
    <w:p>
      <w:pPr>
        <w:spacing w:after="140" w:line="276"/>
        <w:jc w:val="both"/>
      </w:pPr>
      <w:r>
        <w:t xml:space="preserve">Both datasets were accessed programmatically from their hosted CSV locations, so the notebook is reproducible without local data files.</w:t>
      </w:r>
    </w:p>
    <w:p>
      <w:pPr>
        <w:pStyle w:val="Heading2"/>
        <w:spacing w:after="140" w:before="280"/>
      </w:pPr>
      <w:r>
        <w:t xml:space="preserve">2.2 Data inspection and quality assessment</w:t>
      </w:r>
    </w:p>
    <w:p>
      <w:pPr>
        <w:spacing w:after="140" w:line="276"/>
        <w:jc w:val="both"/>
      </w:pPr>
      <w:r>
        <w:t xml:space="preserve">Before any transformation, both tables were profiled for shape, dtypes, null counts, timestamp coverage, duplication and sampling regularity. This established four facts that determined the cleaning strategy:</w:t>
      </w:r>
    </w:p>
    <w:p>
      <w:pPr>
        <w:pStyle w:val="ListParagraph"/>
        <w:numPr>
          <w:ilvl w:val="0"/>
          <w:numId w:val="3"/>
        </w:numPr>
        <w:spacing w:after="110" w:line="276"/>
        <w:jc w:val="both"/>
      </w:pPr>
      <w:r>
        <w:t xml:space="preserve">Timestamps in both files are ISO-8601 strings carrying a UTC offset that </w:t>
      </w:r>
      <w:r>
        <w:rPr>
          <w:b/>
          <w:bCs/>
        </w:rPr>
        <w:t xml:space="preserve">switches</w:t>
      </w:r>
      <w:r>
        <w:t xml:space="preserve"> between +01:00 and +02:00 across the year, because Spain observes daylight saving time. Parsing these naively yields a mixed-offset object column that cannot be compared or joined correctly.</w:t>
      </w:r>
    </w:p>
    <w:p>
      <w:pPr>
        <w:pStyle w:val="ListParagraph"/>
        <w:numPr>
          <w:ilvl w:val="0"/>
          <w:numId w:val="3"/>
        </w:numPr>
        <w:spacing w:after="110" w:line="276"/>
        <w:jc w:val="both"/>
      </w:pPr>
      <w:r>
        <w:t xml:space="preserve">The weather table is not one row per hour. Grouping by timestamp gave five rows for 32,514 timestamps — one per city, as expected — but six for 2,114 timestamps, seven for 366, and up to ten for five timestamps.</w:t>
      </w:r>
    </w:p>
    <w:p>
      <w:pPr>
        <w:pStyle w:val="ListParagraph"/>
        <w:numPr>
          <w:ilvl w:val="0"/>
          <w:numId w:val="3"/>
        </w:numPr>
        <w:spacing w:after="110" w:line="276"/>
        <w:jc w:val="both"/>
      </w:pPr>
      <w:r>
        <w:t xml:space="preserve">The electricity table has no duplicate rows, but does have sparse missing values: two columns (</w:t>
      </w:r>
      <w:r>
        <w:rPr>
          <w:rFonts w:ascii="Consolas" w:cs="Consolas" w:eastAsia="Consolas" w:hAnsi="Consolas"/>
          <w:sz w:val="19"/>
          <w:szCs w:val="19"/>
        </w:rPr>
        <w:t xml:space="preserve">generation hydro pumped storage aggregated</w:t>
      </w:r>
      <w:r>
        <w:t xml:space="preserve"> and </w:t>
      </w:r>
      <w:r>
        <w:rPr>
          <w:rFonts w:ascii="Consolas" w:cs="Consolas" w:eastAsia="Consolas" w:hAnsi="Consolas"/>
          <w:sz w:val="19"/>
          <w:szCs w:val="19"/>
        </w:rPr>
        <w:t xml:space="preserve">forecast wind offshore eday ahead</w:t>
      </w:r>
      <w:r>
        <w:t xml:space="preserve">) are entirely empty, the target has 36 missing entries, and most generation and forecast columns have 18–19 missing entries each.</w:t>
      </w:r>
    </w:p>
    <w:p>
      <w:pPr>
        <w:pStyle w:val="ListParagraph"/>
        <w:numPr>
          <w:ilvl w:val="0"/>
          <w:numId w:val="3"/>
        </w:numPr>
        <w:spacing w:after="110" w:line="276"/>
        <w:jc w:val="both"/>
      </w:pPr>
      <w:r>
        <w:t xml:space="preserve">One city name, </w:t>
      </w:r>
      <w:r>
        <w:rPr>
          <w:rFonts w:ascii="Consolas" w:cs="Consolas" w:eastAsia="Consolas" w:hAnsi="Consolas"/>
          <w:sz w:val="19"/>
          <w:szCs w:val="19"/>
        </w:rPr>
        <w:t xml:space="preserve">" Barcelona"</w:t>
      </w:r>
      <w:r>
        <w:t xml:space="preserve">, carries a leading space, which would silently create a sixth spurious city under any grouping operation.</w:t>
      </w:r>
    </w:p>
    <w:p>
      <w:pPr>
        <w:pStyle w:val="Heading2"/>
        <w:spacing w:after="140" w:before="280"/>
      </w:pPr>
      <w:r>
        <w:t xml:space="preserve">2.3 Weather data cleaning</w:t>
      </w:r>
    </w:p>
    <w:p>
      <w:pPr>
        <w:spacing w:after="140" w:line="276"/>
        <w:jc w:val="both"/>
      </w:pPr>
      <w:r>
        <w:rPr>
          <w:b/>
          <w:bCs/>
        </w:rPr>
        <w:t xml:space="preserve">Timestamp standardisation.</w:t>
      </w:r>
      <w:r>
        <w:t xml:space="preserve"> Both timestamp columns were parsed with </w:t>
      </w:r>
      <w:r>
        <w:rPr>
          <w:rFonts w:ascii="Consolas" w:cs="Consolas" w:eastAsia="Consolas" w:hAnsi="Consolas"/>
          <w:sz w:val="19"/>
          <w:szCs w:val="19"/>
        </w:rPr>
        <w:t xml:space="preserve">utc=True</w:t>
      </w:r>
      <w:r>
        <w:t xml:space="preserve">, converting every value to a single unambiguous UTC instant. All joins, sorting and lag construction are performed in UTC; local Spanish time is reintroduced later only for extracting calendar features, where it is the behaviourally correct clock.</w:t>
      </w:r>
    </w:p>
    <w:p>
      <w:pPr>
        <w:spacing w:after="140" w:line="276"/>
        <w:jc w:val="both"/>
      </w:pPr>
      <w:r>
        <w:rPr>
          <w:b/>
          <w:bCs/>
        </w:rPr>
        <w:t xml:space="preserve">City-name normalisation.</w:t>
      </w:r>
      <w:r>
        <w:t xml:space="preserve"> Whitespace was stripped from </w:t>
      </w:r>
      <w:r>
        <w:rPr>
          <w:rFonts w:ascii="Consolas" w:cs="Consolas" w:eastAsia="Consolas" w:hAnsi="Consolas"/>
          <w:sz w:val="19"/>
          <w:szCs w:val="19"/>
        </w:rPr>
        <w:t xml:space="preserve">city_name</w:t>
      </w:r>
      <w:r>
        <w:t xml:space="preserve">, confirming exactly five distinct cities.</w:t>
      </w:r>
    </w:p>
    <w:p>
      <w:pPr>
        <w:spacing w:after="140" w:line="276"/>
        <w:jc w:val="both"/>
      </w:pPr>
      <w:r>
        <w:rPr>
          <w:b/>
          <w:bCs/>
        </w:rPr>
        <w:t xml:space="preserve">Diagnosing the surplus rows.</w:t>
      </w:r>
      <w:r>
        <w:t xml:space="preserve"> The over-count was investigated rather than assumed. Grouping by (city, timestamp) and counting distinct values of each field showed that in every multi-row group the </w:t>
      </w:r>
      <w:r>
        <w:rPr>
          <w:i/>
          <w:iCs/>
        </w:rPr>
        <w:t xml:space="preserve">numerical</w:t>
      </w:r>
      <w:r>
        <w:t xml:space="preserve"> measurements — temperature, pressure, humidity, wind speed, wind direction, rainfall, cloud cover — were identical, and only the categorical weather-condition fields differed. The surplus rows are therefore not conflicting measurements or DST artefacts but multiple simultaneous condition labels for the same physical observation (for example </w:t>
      </w:r>
      <w:r>
        <w:rPr>
          <w:rFonts w:ascii="Consolas" w:cs="Consolas" w:eastAsia="Consolas" w:hAnsi="Consolas"/>
          <w:sz w:val="19"/>
          <w:szCs w:val="19"/>
        </w:rPr>
        <w:t xml:space="preserve">rain</w:t>
      </w:r>
      <w:r>
        <w:t xml:space="preserve"> and </w:t>
      </w:r>
      <w:r>
        <w:rPr>
          <w:rFonts w:ascii="Consolas" w:cs="Consolas" w:eastAsia="Consolas" w:hAnsi="Consolas"/>
          <w:sz w:val="19"/>
          <w:szCs w:val="19"/>
        </w:rPr>
        <w:t xml:space="preserve">mist</w:t>
      </w:r>
      <w:r>
        <w:t xml:space="preserve"> recorded together).</w:t>
      </w:r>
    </w:p>
    <w:p>
      <w:pPr>
        <w:spacing w:after="140" w:line="276"/>
        <w:jc w:val="both"/>
      </w:pPr>
      <w:r>
        <w:rPr>
          <w:b/>
          <w:bCs/>
        </w:rPr>
        <w:t xml:space="preserve">Deduplication.</w:t>
      </w:r>
      <w:r>
        <w:t xml:space="preserve"> Twenty-one fully identical rows were removed first (178,396 → 178,375). The remaining multi-row groups were collapsed to one row per (city, timestamp) by taking the first value of each numeric field — valid precisely because those values were proven identical — while concatenating the unique categorical labels so no information was silently discarded. This removed a further 3,055 rows, yielding exactly 175,320 rows = 5 × 35,064, i.e. a complete, gap-free hourly panel for five cities.</w:t>
      </w:r>
    </w:p>
    <w:p>
      <w:pPr>
        <w:spacing w:after="140" w:line="276"/>
        <w:jc w:val="both"/>
      </w:pPr>
      <w:r>
        <w:rPr>
          <w:b/>
          <w:bCs/>
        </w:rPr>
        <w:t xml:space="preserve">Unit conversion and column pruning.</w:t>
      </w:r>
      <w:r>
        <w:t xml:space="preserve"> Temperatures were converted from Kelvin to Celsius; the Kelvin originals were then dropped so that two unit systems could not both reach the model. The four categorical weather-condition columns were dropped, on the grounds that their information content is largely redundant with the numeric cloud-cover, rainfall and humidity fields already present, and that one-hot encoding a concatenated multi-label string would generate a large and sparse feature block for little expected gain.</w:t>
      </w:r>
    </w:p>
    <w:p>
      <w:pPr>
        <w:pStyle w:val="Heading2"/>
        <w:spacing w:after="140" w:before="280"/>
      </w:pPr>
      <w:r>
        <w:t xml:space="preserve">2.4 Electricity data cleaning</w:t>
      </w:r>
    </w:p>
    <w:p>
      <w:pPr>
        <w:spacing w:after="140" w:line="276"/>
        <w:jc w:val="both"/>
      </w:pPr>
      <w:r>
        <w:t xml:space="preserve">The two entirely empty columns were dropped. The 36 rows with a missing </w:t>
      </w:r>
      <w:r>
        <w:rPr>
          <w:i/>
          <w:iCs/>
        </w:rPr>
        <w:t xml:space="preserve">target</w:t>
      </w:r>
      <w:r>
        <w:t xml:space="preserve"> were deleted rather than imputed: imputing a target contaminates evaluation, because the model would be scored against a value that the imputation procedure — not the world — supplied. For the generation and forecast predictors, whose gaps are of the order of 0.05% and occur as isolated single hours, a forward fill was applied; over a one-hour gap in a smooth hourly series this is a low-risk interpolation. The cleaned table has 35,028 rows × 28 columns with no remaining missing values.</w:t>
      </w:r>
    </w:p>
    <w:p>
      <w:pPr>
        <w:pStyle w:val="Heading2"/>
        <w:spacing w:after="140" w:before="280"/>
      </w:pPr>
      <w:r>
        <w:t xml:space="preserve">2.5 Population-weighted spatial aggregation</w:t>
      </w:r>
    </w:p>
    <w:p>
      <w:pPr>
        <w:spacing w:after="140" w:line="276"/>
        <w:jc w:val="both"/>
      </w:pPr>
      <w:r>
        <w:t xml:space="preserve">The target is a single national load series, so the five city-level weather series must be reduced to one national series. A simple unweighted mean would give Bilbao (population ≈ 345,000) the same influence as Madrid (≈ 3.2 million), even though Madrid represents an order of magnitude more electricity consumers.</w:t>
      </w:r>
    </w:p>
    <w:p>
      <w:pPr>
        <w:spacing w:after="140" w:line="276"/>
        <w:jc w:val="both"/>
      </w:pPr>
      <w:r>
        <w:t xml:space="preserve">Each numeric weather variable was therefore aggregated as a population-weighted mean across the five cities, with weights equal to city population:</w:t>
      </w:r>
    </w:p>
    <w:p>
      <w:pPr>
        <w:spacing w:after="180" w:before="100"/>
        <w:jc w:val="center"/>
      </w:pPr>
      <w:r>
        <w:rPr>
          <w:i/>
          <w:iCs/>
          <w:sz w:val="21"/>
          <w:szCs w:val="21"/>
        </w:rPr>
        <w:t xml:space="preserve">x̄ₜ = Σ_c ( w_c · x_{c,t} ) / Σ_c w_c ,   where w_c = population of city c</w:t>
      </w:r>
    </w:p>
    <w:p>
      <w:pPr>
        <w:spacing w:after="140" w:line="276"/>
        <w:jc w:val="both"/>
      </w:pPr>
      <w:r>
        <w:t xml:space="preserve">using approximate 2018 municipal populations from Spain's national statistics register: Madrid 3,223,000; Barcelona 1,620,000; Valencia 791,000; Seville 689,000; Bilbao 345,000. The result is a single Spain-wide hourly weather series of 35,064 rows.</w:t>
      </w:r>
    </w:p>
    <w:p>
      <w:pPr>
        <w:pStyle w:val="Heading2"/>
        <w:spacing w:after="140" w:before="280"/>
      </w:pPr>
      <w:r>
        <w:t xml:space="preserve">2.6 Dataset integration</w:t>
      </w:r>
    </w:p>
    <w:p>
      <w:pPr>
        <w:spacing w:after="140" w:line="276"/>
        <w:jc w:val="both"/>
      </w:pPr>
      <w:r>
        <w:t xml:space="preserve">The national weather series was inner-joined to the cleaned electricity table on the UTC timestamp. The join produced 35,028 rows — exactly the electricity row count — with zero electricity timestamps unmatched, zero duplicated timestamps, and no missing values introduced. The 36 weather timestamps that found no partner correspond precisely to the rows deleted for a missing target. The merged analysis table has 39 columns.</w:t>
      </w:r>
    </w:p>
    <w:p>
      <w:pPr>
        <w:spacing w:after="140" w:line="276"/>
        <w:jc w:val="both"/>
      </w:pPr>
      <w:r>
        <w:t xml:space="preserve">Generation-by-source columns were retained in the merged table even though they are not demand predictors, because the emissions analysis requires them.</w:t>
      </w:r>
    </w:p>
    <w:p>
      <w:pPr>
        <w:pStyle w:val="Heading2"/>
        <w:spacing w:after="140" w:before="280"/>
      </w:pPr>
      <w:r>
        <w:t xml:space="preserve">2.7 Feature engineering</w:t>
      </w:r>
    </w:p>
    <w:p>
      <w:pPr>
        <w:pStyle w:val="Heading3"/>
        <w:spacing w:after="120" w:before="220"/>
      </w:pPr>
      <w:r>
        <w:t xml:space="preserve">2.7.1 Calendar features</w:t>
      </w:r>
    </w:p>
    <w:p>
      <w:pPr>
        <w:spacing w:after="140" w:line="276"/>
        <w:jc w:val="both"/>
      </w:pPr>
      <w:r>
        <w:t xml:space="preserve">Hour of day, day of week, month, a weekend indicator and a meteorological season label were extracted after converting the UTC index to </w:t>
      </w:r>
      <w:r>
        <w:rPr>
          <w:rFonts w:ascii="Consolas" w:cs="Consolas" w:eastAsia="Consolas" w:hAnsi="Consolas"/>
          <w:sz w:val="19"/>
          <w:szCs w:val="19"/>
        </w:rPr>
        <w:t xml:space="preserve">Europe/Madrid</w:t>
      </w:r>
      <w:r>
        <w:t xml:space="preserve"> local time. This matters: demand patterns follow the local clock — morning activity, the Spanish evening peak, working-week routines — and extracting them from UTC would shift every feature by one hour for part of the year and two hours for the rest, blurring exactly the structure the features exist to capture.</w:t>
      </w:r>
    </w:p>
    <w:p>
      <w:pPr>
        <w:pStyle w:val="Heading3"/>
        <w:spacing w:after="120" w:before="220"/>
      </w:pPr>
      <w:r>
        <w:t xml:space="preserve">2.7.2 Autoregressive features</w:t>
      </w:r>
    </w:p>
    <w:p>
      <w:pPr>
        <w:spacing w:after="140" w:line="276"/>
        <w:jc w:val="both"/>
      </w:pPr>
      <w:r>
        <w:t xml:space="preserve">Five features summarise recent demand history: demand one hour, one day and one week earlier (the latter two aligning the same hour and, for the weekly lag, the same weekday), plus the rolling mean and standard deviation of the preceding 24 hours.</w:t>
      </w:r>
    </w:p>
    <w:p>
      <w:pPr>
        <w:spacing w:after="140" w:line="276"/>
        <w:jc w:val="both"/>
      </w:pPr>
      <w:r>
        <w:t xml:space="preserve">Leakage was prevented structurally. The frame was sorted chronologically before any shift. The rolling statistics apply </w:t>
      </w:r>
      <w:r>
        <w:rPr>
          <w:rFonts w:ascii="Consolas" w:cs="Consolas" w:eastAsia="Consolas" w:hAnsi="Consolas"/>
          <w:sz w:val="19"/>
          <w:szCs w:val="19"/>
        </w:rPr>
        <w:t xml:space="preserve">shift(1)</w:t>
      </w:r>
      <w:r>
        <w:t xml:space="preserve"> </w:t>
      </w:r>
      <w:r>
        <w:rPr>
          <w:i/>
          <w:iCs/>
        </w:rPr>
        <w:t xml:space="preserve">before</w:t>
      </w:r>
      <w:r>
        <w:t xml:space="preserve"> the rolling window, so the window closes at t−1 and never includes the current hour — a rolling mean computed without that shift would include the target itself and would be a partial copy of it.</w:t>
      </w:r>
    </w:p>
    <w:p>
      <w:pPr>
        <w:pStyle w:val="Heading3"/>
        <w:spacing w:after="120" w:before="220"/>
      </w:pPr>
      <w:r>
        <w:t xml:space="preserve">2.7.3 Degree-day features</w:t>
      </w:r>
    </w:p>
    <w:p>
      <w:pPr>
        <w:spacing w:after="140" w:line="276"/>
        <w:jc w:val="both"/>
      </w:pPr>
      <w:r>
        <w:t xml:space="preserve">For the response models, temperature was additionally transformed into heating and cooling degrees about a balance point T_b:</w:t>
      </w:r>
    </w:p>
    <w:p>
      <w:pPr>
        <w:spacing w:after="60" w:before="100"/>
        <w:jc w:val="center"/>
      </w:pPr>
      <w:r>
        <w:rPr>
          <w:i/>
          <w:iCs/>
          <w:sz w:val="21"/>
          <w:szCs w:val="21"/>
        </w:rPr>
        <w:t xml:space="preserve">CDD_t = max(T_t − T_b, 0)     (cooling degrees)</w:t>
      </w:r>
    </w:p>
    <w:p>
      <w:pPr>
        <w:spacing w:after="180"/>
        <w:jc w:val="center"/>
      </w:pPr>
      <w:r>
        <w:rPr>
          <w:i/>
          <w:iCs/>
          <w:sz w:val="21"/>
          <w:szCs w:val="21"/>
        </w:rPr>
        <w:t xml:space="preserve">HDD_t = max(T_b − T_t, 0)     (heating degrees)</w:t>
      </w:r>
    </w:p>
    <w:p>
      <w:pPr>
        <w:spacing w:after="140" w:line="276"/>
        <w:jc w:val="both"/>
      </w:pPr>
      <w:r>
        <w:t xml:space="preserve">with T_b = 18 °C, the international convention for degree-day accounting. This is the transformation that allows a </w:t>
      </w:r>
      <w:r>
        <w:rPr>
          <w:i/>
          <w:iCs/>
        </w:rPr>
        <w:t xml:space="preserve">linear</w:t>
      </w:r>
      <w:r>
        <w:t xml:space="preserve"> model to represent a V- or U-shaped response: the two arms receive separate coefficients, so the fitted function is piecewise linear with a kink at the balance point rather than a single straight line. The sensitivity of the results to T_b is tested in Section 3.15.</w:t>
      </w:r>
    </w:p>
    <w:p>
      <w:pPr>
        <w:pStyle w:val="Heading2"/>
        <w:spacing w:after="140" w:before="280"/>
      </w:pPr>
      <w:r>
        <w:t xml:space="preserve">2.8 Chronological train/test split</w:t>
      </w:r>
    </w:p>
    <w:p>
      <w:pPr>
        <w:spacing w:after="140" w:line="276"/>
        <w:jc w:val="both"/>
      </w:pPr>
      <w:r>
        <w:t xml:space="preserve">The data were split by time, not at random: training on 2015–2017 and testing on 2018. Random splitting a time series is invalid here for two reasons. It would train on future observations to predict past ones, and — more damagingly — with lag features present, a randomly held-out hour's neighbours would sit in the training set, so the model would effectively have been shown the answer.</w:t>
      </w:r>
    </w:p>
    <w:p>
      <w:pPr>
        <w:spacing w:after="140" w:line="276"/>
        <w:jc w:val="both"/>
      </w:pPr>
      <w:r>
        <w:t xml:space="preserve">The split yields 26,271 training rows and 8,757 test rows (25.0% of the data). Rows with missing lag features were dropped </w:t>
      </w:r>
      <w:r>
        <w:rPr>
          <w:i/>
          <w:iCs/>
        </w:rPr>
        <w:t xml:space="preserve">after</w:t>
      </w:r>
      <w:r>
        <w:t xml:space="preserve"> the split and independently within each partition, so that the 168 unavoidable missing rows at the very start of the series (from the weekly lookback) are charged to the training set alone and do not consume test observations. Final shapes: 26,103 training rows, 8,757 test rows.</w:t>
      </w:r>
    </w:p>
    <w:p>
      <w:pPr>
        <w:pStyle w:val="Heading2"/>
        <w:spacing w:after="140" w:before="280"/>
      </w:pPr>
      <w:r>
        <w:t xml:space="preserve">2.9 A two-model design</w:t>
      </w:r>
    </w:p>
    <w:p>
      <w:pPr>
        <w:spacing w:after="140" w:line="276"/>
        <w:jc w:val="both"/>
      </w:pPr>
      <w:r>
        <w:t xml:space="preserve">Two model families were built, distinguished by what they are allowed to see.</w:t>
      </w:r>
    </w:p>
    <w:p>
      <w:pPr>
        <w:spacing w:after="140" w:line="276"/>
        <w:jc w:val="both"/>
      </w:pPr>
      <w:r>
        <w:rPr>
          <w:b/>
          <w:bCs/>
        </w:rPr>
        <w:t xml:space="preserve">Model A — forecasting.</w:t>
      </w:r>
      <w:r>
        <w:t xml:space="preserve"> Inputs: same-hour weather, calendar features, and the five autoregressive demand features. Purpose: short-horizon operational prediction. </w:t>
      </w:r>
      <w:r>
        <w:rPr>
          <w:i/>
          <w:iCs/>
        </w:rPr>
        <w:t xml:space="preserve">Not valid</w:t>
      </w:r>
      <w:r>
        <w:t xml:space="preserve"> for counterfactual scenarios, for the reason given in Section 1.2.</w:t>
      </w:r>
    </w:p>
    <w:p>
      <w:pPr>
        <w:spacing w:after="140" w:line="276"/>
        <w:jc w:val="both"/>
      </w:pPr>
      <w:r>
        <w:rPr>
          <w:b/>
          <w:bCs/>
        </w:rPr>
        <w:t xml:space="preserve">Model B — response.</w:t>
      </w:r>
      <w:r>
        <w:t xml:space="preserve"> Inputs: weather and calendar features only, with no demand history of any kind. Purpose: to estimate the demand response to weather, so that weather can be intervened upon. Model B is necessarily far less accurate than Model A, and that is expected rather than a defect — it is solving a harder problem with strictly less information.</w:t>
      </w:r>
    </w:p>
    <w:p>
      <w:pPr>
        <w:pStyle w:val="Heading2"/>
        <w:spacing w:after="140" w:before="280"/>
      </w:pPr>
      <w:r>
        <w:t xml:space="preserve">2.10 Model A specifications</w:t>
      </w:r>
    </w:p>
    <w:p>
      <w:pPr>
        <w:spacing w:after="140" w:line="276"/>
        <w:jc w:val="both"/>
      </w:pPr>
      <w:r>
        <w:t xml:space="preserve">Four models were compared:</w:t>
      </w:r>
    </w:p>
    <w:p>
      <w:pPr>
        <w:pStyle w:val="ListParagraph"/>
        <w:numPr>
          <w:ilvl w:val="0"/>
          <w:numId w:val="4"/>
        </w:numPr>
        <w:spacing w:after="90" w:line="276"/>
      </w:pPr>
      <w:r>
        <w:rPr>
          <w:b/>
          <w:bCs/>
        </w:rPr>
        <w:t xml:space="preserve">Naive persistence baseline:</w:t>
      </w:r>
      <w:r>
        <w:t xml:space="preserve"> predict this hour equal to last hour. Any model that cannot beat this has learned nothing of value.</w:t>
      </w:r>
    </w:p>
    <w:p>
      <w:pPr>
        <w:pStyle w:val="ListParagraph"/>
        <w:numPr>
          <w:ilvl w:val="0"/>
          <w:numId w:val="4"/>
        </w:numPr>
        <w:spacing w:after="90" w:line="276"/>
      </w:pPr>
      <w:r>
        <w:rPr>
          <w:b/>
          <w:bCs/>
        </w:rPr>
        <w:t xml:space="preserve">Linear Regression:</w:t>
      </w:r>
      <w:r>
        <w:t xml:space="preserve"> fully interpretable, but structurally unable to represent the U-shaped temperature response.</w:t>
      </w:r>
    </w:p>
    <w:p>
      <w:pPr>
        <w:pStyle w:val="ListParagraph"/>
        <w:numPr>
          <w:ilvl w:val="0"/>
          <w:numId w:val="4"/>
        </w:numPr>
        <w:spacing w:after="90" w:line="276"/>
      </w:pPr>
      <w:r>
        <w:rPr>
          <w:b/>
          <w:bCs/>
        </w:rPr>
        <w:t xml:space="preserve">Random Forest Regressor:</w:t>
      </w:r>
      <w:r>
        <w:t xml:space="preserve"> 200 trees, </w:t>
      </w:r>
      <w:r>
        <w:rPr>
          <w:rFonts w:ascii="Consolas" w:cs="Consolas" w:eastAsia="Consolas" w:hAnsi="Consolas"/>
          <w:sz w:val="19"/>
          <w:szCs w:val="19"/>
        </w:rPr>
        <w:t xml:space="preserve">max_depth=15</w:t>
      </w:r>
      <w:r>
        <w:t xml:space="preserve">. Captures non-linearity and feature interactions by construction.</w:t>
      </w:r>
    </w:p>
    <w:p>
      <w:pPr>
        <w:pStyle w:val="ListParagraph"/>
        <w:numPr>
          <w:ilvl w:val="0"/>
          <w:numId w:val="4"/>
        </w:numPr>
        <w:spacing w:after="90" w:line="276"/>
      </w:pPr>
      <w:r>
        <w:rPr>
          <w:b/>
          <w:bCs/>
        </w:rPr>
        <w:t xml:space="preserve">Gradient Boosting Regressor:</w:t>
      </w:r>
      <w:r>
        <w:t xml:space="preserve"> 200 estimators, </w:t>
      </w:r>
      <w:r>
        <w:rPr>
          <w:rFonts w:ascii="Consolas" w:cs="Consolas" w:eastAsia="Consolas" w:hAnsi="Consolas"/>
          <w:sz w:val="19"/>
          <w:szCs w:val="19"/>
        </w:rPr>
        <w:t xml:space="preserve">max_depth=4</w:t>
      </w:r>
      <w:r>
        <w:t xml:space="preserve">, learning rate 0.1. Sequential error-correcting trees.</w:t>
      </w:r>
    </w:p>
    <w:p>
      <w:pPr>
        <w:spacing w:after="140" w:line="276"/>
        <w:jc w:val="both"/>
      </w:pPr>
      <w:r>
        <w:t xml:space="preserve">The single categorical feature (</w:t>
      </w:r>
      <w:r>
        <w:rPr>
          <w:rFonts w:ascii="Consolas" w:cs="Consolas" w:eastAsia="Consolas" w:hAnsi="Consolas"/>
          <w:sz w:val="19"/>
          <w:szCs w:val="19"/>
        </w:rPr>
        <w:t xml:space="preserve">season</w:t>
      </w:r>
      <w:r>
        <w:t xml:space="preserve">) was one-hot encoded with </w:t>
      </w:r>
      <w:r>
        <w:rPr>
          <w:rFonts w:ascii="Consolas" w:cs="Consolas" w:eastAsia="Consolas" w:hAnsi="Consolas"/>
          <w:sz w:val="19"/>
          <w:szCs w:val="19"/>
        </w:rPr>
        <w:t xml:space="preserve">drop_first=True</w:t>
      </w:r>
      <w:r>
        <w:t xml:space="preserve">; encoding categories were established on the training partition and the test matrix was reindexed to the training columns, so no category unseen in training can appear at test time. </w:t>
      </w:r>
      <w:r>
        <w:rPr>
          <w:rFonts w:ascii="Consolas" w:cs="Consolas" w:eastAsia="Consolas" w:hAnsi="Consolas"/>
          <w:sz w:val="19"/>
          <w:szCs w:val="19"/>
        </w:rPr>
        <w:t xml:space="preserve">temp_min</w:t>
      </w:r>
      <w:r>
        <w:t xml:space="preserve"> and </w:t>
      </w:r>
      <w:r>
        <w:rPr>
          <w:rFonts w:ascii="Consolas" w:cs="Consolas" w:eastAsia="Consolas" w:hAnsi="Consolas"/>
          <w:sz w:val="19"/>
          <w:szCs w:val="19"/>
        </w:rPr>
        <w:t xml:space="preserve">temp_max</w:t>
      </w:r>
      <w:r>
        <w:t xml:space="preserve"> were excluded after the correlation analysis showed them to be near-collinear with </w:t>
      </w:r>
      <w:r>
        <w:rPr>
          <w:rFonts w:ascii="Consolas" w:cs="Consolas" w:eastAsia="Consolas" w:hAnsi="Consolas"/>
          <w:sz w:val="19"/>
          <w:szCs w:val="19"/>
        </w:rPr>
        <w:t xml:space="preserve">temp</w:t>
      </w:r>
      <w:r>
        <w:t xml:space="preserve"> (r ≈ 0.96–0.99), contributing multicollinearity without information.</w:t>
      </w:r>
    </w:p>
    <w:p>
      <w:pPr>
        <w:pStyle w:val="Heading2"/>
        <w:spacing w:after="140" w:before="280"/>
      </w:pPr>
      <w:r>
        <w:t xml:space="preserve">2.11 Model B specifications</w:t>
      </w:r>
    </w:p>
    <w:p>
      <w:pPr>
        <w:spacing w:after="140" w:line="276"/>
        <w:jc w:val="both"/>
      </w:pPr>
      <w:r>
        <w:t xml:space="preserve">Four specifications were compared on the same test set:</w:t>
      </w:r>
    </w:p>
    <w:p>
      <w:pPr>
        <w:pStyle w:val="ListParagraph"/>
        <w:numPr>
          <w:ilvl w:val="0"/>
          <w:numId w:val="5"/>
        </w:numPr>
        <w:spacing w:after="110" w:line="276"/>
        <w:jc w:val="both"/>
      </w:pPr>
      <w:r>
        <w:rPr>
          <w:b/>
          <w:bCs/>
        </w:rPr>
        <w:t xml:space="preserve">Random Forest response model.</w:t>
      </w:r>
      <w:r>
        <w:t xml:space="preserve"> 300 trees, </w:t>
      </w:r>
      <w:r>
        <w:rPr>
          <w:rFonts w:ascii="Consolas" w:cs="Consolas" w:eastAsia="Consolas" w:hAnsi="Consolas"/>
          <w:sz w:val="19"/>
          <w:szCs w:val="19"/>
        </w:rPr>
        <w:t xml:space="preserve">min_samples_leaf=5</w:t>
      </w:r>
      <w:r>
        <w:t xml:space="preserve">. The leaf-size floor is deliberate: with singleton leaves the forest memorises individual hours and its predictions become jagged step functions, which injects numerical noise directly into scenario differences.</w:t>
      </w:r>
    </w:p>
    <w:p>
      <w:pPr>
        <w:pStyle w:val="ListParagraph"/>
        <w:numPr>
          <w:ilvl w:val="0"/>
          <w:numId w:val="5"/>
        </w:numPr>
        <w:spacing w:after="110" w:line="276"/>
        <w:jc w:val="both"/>
      </w:pPr>
      <w:r>
        <w:rPr>
          <w:b/>
          <w:bCs/>
        </w:rPr>
        <w:t xml:space="preserve">Linear HDD/CDD model.</w:t>
      </w:r>
      <w:r>
        <w:t xml:space="preserve"> Cooling and heating degrees, humidity and wind speed, plus </w:t>
      </w:r>
      <w:r>
        <w:rPr>
          <w:i/>
          <w:iCs/>
        </w:rPr>
        <w:t xml:space="preserve">one-hot</w:t>
      </w:r>
      <w:r>
        <w:t xml:space="preserve"> encoded hour, day of week and month. The one-hot encoding is essential here: left as integers, a linear model would read hour 23 as "23 times as much of something" as hour 1, which is meaningless. Tree models are indifferent to this; linear models are not.</w:t>
      </w:r>
    </w:p>
    <w:p>
      <w:pPr>
        <w:pStyle w:val="ListParagraph"/>
        <w:numPr>
          <w:ilvl w:val="0"/>
          <w:numId w:val="5"/>
        </w:numPr>
        <w:spacing w:after="110" w:line="276"/>
        <w:jc w:val="both"/>
      </w:pPr>
      <w:r>
        <w:rPr>
          <w:b/>
          <w:bCs/>
        </w:rPr>
        <w:t xml:space="preserve">Piecewise degree-band model.</w:t>
      </w:r>
      <w:r>
        <w:t xml:space="preserve"> Rather than one cooling slope, the temperature range is divided into bands (18–22, 22–26, 26–30, 30+ °C for cooling; 18–14, 14–10, 10–6, below 6 °C for heating) and each band receives its own coefficient. Each hour contributes its degrees to whichever bands it spans, so a 24 °C hour contributes 4 degrees to the 18–22 band and 2 to the 22–26 band. Each coefficient is then MW per °C </w:t>
      </w:r>
      <w:r>
        <w:rPr>
          <w:i/>
          <w:iCs/>
        </w:rPr>
        <w:t xml:space="preserve">within</w:t>
      </w:r>
      <w:r>
        <w:t xml:space="preserve"> that band, which directly tests whether the response is convex.</w:t>
      </w:r>
    </w:p>
    <w:p>
      <w:pPr>
        <w:pStyle w:val="ListParagraph"/>
        <w:numPr>
          <w:ilvl w:val="0"/>
          <w:numId w:val="5"/>
        </w:numPr>
        <w:spacing w:after="110" w:line="276"/>
        <w:jc w:val="both"/>
      </w:pPr>
      <w:r>
        <w:rPr>
          <w:b/>
          <w:bCs/>
        </w:rPr>
        <w:t xml:space="preserve">Linear model with time-of-day interactions.</w:t>
      </w:r>
      <w:r>
        <w:t xml:space="preserve"> CDD and HDD are interacted with four time blocks — night (0–7h), morning (8–13h), afternoon (14–19h), evening (20–23h). Four blocks rather than 24 hourly interactions keeps every cell well populated and avoids the collinearity that destabilises band coefficients. Each block coefficient is a deviation from the main effect, so the cooling slope in a block is the main effect plus that block's deviation.</w:t>
      </w:r>
    </w:p>
    <w:p>
      <w:pPr>
        <w:pStyle w:val="Heading2"/>
        <w:spacing w:after="140" w:before="280"/>
      </w:pPr>
      <w:r>
        <w:t xml:space="preserve">2.12 Counterfactual scenario construction</w:t>
      </w:r>
    </w:p>
    <w:p>
      <w:pPr>
        <w:spacing w:after="140" w:line="276"/>
        <w:jc w:val="both"/>
      </w:pPr>
      <w:r>
        <w:t xml:space="preserve">A scenario is implemented by rebuilding the entire design matrix from a shifted temperature series, T' = T + Δ, for Δ ∈ {1, 2, 3} °C, and re-predicting.</w:t>
      </w:r>
    </w:p>
    <w:p>
      <w:pPr>
        <w:spacing w:after="140" w:line="276"/>
        <w:jc w:val="both"/>
      </w:pPr>
      <w:r>
        <w:t xml:space="preserve">The critical detail is that CDD and HDD are </w:t>
      </w:r>
      <w:r>
        <w:rPr>
          <w:b/>
          <w:bCs/>
        </w:rPr>
        <w:t xml:space="preserve">recomputed</w:t>
      </w:r>
      <w:r>
        <w:t xml:space="preserve"> from the shifted temperature rather than carried over. Shifting temperature while leaving the degree-day columns at their original values would produce a design matrix that is internally inconsistent — claiming a warmer hour with unchanged cooling load — and the scenario would be meaningless. This was verified programmatically: comparing the baseline and +1 °C matrices column-by-column confirmed that exactly three columns differ (</w:t>
      </w:r>
      <w:r>
        <w:rPr>
          <w:rFonts w:ascii="Consolas" w:cs="Consolas" w:eastAsia="Consolas" w:hAnsi="Consolas"/>
          <w:sz w:val="19"/>
          <w:szCs w:val="19"/>
        </w:rPr>
        <w:t xml:space="preserve">temp</w:t>
      </w:r>
      <w:r>
        <w:t xml:space="preserve">, </w:t>
      </w:r>
      <w:r>
        <w:rPr>
          <w:rFonts w:ascii="Consolas" w:cs="Consolas" w:eastAsia="Consolas" w:hAnsi="Consolas"/>
          <w:sz w:val="19"/>
          <w:szCs w:val="19"/>
        </w:rPr>
        <w:t xml:space="preserve">cdd</w:t>
      </w:r>
      <w:r>
        <w:t xml:space="preserve">, </w:t>
      </w:r>
      <w:r>
        <w:rPr>
          <w:rFonts w:ascii="Consolas" w:cs="Consolas" w:eastAsia="Consolas" w:hAnsi="Consolas"/>
          <w:sz w:val="19"/>
          <w:szCs w:val="19"/>
        </w:rPr>
        <w:t xml:space="preserve">hdd</w:t>
      </w:r>
      <w:r>
        <w:t xml:space="preserve">) and all calendar and other weather columns are bit-identical.</w:t>
      </w:r>
    </w:p>
    <w:p>
      <w:pPr>
        <w:spacing w:after="140" w:line="276"/>
        <w:jc w:val="both"/>
      </w:pPr>
      <w:r>
        <w:t xml:space="preserve">Scenario effects are reported as the mean difference between scenario and baseline predictions, computed pointwise over the 8,757 test hours and then averaged, overall and within each season.</w:t>
      </w:r>
    </w:p>
    <w:p>
      <w:pPr>
        <w:pStyle w:val="Heading2"/>
        <w:spacing w:after="140" w:before="280"/>
      </w:pPr>
      <w:r>
        <w:t xml:space="preserve">2.13 Uncertainty quantification</w:t>
      </w:r>
    </w:p>
    <w:p>
      <w:pPr>
        <w:spacing w:after="140" w:line="276"/>
        <w:jc w:val="both"/>
      </w:pPr>
      <w:r>
        <w:t xml:space="preserve">Two bootstrap schemes were used, and the distinction between them is one of the methodological findings of the project.</w:t>
      </w:r>
    </w:p>
    <w:p>
      <w:pPr>
        <w:spacing w:after="140" w:line="276"/>
        <w:jc w:val="both"/>
      </w:pPr>
      <w:r>
        <w:rPr>
          <w:b/>
          <w:bCs/>
        </w:rPr>
        <w:t xml:space="preserve">Scheme 1 (hour resampling).</w:t>
      </w:r>
      <w:r>
        <w:t xml:space="preserve"> The initial approach resampled which test hours the scenario effect is averaged over, in blocks of whole days rather than individual hours. Day blocks are necessary because hourly demand is strongly autocorrelated: resampling individual hours would treat 8,757 observations as independent when the effective sample size is closer to 365, and would produce intervals that are far too narrow.</w:t>
      </w:r>
    </w:p>
    <w:p>
      <w:pPr>
        <w:spacing w:after="140" w:line="276"/>
        <w:jc w:val="both"/>
      </w:pPr>
      <w:r>
        <w:rPr>
          <w:b/>
          <w:bCs/>
        </w:rPr>
        <w:t xml:space="preserve">Scheme 2 (coefficient uncertainty — primary).</w:t>
      </w:r>
      <w:r>
        <w:t xml:space="preserve"> Scheme 1 captures the wrong quantity. It measures uncertainty in </w:t>
      </w:r>
      <w:r>
        <w:rPr>
          <w:i/>
          <w:iCs/>
        </w:rPr>
        <w:t xml:space="preserve">which hours we averaged</w:t>
      </w:r>
      <w:r>
        <w:t xml:space="preserve">, but the dominant uncertainty is in the </w:t>
      </w:r>
      <w:r>
        <w:rPr>
          <w:i/>
          <w:iCs/>
        </w:rPr>
        <w:t xml:space="preserve">fitted coefficients</w:t>
      </w:r>
      <w:r>
        <w:t xml:space="preserve"> themselves: a cooling slope estimated from four years of data would have come out differently given a different four years, and the scenario effect inherits that. For a linear model the per-hour effect is a fixed function of the coefficients, so within a season it is nearly constant across hours and Scheme 1 collapses to a spuriously tight interval.</w:t>
      </w:r>
    </w:p>
    <w:p>
      <w:pPr>
        <w:spacing w:after="140" w:line="276"/>
        <w:jc w:val="both"/>
      </w:pPr>
      <w:r>
        <w:t xml:space="preserve">The primary intervals therefore resample whole training </w:t>
      </w:r>
      <w:r>
        <w:rPr>
          <w:i/>
          <w:iCs/>
        </w:rPr>
        <w:t xml:space="preserve">days</w:t>
      </w:r>
      <w:r>
        <w:t xml:space="preserve"> with replacement, refit the model on each resample, and recompute the scenario effect. Three hundred refits were performed. The spread across refits is the coefficient uncertainty, and the reported 95% intervals are the 2.5th and 97.5th percentiles of that distribution.</w:t>
      </w:r>
    </w:p>
    <w:p>
      <w:pPr>
        <w:pStyle w:val="Heading2"/>
        <w:spacing w:after="140" w:before="280"/>
      </w:pPr>
      <w:r>
        <w:t xml:space="preserve">2.14 Statistical classification rule</w:t>
      </w:r>
    </w:p>
    <w:p>
      <w:pPr>
        <w:spacing w:after="140" w:line="276"/>
        <w:jc w:val="both"/>
      </w:pPr>
      <w:r>
        <w:t xml:space="preserve">Each season/scenario pair was classified by its confidence interval rather than by an arbitrary magnitude threshold:</w:t>
      </w:r>
    </w:p>
    <w:tbl>
      <w:tblPr>
        <w:tblW w:type="dxa" w:w="9026"/>
        <w:tblBorders>
          <w:top w:val="single" w:color="000000" w:sz="8"/>
          <w:left w:val="none" w:color="FFFFFF" w:sz="0"/>
          <w:bottom w:val="single" w:color="000000" w:sz="8"/>
          <w:right w:val="none" w:color="FFFFFF" w:sz="0"/>
          <w:insideH w:val="single" w:color="BBBBBB" w:sz="2"/>
          <w:insideV w:val="none" w:color="FFFFFF" w:sz="0"/>
        </w:tblBorders>
      </w:tblPr>
      <w:tblGrid>
        <w:gridCol w:w="5400"/>
        <w:gridCol w:w="3626"/>
      </w:tblGrid>
      <w:tr>
        <w:trPr>
          <w:tblHeader/>
        </w:trPr>
        <w:tc>
          <w:tcPr>
            <w:tcW w:type="dxa" w:w="5400"/>
            <w:shd w:fill="E8E8E8" w:color="auto" w:val="clear"/>
            <w:tcMar>
              <w:top w:type="dxa" w:w="60"/>
              <w:left w:type="dxa" w:w="90"/>
              <w:bottom w:type="dxa" w:w="60"/>
              <w:right w:type="dxa" w:w="90"/>
            </w:tcMar>
          </w:tcPr>
          <w:p>
            <w:pPr>
              <w:spacing w:after="0" w:line="240"/>
              <w:jc w:val="left"/>
            </w:pPr>
            <w:r>
              <w:rPr>
                <w:b/>
                <w:bCs/>
                <w:sz w:val="18"/>
                <w:szCs w:val="18"/>
              </w:rPr>
              <w:t xml:space="preserve">Condition</w:t>
            </w:r>
          </w:p>
        </w:tc>
        <w:tc>
          <w:tcPr>
            <w:tcW w:type="dxa" w:w="3626"/>
            <w:shd w:fill="E8E8E8" w:color="auto" w:val="clear"/>
            <w:tcMar>
              <w:top w:type="dxa" w:w="60"/>
              <w:left w:type="dxa" w:w="90"/>
              <w:bottom w:type="dxa" w:w="60"/>
              <w:right w:type="dxa" w:w="90"/>
            </w:tcMar>
          </w:tcPr>
          <w:p>
            <w:pPr>
              <w:spacing w:after="0" w:line="240"/>
              <w:jc w:val="left"/>
            </w:pPr>
            <w:r>
              <w:rPr>
                <w:b/>
                <w:bCs/>
                <w:sz w:val="18"/>
                <w:szCs w:val="18"/>
              </w:rPr>
              <w:t xml:space="preserve">Classification</w:t>
            </w:r>
          </w:p>
        </w:tc>
      </w:tr>
      <w:tr>
        <w:tc>
          <w:tcPr>
            <w:tcW w:type="dxa" w:w="5400"/>
            <w:tcMar>
              <w:top w:type="dxa" w:w="60"/>
              <w:left w:type="dxa" w:w="90"/>
              <w:bottom w:type="dxa" w:w="60"/>
              <w:right w:type="dxa" w:w="90"/>
            </w:tcMar>
          </w:tcPr>
          <w:p>
            <w:pPr>
              <w:spacing w:after="0" w:line="240"/>
              <w:jc w:val="left"/>
            </w:pPr>
            <w:r>
              <w:rPr>
                <w:b w:val="false"/>
                <w:bCs w:val="false"/>
                <w:sz w:val="18"/>
                <w:szCs w:val="18"/>
              </w:rPr>
              <w:t xml:space="preserve">95% CI contains zero</w:t>
            </w:r>
          </w:p>
        </w:tc>
        <w:tc>
          <w:tcPr>
            <w:tcW w:type="dxa" w:w="3626"/>
            <w:tcMar>
              <w:top w:type="dxa" w:w="60"/>
              <w:left w:type="dxa" w:w="90"/>
              <w:bottom w:type="dxa" w:w="60"/>
              <w:right w:type="dxa" w:w="90"/>
            </w:tcMar>
          </w:tcPr>
          <w:p>
            <w:pPr>
              <w:spacing w:after="0" w:line="240"/>
              <w:jc w:val="left"/>
            </w:pPr>
            <w:r>
              <w:rPr>
                <w:b w:val="false"/>
                <w:bCs w:val="false"/>
                <w:sz w:val="18"/>
                <w:szCs w:val="18"/>
              </w:rPr>
              <w:t xml:space="preserve">No detectable change</w:t>
            </w:r>
          </w:p>
        </w:tc>
      </w:tr>
      <w:tr>
        <w:tc>
          <w:tcPr>
            <w:tcW w:type="dxa" w:w="5400"/>
            <w:tcMar>
              <w:top w:type="dxa" w:w="60"/>
              <w:left w:type="dxa" w:w="90"/>
              <w:bottom w:type="dxa" w:w="60"/>
              <w:right w:type="dxa" w:w="90"/>
            </w:tcMar>
          </w:tcPr>
          <w:p>
            <w:pPr>
              <w:spacing w:after="0" w:line="240"/>
              <w:jc w:val="left"/>
            </w:pPr>
            <w:r>
              <w:rPr>
                <w:b w:val="false"/>
                <w:bCs w:val="false"/>
                <w:sz w:val="18"/>
                <w:szCs w:val="18"/>
              </w:rPr>
              <w:t xml:space="preserve">95% CI lies entirely above zero</w:t>
            </w:r>
          </w:p>
        </w:tc>
        <w:tc>
          <w:tcPr>
            <w:tcW w:type="dxa" w:w="3626"/>
            <w:tcMar>
              <w:top w:type="dxa" w:w="60"/>
              <w:left w:type="dxa" w:w="90"/>
              <w:bottom w:type="dxa" w:w="60"/>
              <w:right w:type="dxa" w:w="90"/>
            </w:tcMar>
          </w:tcPr>
          <w:p>
            <w:pPr>
              <w:spacing w:after="0" w:line="240"/>
              <w:jc w:val="left"/>
            </w:pPr>
            <w:r>
              <w:rPr>
                <w:b w:val="false"/>
                <w:bCs w:val="false"/>
                <w:sz w:val="18"/>
                <w:szCs w:val="18"/>
              </w:rPr>
              <w:t xml:space="preserve">Higher demand</w:t>
            </w:r>
          </w:p>
        </w:tc>
      </w:tr>
      <w:tr>
        <w:tc>
          <w:tcPr>
            <w:tcW w:type="dxa" w:w="5400"/>
            <w:tcMar>
              <w:top w:type="dxa" w:w="60"/>
              <w:left w:type="dxa" w:w="90"/>
              <w:bottom w:type="dxa" w:w="60"/>
              <w:right w:type="dxa" w:w="90"/>
            </w:tcMar>
          </w:tcPr>
          <w:p>
            <w:pPr>
              <w:spacing w:after="0" w:line="240"/>
              <w:jc w:val="left"/>
            </w:pPr>
            <w:r>
              <w:rPr>
                <w:b w:val="false"/>
                <w:bCs w:val="false"/>
                <w:sz w:val="18"/>
                <w:szCs w:val="18"/>
              </w:rPr>
              <w:t xml:space="preserve">95% CI lies entirely below zero</w:t>
            </w:r>
          </w:p>
        </w:tc>
        <w:tc>
          <w:tcPr>
            <w:tcW w:type="dxa" w:w="3626"/>
            <w:tcMar>
              <w:top w:type="dxa" w:w="60"/>
              <w:left w:type="dxa" w:w="90"/>
              <w:bottom w:type="dxa" w:w="60"/>
              <w:right w:type="dxa" w:w="90"/>
            </w:tcMar>
          </w:tcPr>
          <w:p>
            <w:pPr>
              <w:spacing w:after="0" w:line="240"/>
              <w:jc w:val="left"/>
            </w:pPr>
            <w:r>
              <w:rPr>
                <w:b w:val="false"/>
                <w:bCs w:val="false"/>
                <w:sz w:val="18"/>
                <w:szCs w:val="18"/>
              </w:rPr>
              <w:t xml:space="preserve">Lower demand</w:t>
            </w:r>
          </w:p>
        </w:tc>
      </w:tr>
    </w:tbl>
    <w:p>
      <w:pPr>
        <w:spacing w:after="180"/>
      </w:pPr>
    </w:p>
    <w:p>
      <w:pPr>
        <w:spacing w:after="140" w:line="276"/>
        <w:jc w:val="both"/>
      </w:pPr>
      <w:r>
        <w:t xml:space="preserve">An absolute MW cutoff was rejected because it makes "no change" essentially unreachable — a small threshold labels effects far below the model's own error as real findings.</w:t>
      </w:r>
    </w:p>
    <w:p>
      <w:pPr>
        <w:pStyle w:val="Heading2"/>
        <w:spacing w:after="140" w:before="280"/>
      </w:pPr>
      <w:r>
        <w:t xml:space="preserve">2.15 Emissions accounting</w:t>
      </w:r>
    </w:p>
    <w:p>
      <w:pPr>
        <w:spacing w:after="140" w:line="276"/>
        <w:jc w:val="both"/>
      </w:pPr>
      <w:r>
        <w:rPr>
          <w:b/>
          <w:bCs/>
        </w:rPr>
        <w:t xml:space="preserve">Hourly fossil CO₂.</w:t>
      </w:r>
      <w:r>
        <w:t xml:space="preserve"> Direct combustion emissions were computed per hour by multiplying each fossil generation column by a fuel-specific emission factor and summing. Nuclear, hydro, wind, solar and geothermal were assigned zero </w:t>
      </w:r>
      <w:r>
        <w:rPr>
          <w:i/>
          <w:iCs/>
        </w:rPr>
        <w:t xml:space="preserve">direct</w:t>
      </w:r>
      <w:r>
        <w:t xml:space="preserve"> combustion emissions; biomass and waste were also treated as zero, following the conventional IPCC treatment of biogenic carbon, which is a defensible but contested choice and is flagged in the limitations.</w:t>
      </w:r>
    </w:p>
    <w:p>
      <w:pPr>
        <w:spacing w:after="140" w:line="276"/>
        <w:jc w:val="both"/>
      </w:pPr>
      <w:r>
        <w:rPr>
          <w:b/>
          <w:bCs/>
        </w:rPr>
        <w:t xml:space="preserve">Average versus marginal factors.</w:t>
      </w:r>
      <w:r>
        <w:t xml:space="preserve"> Dividing total fossil CO₂ by total load gives the </w:t>
      </w:r>
      <w:r>
        <w:rPr>
          <w:i/>
          <w:iCs/>
        </w:rPr>
        <w:t xml:space="preserve">average</w:t>
      </w:r>
      <w:r>
        <w:t xml:space="preserve"> carbon intensity of the system. This is the wrong quantity for a scenario question. When demand rises by one megawatt-hour, it is not supplied by the average generator but by whichever unit is on the margin. The relevant quantity is the marginal emission factor.</w:t>
      </w:r>
    </w:p>
    <w:p>
      <w:pPr>
        <w:spacing w:after="140" w:line="276"/>
        <w:jc w:val="both"/>
      </w:pPr>
      <w:r>
        <w:rPr>
          <w:b/>
          <w:bCs/>
        </w:rPr>
        <w:t xml:space="preserve">Estimating the marginal factor.</w:t>
      </w:r>
      <w:r>
        <w:t xml:space="preserve"> Following the marginal-emission-factor literature (Hawkes 2010; Siler-Evans, Azevedo &amp; Morgan 2012), the marginal factor was estimated by regressing the hour-to-hour </w:t>
      </w:r>
      <w:r>
        <w:rPr>
          <w:i/>
          <w:iCs/>
        </w:rPr>
        <w:t xml:space="preserve">change</w:t>
      </w:r>
      <w:r>
        <w:t xml:space="preserve"> in fossil CO₂ on the hour-to-hour </w:t>
      </w:r>
      <w:r>
        <w:rPr>
          <w:i/>
          <w:iCs/>
        </w:rPr>
        <w:t xml:space="preserve">change</w:t>
      </w:r>
      <w:r>
        <w:t xml:space="preserve"> in total load:</w:t>
      </w:r>
    </w:p>
    <w:p>
      <w:pPr>
        <w:spacing w:after="180" w:before="100"/>
        <w:jc w:val="center"/>
      </w:pPr>
      <w:r>
        <w:rPr>
          <w:i/>
          <w:iCs/>
          <w:sz w:val="21"/>
          <w:szCs w:val="21"/>
        </w:rPr>
        <w:t xml:space="preserve">Δ CO₂_t = β · Δ L_t + ε_t ,   where Δ X_t = X_t − X_{t−1}</w:t>
      </w:r>
    </w:p>
    <w:p>
      <w:pPr>
        <w:spacing w:after="140" w:line="276"/>
        <w:jc w:val="both"/>
      </w:pPr>
      <w:r>
        <w:t xml:space="preserve">The slope β answers exactly the question "when demand rises by one MWh, how much additional CO₂ is emitted?". Working in first differences also removes slowly-moving confounders — fuel prices, capacity additions, seasonal patterns — because they barely change from one hour to the next. Only genuinely consecutive hour pairs were used, and the regression was fitted through the origin (zero change in demand should imply zero change in emissions), with an intercept-inclusive fit retained as a diagnostic.</w:t>
      </w:r>
    </w:p>
    <w:p>
      <w:pPr>
        <w:spacing w:after="140" w:line="276"/>
        <w:jc w:val="both"/>
      </w:pPr>
      <w:r>
        <w:rPr>
          <w:b/>
          <w:bCs/>
        </w:rPr>
        <w:t xml:space="preserve">Independent cross-check.</w:t>
      </w:r>
      <w:r>
        <w:t xml:space="preserve"> The same differencing logic was applied to every generation source separately, giving each source's MW response per MW of demand change. Recombining these slopes with their fuel emission factors reconstructs the marginal factor by a completely different route, providing an internal consistency check.</w:t>
      </w:r>
    </w:p>
    <w:p>
      <w:pPr>
        <w:spacing w:after="140" w:line="276"/>
        <w:jc w:val="both"/>
      </w:pPr>
      <w:r>
        <w:rPr>
          <w:b/>
          <w:bCs/>
        </w:rPr>
        <w:t xml:space="preserve">Converting to tonnes.</w:t>
      </w:r>
      <w:r>
        <w:t xml:space="preserve"> For a mean demand change in MW sustained over H hours with factor f in kg/kWh, emissions in tonnes are (mean ΔMW) × H × f — the MWh-to-kWh and kg-to-tonne conversions cancel.</w:t>
      </w:r>
    </w:p>
    <w:p>
      <w:pPr>
        <w:pStyle w:val="Heading2"/>
        <w:spacing w:after="140" w:before="280"/>
      </w:pPr>
      <w:r>
        <w:t xml:space="preserve">2.16 Validation diagnostics</w:t>
      </w:r>
    </w:p>
    <w:p>
      <w:pPr>
        <w:spacing w:after="140" w:line="276"/>
        <w:jc w:val="both"/>
      </w:pPr>
      <w:r>
        <w:t xml:space="preserve">Learning curves were computed for the primary and Random Forest specifications using </w:t>
      </w:r>
      <w:r>
        <w:rPr>
          <w:rFonts w:ascii="Consolas" w:cs="Consolas" w:eastAsia="Consolas" w:hAnsi="Consolas"/>
          <w:sz w:val="19"/>
          <w:szCs w:val="19"/>
        </w:rPr>
        <w:t xml:space="preserve">TimeSeriesSplit</w:t>
      </w:r>
      <w:r>
        <w:t xml:space="preserve"> with four folds. Ordinary k-fold cross-validation was avoided because it trains on future data to predict the past; </w:t>
      </w:r>
      <w:r>
        <w:rPr>
          <w:rFonts w:ascii="Consolas" w:cs="Consolas" w:eastAsia="Consolas" w:hAnsi="Consolas"/>
          <w:sz w:val="19"/>
          <w:szCs w:val="19"/>
        </w:rPr>
        <w:t xml:space="preserve">TimeSeriesSplit</w:t>
      </w:r>
      <w:r>
        <w:t xml:space="preserve"> always trains on an earlier block and validates on the block immediately following. The curves were computed on the training period only, so that the 2018 test set played no part in any internal validation decision.</w:t>
      </w:r>
    </w:p>
    <w:p>
      <w:pPr>
        <w:pStyle w:val="Heading1"/>
        <w:spacing w:after="180" w:before="360"/>
      </w:pPr>
      <w:r>
        <w:t xml:space="preserve">3. Experimental Results and Findings</w:t>
      </w:r>
    </w:p>
    <w:p>
      <w:pPr>
        <w:pStyle w:val="Heading2"/>
        <w:spacing w:after="140" w:before="280"/>
      </w:pPr>
      <w:r>
        <w:t xml:space="preserve">3.1 Data preparation outcomes</w:t>
      </w:r>
    </w:p>
    <w:p>
      <w:pPr>
        <w:spacing w:after="140" w:line="276"/>
        <w:jc w:val="both"/>
      </w:pPr>
      <w:r>
        <w:t xml:space="preserve">Table 1 traces the row counts through the pipeline. The key validation is that weather cleaning lands on exactly 5 × 35,064 = 175,320 rows, confirming a complete hourly panel with no gaps and no residual duplication, and that the merge preserves the full electricity row count without introducing duplicates or nulls.</w:t>
      </w:r>
    </w:p>
    <w:p>
      <w:pPr>
        <w:spacing w:after="90" w:before="200"/>
        <w:jc w:val="left"/>
      </w:pPr>
      <w:r>
        <w:rPr>
          <w:b/>
          <w:bCs/>
          <w:sz w:val="18"/>
          <w:szCs w:val="18"/>
        </w:rPr>
        <w:t xml:space="preserve">Table 1.</w:t>
      </w:r>
      <w:r>
        <w:rPr>
          <w:sz w:val="18"/>
          <w:szCs w:val="18"/>
        </w:rPr>
        <w:t xml:space="preserve"> Row counts through the data preparation pipeline.</w:t>
      </w:r>
    </w:p>
    <w:tbl>
      <w:tblPr>
        <w:tblW w:type="dxa" w:w="9026"/>
        <w:tblBorders>
          <w:top w:val="single" w:color="000000" w:sz="8"/>
          <w:left w:val="none" w:color="FFFFFF" w:sz="0"/>
          <w:bottom w:val="single" w:color="000000" w:sz="8"/>
          <w:right w:val="none" w:color="FFFFFF" w:sz="0"/>
          <w:insideH w:val="single" w:color="BBBBBB" w:sz="2"/>
          <w:insideV w:val="none" w:color="FFFFFF" w:sz="0"/>
        </w:tblBorders>
      </w:tblPr>
      <w:tblGrid>
        <w:gridCol w:w="1900"/>
        <w:gridCol w:w="3626"/>
        <w:gridCol w:w="1750"/>
        <w:gridCol w:w="1750"/>
      </w:tblGrid>
      <w:tr>
        <w:trPr>
          <w:tblHeader/>
        </w:trPr>
        <w:tc>
          <w:tcPr>
            <w:tcW w:type="dxa" w:w="1900"/>
            <w:shd w:fill="E8E8E8" w:color="auto" w:val="clear"/>
            <w:tcMar>
              <w:top w:type="dxa" w:w="60"/>
              <w:left w:type="dxa" w:w="90"/>
              <w:bottom w:type="dxa" w:w="60"/>
              <w:right w:type="dxa" w:w="90"/>
            </w:tcMar>
          </w:tcPr>
          <w:p>
            <w:pPr>
              <w:spacing w:after="0" w:line="240"/>
              <w:jc w:val="left"/>
            </w:pPr>
            <w:r>
              <w:rPr>
                <w:b/>
                <w:bCs/>
                <w:sz w:val="18"/>
                <w:szCs w:val="18"/>
              </w:rPr>
              <w:t xml:space="preserve">Stage</w:t>
            </w:r>
          </w:p>
        </w:tc>
        <w:tc>
          <w:tcPr>
            <w:tcW w:type="dxa" w:w="3626"/>
            <w:shd w:fill="E8E8E8" w:color="auto" w:val="clear"/>
            <w:tcMar>
              <w:top w:type="dxa" w:w="60"/>
              <w:left w:type="dxa" w:w="90"/>
              <w:bottom w:type="dxa" w:w="60"/>
              <w:right w:type="dxa" w:w="90"/>
            </w:tcMar>
          </w:tcPr>
          <w:p>
            <w:pPr>
              <w:spacing w:after="0" w:line="240"/>
              <w:jc w:val="left"/>
            </w:pPr>
            <w:r>
              <w:rPr>
                <w:b/>
                <w:bCs/>
                <w:sz w:val="18"/>
                <w:szCs w:val="18"/>
              </w:rPr>
              <w:t xml:space="preserve">Operation</w:t>
            </w:r>
          </w:p>
        </w:tc>
        <w:tc>
          <w:tcPr>
            <w:tcW w:type="dxa" w:w="1750"/>
            <w:shd w:fill="E8E8E8" w:color="auto" w:val="clear"/>
            <w:tcMar>
              <w:top w:type="dxa" w:w="60"/>
              <w:left w:type="dxa" w:w="90"/>
              <w:bottom w:type="dxa" w:w="60"/>
              <w:right w:type="dxa" w:w="90"/>
            </w:tcMar>
          </w:tcPr>
          <w:p>
            <w:pPr>
              <w:spacing w:after="0" w:line="240"/>
              <w:jc w:val="right"/>
            </w:pPr>
            <w:r>
              <w:rPr>
                <w:b/>
                <w:bCs/>
                <w:sz w:val="18"/>
                <w:szCs w:val="18"/>
              </w:rPr>
              <w:t xml:space="preserve">Rows</w:t>
            </w:r>
          </w:p>
        </w:tc>
        <w:tc>
          <w:tcPr>
            <w:tcW w:type="dxa" w:w="1750"/>
            <w:shd w:fill="E8E8E8" w:color="auto" w:val="clear"/>
            <w:tcMar>
              <w:top w:type="dxa" w:w="60"/>
              <w:left w:type="dxa" w:w="90"/>
              <w:bottom w:type="dxa" w:w="60"/>
              <w:right w:type="dxa" w:w="90"/>
            </w:tcMar>
          </w:tcPr>
          <w:p>
            <w:pPr>
              <w:spacing w:after="0" w:line="240"/>
              <w:jc w:val="right"/>
            </w:pPr>
            <w:r>
              <w:rPr>
                <w:b/>
                <w:bCs/>
                <w:sz w:val="18"/>
                <w:szCs w:val="18"/>
              </w:rPr>
              <w:t xml:space="preserve">Change</w:t>
            </w:r>
          </w:p>
        </w:tc>
      </w:tr>
      <w:tr>
        <w:tc>
          <w:tcPr>
            <w:tcW w:type="dxa" w:w="1900"/>
            <w:tcMar>
              <w:top w:type="dxa" w:w="60"/>
              <w:left w:type="dxa" w:w="90"/>
              <w:bottom w:type="dxa" w:w="60"/>
              <w:right w:type="dxa" w:w="90"/>
            </w:tcMar>
          </w:tcPr>
          <w:p>
            <w:pPr>
              <w:spacing w:after="0" w:line="240"/>
              <w:jc w:val="left"/>
            </w:pPr>
            <w:r>
              <w:rPr>
                <w:b w:val="false"/>
                <w:bCs w:val="false"/>
                <w:sz w:val="18"/>
                <w:szCs w:val="18"/>
              </w:rPr>
              <w:t xml:space="preserve">Weather, raw</w:t>
            </w:r>
          </w:p>
        </w:tc>
        <w:tc>
          <w:tcPr>
            <w:tcW w:type="dxa" w:w="3626"/>
            <w:tcMar>
              <w:top w:type="dxa" w:w="60"/>
              <w:left w:type="dxa" w:w="90"/>
              <w:bottom w:type="dxa" w:w="60"/>
              <w:right w:type="dxa" w:w="90"/>
            </w:tcMar>
          </w:tcPr>
          <w:p>
            <w:pPr>
              <w:spacing w:after="0" w:line="240"/>
              <w:jc w:val="left"/>
            </w:pPr>
            <w:r>
              <w:rPr>
                <w:b w:val="false"/>
                <w:bCs w:val="false"/>
                <w:sz w:val="18"/>
                <w:szCs w:val="18"/>
              </w:rPr>
              <w:t xml:space="preserve">—</w:t>
            </w:r>
          </w:p>
        </w:tc>
        <w:tc>
          <w:tcPr>
            <w:tcW w:type="dxa" w:w="1750"/>
            <w:tcMar>
              <w:top w:type="dxa" w:w="60"/>
              <w:left w:type="dxa" w:w="90"/>
              <w:bottom w:type="dxa" w:w="60"/>
              <w:right w:type="dxa" w:w="90"/>
            </w:tcMar>
          </w:tcPr>
          <w:p>
            <w:pPr>
              <w:spacing w:after="0" w:line="240"/>
              <w:jc w:val="right"/>
            </w:pPr>
            <w:r>
              <w:rPr>
                <w:b w:val="false"/>
                <w:bCs w:val="false"/>
                <w:sz w:val="18"/>
                <w:szCs w:val="18"/>
              </w:rPr>
              <w:t xml:space="preserve">178,396</w:t>
            </w:r>
          </w:p>
        </w:tc>
        <w:tc>
          <w:tcPr>
            <w:tcW w:type="dxa" w:w="1750"/>
            <w:tcMar>
              <w:top w:type="dxa" w:w="60"/>
              <w:left w:type="dxa" w:w="90"/>
              <w:bottom w:type="dxa" w:w="60"/>
              <w:right w:type="dxa" w:w="90"/>
            </w:tcMar>
          </w:tcPr>
          <w:p>
            <w:pPr>
              <w:spacing w:after="0" w:line="240"/>
              <w:jc w:val="right"/>
            </w:pPr>
            <w:r>
              <w:rPr>
                <w:b w:val="false"/>
                <w:bCs w:val="false"/>
                <w:sz w:val="18"/>
                <w:szCs w:val="18"/>
              </w:rPr>
              <w:t xml:space="preserve">—</w:t>
            </w:r>
          </w:p>
        </w:tc>
      </w:tr>
      <w:tr>
        <w:tc>
          <w:tcPr>
            <w:tcW w:type="dxa" w:w="1900"/>
            <w:tcMar>
              <w:top w:type="dxa" w:w="60"/>
              <w:left w:type="dxa" w:w="90"/>
              <w:bottom w:type="dxa" w:w="60"/>
              <w:right w:type="dxa" w:w="90"/>
            </w:tcMar>
          </w:tcPr>
          <w:p>
            <w:pPr>
              <w:spacing w:after="0" w:line="240"/>
              <w:jc w:val="left"/>
            </w:pPr>
            <w:r>
              <w:rPr>
                <w:b w:val="false"/>
                <w:bCs w:val="false"/>
                <w:sz w:val="18"/>
                <w:szCs w:val="18"/>
              </w:rPr>
              <w:t xml:space="preserve">Weather</w:t>
            </w:r>
          </w:p>
        </w:tc>
        <w:tc>
          <w:tcPr>
            <w:tcW w:type="dxa" w:w="3626"/>
            <w:tcMar>
              <w:top w:type="dxa" w:w="60"/>
              <w:left w:type="dxa" w:w="90"/>
              <w:bottom w:type="dxa" w:w="60"/>
              <w:right w:type="dxa" w:w="90"/>
            </w:tcMar>
          </w:tcPr>
          <w:p>
            <w:pPr>
              <w:spacing w:after="0" w:line="240"/>
              <w:jc w:val="left"/>
            </w:pPr>
            <w:r>
              <w:rPr>
                <w:b w:val="false"/>
                <w:bCs w:val="false"/>
                <w:sz w:val="18"/>
                <w:szCs w:val="18"/>
              </w:rPr>
              <w:t xml:space="preserve">Remove exact duplicates</w:t>
            </w:r>
          </w:p>
        </w:tc>
        <w:tc>
          <w:tcPr>
            <w:tcW w:type="dxa" w:w="1750"/>
            <w:tcMar>
              <w:top w:type="dxa" w:w="60"/>
              <w:left w:type="dxa" w:w="90"/>
              <w:bottom w:type="dxa" w:w="60"/>
              <w:right w:type="dxa" w:w="90"/>
            </w:tcMar>
          </w:tcPr>
          <w:p>
            <w:pPr>
              <w:spacing w:after="0" w:line="240"/>
              <w:jc w:val="right"/>
            </w:pPr>
            <w:r>
              <w:rPr>
                <w:b w:val="false"/>
                <w:bCs w:val="false"/>
                <w:sz w:val="18"/>
                <w:szCs w:val="18"/>
              </w:rPr>
              <w:t xml:space="preserve">178,375</w:t>
            </w:r>
          </w:p>
        </w:tc>
        <w:tc>
          <w:tcPr>
            <w:tcW w:type="dxa" w:w="1750"/>
            <w:tcMar>
              <w:top w:type="dxa" w:w="60"/>
              <w:left w:type="dxa" w:w="90"/>
              <w:bottom w:type="dxa" w:w="60"/>
              <w:right w:type="dxa" w:w="90"/>
            </w:tcMar>
          </w:tcPr>
          <w:p>
            <w:pPr>
              <w:spacing w:after="0" w:line="240"/>
              <w:jc w:val="right"/>
            </w:pPr>
            <w:r>
              <w:rPr>
                <w:b w:val="false"/>
                <w:bCs w:val="false"/>
                <w:sz w:val="18"/>
                <w:szCs w:val="18"/>
              </w:rPr>
              <w:t xml:space="preserve">−21</w:t>
            </w:r>
          </w:p>
        </w:tc>
      </w:tr>
      <w:tr>
        <w:tc>
          <w:tcPr>
            <w:tcW w:type="dxa" w:w="1900"/>
            <w:tcMar>
              <w:top w:type="dxa" w:w="60"/>
              <w:left w:type="dxa" w:w="90"/>
              <w:bottom w:type="dxa" w:w="60"/>
              <w:right w:type="dxa" w:w="90"/>
            </w:tcMar>
          </w:tcPr>
          <w:p>
            <w:pPr>
              <w:spacing w:after="0" w:line="240"/>
              <w:jc w:val="left"/>
            </w:pPr>
            <w:r>
              <w:rPr>
                <w:b w:val="false"/>
                <w:bCs w:val="false"/>
                <w:sz w:val="18"/>
                <w:szCs w:val="18"/>
              </w:rPr>
              <w:t xml:space="preserve">Weather</w:t>
            </w:r>
          </w:p>
        </w:tc>
        <w:tc>
          <w:tcPr>
            <w:tcW w:type="dxa" w:w="3626"/>
            <w:tcMar>
              <w:top w:type="dxa" w:w="60"/>
              <w:left w:type="dxa" w:w="90"/>
              <w:bottom w:type="dxa" w:w="60"/>
              <w:right w:type="dxa" w:w="90"/>
            </w:tcMar>
          </w:tcPr>
          <w:p>
            <w:pPr>
              <w:spacing w:after="0" w:line="240"/>
              <w:jc w:val="left"/>
            </w:pPr>
            <w:r>
              <w:rPr>
                <w:b w:val="false"/>
                <w:bCs w:val="false"/>
                <w:sz w:val="18"/>
                <w:szCs w:val="18"/>
              </w:rPr>
              <w:t xml:space="preserve">Collapse city/timestamp groups</w:t>
            </w:r>
          </w:p>
        </w:tc>
        <w:tc>
          <w:tcPr>
            <w:tcW w:type="dxa" w:w="1750"/>
            <w:tcMar>
              <w:top w:type="dxa" w:w="60"/>
              <w:left w:type="dxa" w:w="90"/>
              <w:bottom w:type="dxa" w:w="60"/>
              <w:right w:type="dxa" w:w="90"/>
            </w:tcMar>
          </w:tcPr>
          <w:p>
            <w:pPr>
              <w:spacing w:after="0" w:line="240"/>
              <w:jc w:val="right"/>
            </w:pPr>
            <w:r>
              <w:rPr>
                <w:b w:val="false"/>
                <w:bCs w:val="false"/>
                <w:sz w:val="18"/>
                <w:szCs w:val="18"/>
              </w:rPr>
              <w:t xml:space="preserve">175,320</w:t>
            </w:r>
          </w:p>
        </w:tc>
        <w:tc>
          <w:tcPr>
            <w:tcW w:type="dxa" w:w="1750"/>
            <w:tcMar>
              <w:top w:type="dxa" w:w="60"/>
              <w:left w:type="dxa" w:w="90"/>
              <w:bottom w:type="dxa" w:w="60"/>
              <w:right w:type="dxa" w:w="90"/>
            </w:tcMar>
          </w:tcPr>
          <w:p>
            <w:pPr>
              <w:spacing w:after="0" w:line="240"/>
              <w:jc w:val="right"/>
            </w:pPr>
            <w:r>
              <w:rPr>
                <w:b w:val="false"/>
                <w:bCs w:val="false"/>
                <w:sz w:val="18"/>
                <w:szCs w:val="18"/>
              </w:rPr>
              <w:t xml:space="preserve">−3,055</w:t>
            </w:r>
          </w:p>
        </w:tc>
      </w:tr>
      <w:tr>
        <w:tc>
          <w:tcPr>
            <w:tcW w:type="dxa" w:w="1900"/>
            <w:tcMar>
              <w:top w:type="dxa" w:w="60"/>
              <w:left w:type="dxa" w:w="90"/>
              <w:bottom w:type="dxa" w:w="60"/>
              <w:right w:type="dxa" w:w="90"/>
            </w:tcMar>
          </w:tcPr>
          <w:p>
            <w:pPr>
              <w:spacing w:after="0" w:line="240"/>
              <w:jc w:val="left"/>
            </w:pPr>
            <w:r>
              <w:rPr>
                <w:b w:val="false"/>
                <w:bCs w:val="false"/>
                <w:sz w:val="18"/>
                <w:szCs w:val="18"/>
              </w:rPr>
              <w:t xml:space="preserve">Weather</w:t>
            </w:r>
          </w:p>
        </w:tc>
        <w:tc>
          <w:tcPr>
            <w:tcW w:type="dxa" w:w="3626"/>
            <w:tcMar>
              <w:top w:type="dxa" w:w="60"/>
              <w:left w:type="dxa" w:w="90"/>
              <w:bottom w:type="dxa" w:w="60"/>
              <w:right w:type="dxa" w:w="90"/>
            </w:tcMar>
          </w:tcPr>
          <w:p>
            <w:pPr>
              <w:spacing w:after="0" w:line="240"/>
              <w:jc w:val="left"/>
            </w:pPr>
            <w:r>
              <w:rPr>
                <w:b w:val="false"/>
                <w:bCs w:val="false"/>
                <w:sz w:val="18"/>
                <w:szCs w:val="18"/>
              </w:rPr>
              <w:t xml:space="preserve">Population-weighted aggregation</w:t>
            </w:r>
          </w:p>
        </w:tc>
        <w:tc>
          <w:tcPr>
            <w:tcW w:type="dxa" w:w="1750"/>
            <w:tcMar>
              <w:top w:type="dxa" w:w="60"/>
              <w:left w:type="dxa" w:w="90"/>
              <w:bottom w:type="dxa" w:w="60"/>
              <w:right w:type="dxa" w:w="90"/>
            </w:tcMar>
          </w:tcPr>
          <w:p>
            <w:pPr>
              <w:spacing w:after="0" w:line="240"/>
              <w:jc w:val="right"/>
            </w:pPr>
            <w:r>
              <w:rPr>
                <w:b w:val="false"/>
                <w:bCs w:val="false"/>
                <w:sz w:val="18"/>
                <w:szCs w:val="18"/>
              </w:rPr>
              <w:t xml:space="preserve">35,064</w:t>
            </w:r>
          </w:p>
        </w:tc>
        <w:tc>
          <w:tcPr>
            <w:tcW w:type="dxa" w:w="1750"/>
            <w:tcMar>
              <w:top w:type="dxa" w:w="60"/>
              <w:left w:type="dxa" w:w="90"/>
              <w:bottom w:type="dxa" w:w="60"/>
              <w:right w:type="dxa" w:w="90"/>
            </w:tcMar>
          </w:tcPr>
          <w:p>
            <w:pPr>
              <w:spacing w:after="0" w:line="240"/>
              <w:jc w:val="right"/>
            </w:pPr>
            <w:r>
              <w:rPr>
                <w:b w:val="false"/>
                <w:bCs w:val="false"/>
                <w:sz w:val="18"/>
                <w:szCs w:val="18"/>
              </w:rPr>
              <w:t xml:space="preserve">−140,256</w:t>
            </w:r>
          </w:p>
        </w:tc>
      </w:tr>
      <w:tr>
        <w:tc>
          <w:tcPr>
            <w:tcW w:type="dxa" w:w="1900"/>
            <w:tcMar>
              <w:top w:type="dxa" w:w="60"/>
              <w:left w:type="dxa" w:w="90"/>
              <w:bottom w:type="dxa" w:w="60"/>
              <w:right w:type="dxa" w:w="90"/>
            </w:tcMar>
          </w:tcPr>
          <w:p>
            <w:pPr>
              <w:spacing w:after="0" w:line="240"/>
              <w:jc w:val="left"/>
            </w:pPr>
            <w:r>
              <w:rPr>
                <w:b w:val="false"/>
                <w:bCs w:val="false"/>
                <w:sz w:val="18"/>
                <w:szCs w:val="18"/>
              </w:rPr>
              <w:t xml:space="preserve">Electricity, raw</w:t>
            </w:r>
          </w:p>
        </w:tc>
        <w:tc>
          <w:tcPr>
            <w:tcW w:type="dxa" w:w="3626"/>
            <w:tcMar>
              <w:top w:type="dxa" w:w="60"/>
              <w:left w:type="dxa" w:w="90"/>
              <w:bottom w:type="dxa" w:w="60"/>
              <w:right w:type="dxa" w:w="90"/>
            </w:tcMar>
          </w:tcPr>
          <w:p>
            <w:pPr>
              <w:spacing w:after="0" w:line="240"/>
              <w:jc w:val="left"/>
            </w:pPr>
            <w:r>
              <w:rPr>
                <w:b w:val="false"/>
                <w:bCs w:val="false"/>
                <w:sz w:val="18"/>
                <w:szCs w:val="18"/>
              </w:rPr>
              <w:t xml:space="preserve">—</w:t>
            </w:r>
          </w:p>
        </w:tc>
        <w:tc>
          <w:tcPr>
            <w:tcW w:type="dxa" w:w="1750"/>
            <w:tcMar>
              <w:top w:type="dxa" w:w="60"/>
              <w:left w:type="dxa" w:w="90"/>
              <w:bottom w:type="dxa" w:w="60"/>
              <w:right w:type="dxa" w:w="90"/>
            </w:tcMar>
          </w:tcPr>
          <w:p>
            <w:pPr>
              <w:spacing w:after="0" w:line="240"/>
              <w:jc w:val="right"/>
            </w:pPr>
            <w:r>
              <w:rPr>
                <w:b w:val="false"/>
                <w:bCs w:val="false"/>
                <w:sz w:val="18"/>
                <w:szCs w:val="18"/>
              </w:rPr>
              <w:t xml:space="preserve">35,064</w:t>
            </w:r>
          </w:p>
        </w:tc>
        <w:tc>
          <w:tcPr>
            <w:tcW w:type="dxa" w:w="1750"/>
            <w:tcMar>
              <w:top w:type="dxa" w:w="60"/>
              <w:left w:type="dxa" w:w="90"/>
              <w:bottom w:type="dxa" w:w="60"/>
              <w:right w:type="dxa" w:w="90"/>
            </w:tcMar>
          </w:tcPr>
          <w:p>
            <w:pPr>
              <w:spacing w:after="0" w:line="240"/>
              <w:jc w:val="right"/>
            </w:pPr>
            <w:r>
              <w:rPr>
                <w:b w:val="false"/>
                <w:bCs w:val="false"/>
                <w:sz w:val="18"/>
                <w:szCs w:val="18"/>
              </w:rPr>
              <w:t xml:space="preserve">—</w:t>
            </w:r>
          </w:p>
        </w:tc>
      </w:tr>
      <w:tr>
        <w:tc>
          <w:tcPr>
            <w:tcW w:type="dxa" w:w="1900"/>
            <w:tcMar>
              <w:top w:type="dxa" w:w="60"/>
              <w:left w:type="dxa" w:w="90"/>
              <w:bottom w:type="dxa" w:w="60"/>
              <w:right w:type="dxa" w:w="90"/>
            </w:tcMar>
          </w:tcPr>
          <w:p>
            <w:pPr>
              <w:spacing w:after="0" w:line="240"/>
              <w:jc w:val="left"/>
            </w:pPr>
            <w:r>
              <w:rPr>
                <w:b w:val="false"/>
                <w:bCs w:val="false"/>
                <w:sz w:val="18"/>
                <w:szCs w:val="18"/>
              </w:rPr>
              <w:t xml:space="preserve">Electricity</w:t>
            </w:r>
          </w:p>
        </w:tc>
        <w:tc>
          <w:tcPr>
            <w:tcW w:type="dxa" w:w="3626"/>
            <w:tcMar>
              <w:top w:type="dxa" w:w="60"/>
              <w:left w:type="dxa" w:w="90"/>
              <w:bottom w:type="dxa" w:w="60"/>
              <w:right w:type="dxa" w:w="90"/>
            </w:tcMar>
          </w:tcPr>
          <w:p>
            <w:pPr>
              <w:spacing w:after="0" w:line="240"/>
              <w:jc w:val="left"/>
            </w:pPr>
            <w:r>
              <w:rPr>
                <w:b w:val="false"/>
                <w:bCs w:val="false"/>
                <w:sz w:val="18"/>
                <w:szCs w:val="18"/>
              </w:rPr>
              <w:t xml:space="preserve">Drop 2 empty columns</w:t>
            </w:r>
          </w:p>
        </w:tc>
        <w:tc>
          <w:tcPr>
            <w:tcW w:type="dxa" w:w="1750"/>
            <w:tcMar>
              <w:top w:type="dxa" w:w="60"/>
              <w:left w:type="dxa" w:w="90"/>
              <w:bottom w:type="dxa" w:w="60"/>
              <w:right w:type="dxa" w:w="90"/>
            </w:tcMar>
          </w:tcPr>
          <w:p>
            <w:pPr>
              <w:spacing w:after="0" w:line="240"/>
              <w:jc w:val="right"/>
            </w:pPr>
            <w:r>
              <w:rPr>
                <w:b w:val="false"/>
                <w:bCs w:val="false"/>
                <w:sz w:val="18"/>
                <w:szCs w:val="18"/>
              </w:rPr>
              <w:t xml:space="preserve">35,064</w:t>
            </w:r>
          </w:p>
        </w:tc>
        <w:tc>
          <w:tcPr>
            <w:tcW w:type="dxa" w:w="1750"/>
            <w:tcMar>
              <w:top w:type="dxa" w:w="60"/>
              <w:left w:type="dxa" w:w="90"/>
              <w:bottom w:type="dxa" w:w="60"/>
              <w:right w:type="dxa" w:w="90"/>
            </w:tcMar>
          </w:tcPr>
          <w:p>
            <w:pPr>
              <w:spacing w:after="0" w:line="240"/>
              <w:jc w:val="right"/>
            </w:pPr>
            <w:r>
              <w:rPr>
                <w:b w:val="false"/>
                <w:bCs w:val="false"/>
                <w:sz w:val="18"/>
                <w:szCs w:val="18"/>
              </w:rPr>
              <w:t xml:space="preserve">0</w:t>
            </w:r>
          </w:p>
        </w:tc>
      </w:tr>
      <w:tr>
        <w:tc>
          <w:tcPr>
            <w:tcW w:type="dxa" w:w="1900"/>
            <w:tcMar>
              <w:top w:type="dxa" w:w="60"/>
              <w:left w:type="dxa" w:w="90"/>
              <w:bottom w:type="dxa" w:w="60"/>
              <w:right w:type="dxa" w:w="90"/>
            </w:tcMar>
          </w:tcPr>
          <w:p>
            <w:pPr>
              <w:spacing w:after="0" w:line="240"/>
              <w:jc w:val="left"/>
            </w:pPr>
            <w:r>
              <w:rPr>
                <w:b w:val="false"/>
                <w:bCs w:val="false"/>
                <w:sz w:val="18"/>
                <w:szCs w:val="18"/>
              </w:rPr>
              <w:t xml:space="preserve">Electricity</w:t>
            </w:r>
          </w:p>
        </w:tc>
        <w:tc>
          <w:tcPr>
            <w:tcW w:type="dxa" w:w="3626"/>
            <w:tcMar>
              <w:top w:type="dxa" w:w="60"/>
              <w:left w:type="dxa" w:w="90"/>
              <w:bottom w:type="dxa" w:w="60"/>
              <w:right w:type="dxa" w:w="90"/>
            </w:tcMar>
          </w:tcPr>
          <w:p>
            <w:pPr>
              <w:spacing w:after="0" w:line="240"/>
              <w:jc w:val="left"/>
            </w:pPr>
            <w:r>
              <w:rPr>
                <w:b w:val="false"/>
                <w:bCs w:val="false"/>
                <w:sz w:val="18"/>
                <w:szCs w:val="18"/>
              </w:rPr>
              <w:t xml:space="preserve">Drop rows with missing target</w:t>
            </w:r>
          </w:p>
        </w:tc>
        <w:tc>
          <w:tcPr>
            <w:tcW w:type="dxa" w:w="1750"/>
            <w:tcMar>
              <w:top w:type="dxa" w:w="60"/>
              <w:left w:type="dxa" w:w="90"/>
              <w:bottom w:type="dxa" w:w="60"/>
              <w:right w:type="dxa" w:w="90"/>
            </w:tcMar>
          </w:tcPr>
          <w:p>
            <w:pPr>
              <w:spacing w:after="0" w:line="240"/>
              <w:jc w:val="right"/>
            </w:pPr>
            <w:r>
              <w:rPr>
                <w:b w:val="false"/>
                <w:bCs w:val="false"/>
                <w:sz w:val="18"/>
                <w:szCs w:val="18"/>
              </w:rPr>
              <w:t xml:space="preserve">35,028</w:t>
            </w:r>
          </w:p>
        </w:tc>
        <w:tc>
          <w:tcPr>
            <w:tcW w:type="dxa" w:w="1750"/>
            <w:tcMar>
              <w:top w:type="dxa" w:w="60"/>
              <w:left w:type="dxa" w:w="90"/>
              <w:bottom w:type="dxa" w:w="60"/>
              <w:right w:type="dxa" w:w="90"/>
            </w:tcMar>
          </w:tcPr>
          <w:p>
            <w:pPr>
              <w:spacing w:after="0" w:line="240"/>
              <w:jc w:val="right"/>
            </w:pPr>
            <w:r>
              <w:rPr>
                <w:b w:val="false"/>
                <w:bCs w:val="false"/>
                <w:sz w:val="18"/>
                <w:szCs w:val="18"/>
              </w:rPr>
              <w:t xml:space="preserve">−36</w:t>
            </w:r>
          </w:p>
        </w:tc>
      </w:tr>
      <w:tr>
        <w:tc>
          <w:tcPr>
            <w:tcW w:type="dxa" w:w="1900"/>
            <w:tcMar>
              <w:top w:type="dxa" w:w="60"/>
              <w:left w:type="dxa" w:w="90"/>
              <w:bottom w:type="dxa" w:w="60"/>
              <w:right w:type="dxa" w:w="90"/>
            </w:tcMar>
          </w:tcPr>
          <w:p>
            <w:pPr>
              <w:spacing w:after="0" w:line="240"/>
              <w:jc w:val="left"/>
            </w:pPr>
            <w:r>
              <w:rPr>
                <w:b w:val="false"/>
                <w:bCs w:val="false"/>
                <w:sz w:val="18"/>
                <w:szCs w:val="18"/>
              </w:rPr>
              <w:t xml:space="preserve">Merged</w:t>
            </w:r>
          </w:p>
        </w:tc>
        <w:tc>
          <w:tcPr>
            <w:tcW w:type="dxa" w:w="3626"/>
            <w:tcMar>
              <w:top w:type="dxa" w:w="60"/>
              <w:left w:type="dxa" w:w="90"/>
              <w:bottom w:type="dxa" w:w="60"/>
              <w:right w:type="dxa" w:w="90"/>
            </w:tcMar>
          </w:tcPr>
          <w:p>
            <w:pPr>
              <w:spacing w:after="0" w:line="240"/>
              <w:jc w:val="left"/>
            </w:pPr>
            <w:r>
              <w:rPr>
                <w:b w:val="false"/>
                <w:bCs w:val="false"/>
                <w:sz w:val="18"/>
                <w:szCs w:val="18"/>
              </w:rPr>
              <w:t xml:space="preserve">Inner join on UTC timestamp</w:t>
            </w:r>
          </w:p>
        </w:tc>
        <w:tc>
          <w:tcPr>
            <w:tcW w:type="dxa" w:w="1750"/>
            <w:tcMar>
              <w:top w:type="dxa" w:w="60"/>
              <w:left w:type="dxa" w:w="90"/>
              <w:bottom w:type="dxa" w:w="60"/>
              <w:right w:type="dxa" w:w="90"/>
            </w:tcMar>
          </w:tcPr>
          <w:p>
            <w:pPr>
              <w:spacing w:after="0" w:line="240"/>
              <w:jc w:val="right"/>
            </w:pPr>
            <w:r>
              <w:rPr>
                <w:b w:val="false"/>
                <w:bCs w:val="false"/>
                <w:sz w:val="18"/>
                <w:szCs w:val="18"/>
              </w:rPr>
              <w:t xml:space="preserve">35,028</w:t>
            </w:r>
          </w:p>
        </w:tc>
        <w:tc>
          <w:tcPr>
            <w:tcW w:type="dxa" w:w="1750"/>
            <w:tcMar>
              <w:top w:type="dxa" w:w="60"/>
              <w:left w:type="dxa" w:w="90"/>
              <w:bottom w:type="dxa" w:w="60"/>
              <w:right w:type="dxa" w:w="90"/>
            </w:tcMar>
          </w:tcPr>
          <w:p>
            <w:pPr>
              <w:spacing w:after="0" w:line="240"/>
              <w:jc w:val="right"/>
            </w:pPr>
            <w:r>
              <w:rPr>
                <w:b w:val="false"/>
                <w:bCs w:val="false"/>
                <w:sz w:val="18"/>
                <w:szCs w:val="18"/>
              </w:rPr>
              <w:t xml:space="preserve">0</w:t>
            </w:r>
          </w:p>
        </w:tc>
      </w:tr>
      <w:tr>
        <w:tc>
          <w:tcPr>
            <w:tcW w:type="dxa" w:w="1900"/>
            <w:tcMar>
              <w:top w:type="dxa" w:w="60"/>
              <w:left w:type="dxa" w:w="90"/>
              <w:bottom w:type="dxa" w:w="60"/>
              <w:right w:type="dxa" w:w="90"/>
            </w:tcMar>
          </w:tcPr>
          <w:p>
            <w:pPr>
              <w:spacing w:after="0" w:line="240"/>
              <w:jc w:val="left"/>
            </w:pPr>
            <w:r>
              <w:rPr>
                <w:b w:val="false"/>
                <w:bCs w:val="false"/>
                <w:sz w:val="18"/>
                <w:szCs w:val="18"/>
              </w:rPr>
              <w:t xml:space="preserve">Train</w:t>
            </w:r>
          </w:p>
        </w:tc>
        <w:tc>
          <w:tcPr>
            <w:tcW w:type="dxa" w:w="3626"/>
            <w:tcMar>
              <w:top w:type="dxa" w:w="60"/>
              <w:left w:type="dxa" w:w="90"/>
              <w:bottom w:type="dxa" w:w="60"/>
              <w:right w:type="dxa" w:w="90"/>
            </w:tcMar>
          </w:tcPr>
          <w:p>
            <w:pPr>
              <w:spacing w:after="0" w:line="240"/>
              <w:jc w:val="left"/>
            </w:pPr>
            <w:r>
              <w:rPr>
                <w:b w:val="false"/>
                <w:bCs w:val="false"/>
                <w:sz w:val="18"/>
                <w:szCs w:val="18"/>
              </w:rPr>
              <w:t xml:space="preserve">2015–2017, lag rows dropped</w:t>
            </w:r>
          </w:p>
        </w:tc>
        <w:tc>
          <w:tcPr>
            <w:tcW w:type="dxa" w:w="1750"/>
            <w:tcMar>
              <w:top w:type="dxa" w:w="60"/>
              <w:left w:type="dxa" w:w="90"/>
              <w:bottom w:type="dxa" w:w="60"/>
              <w:right w:type="dxa" w:w="90"/>
            </w:tcMar>
          </w:tcPr>
          <w:p>
            <w:pPr>
              <w:spacing w:after="0" w:line="240"/>
              <w:jc w:val="right"/>
            </w:pPr>
            <w:r>
              <w:rPr>
                <w:b w:val="false"/>
                <w:bCs w:val="false"/>
                <w:sz w:val="18"/>
                <w:szCs w:val="18"/>
              </w:rPr>
              <w:t xml:space="preserve">26,103</w:t>
            </w:r>
          </w:p>
        </w:tc>
        <w:tc>
          <w:tcPr>
            <w:tcW w:type="dxa" w:w="1750"/>
            <w:tcMar>
              <w:top w:type="dxa" w:w="60"/>
              <w:left w:type="dxa" w:w="90"/>
              <w:bottom w:type="dxa" w:w="60"/>
              <w:right w:type="dxa" w:w="90"/>
            </w:tcMar>
          </w:tcPr>
          <w:p>
            <w:pPr>
              <w:spacing w:after="0" w:line="240"/>
              <w:jc w:val="right"/>
            </w:pPr>
            <w:r>
              <w:rPr>
                <w:b w:val="false"/>
                <w:bCs w:val="false"/>
                <w:sz w:val="18"/>
                <w:szCs w:val="18"/>
              </w:rPr>
              <w:t xml:space="preserve">−168</w:t>
            </w:r>
          </w:p>
        </w:tc>
      </w:tr>
      <w:tr>
        <w:tc>
          <w:tcPr>
            <w:tcW w:type="dxa" w:w="1900"/>
            <w:tcMar>
              <w:top w:type="dxa" w:w="60"/>
              <w:left w:type="dxa" w:w="90"/>
              <w:bottom w:type="dxa" w:w="60"/>
              <w:right w:type="dxa" w:w="90"/>
            </w:tcMar>
          </w:tcPr>
          <w:p>
            <w:pPr>
              <w:spacing w:after="0" w:line="240"/>
              <w:jc w:val="left"/>
            </w:pPr>
            <w:r>
              <w:rPr>
                <w:b w:val="false"/>
                <w:bCs w:val="false"/>
                <w:sz w:val="18"/>
                <w:szCs w:val="18"/>
              </w:rPr>
              <w:t xml:space="preserve">Test</w:t>
            </w:r>
          </w:p>
        </w:tc>
        <w:tc>
          <w:tcPr>
            <w:tcW w:type="dxa" w:w="3626"/>
            <w:tcMar>
              <w:top w:type="dxa" w:w="60"/>
              <w:left w:type="dxa" w:w="90"/>
              <w:bottom w:type="dxa" w:w="60"/>
              <w:right w:type="dxa" w:w="90"/>
            </w:tcMar>
          </w:tcPr>
          <w:p>
            <w:pPr>
              <w:spacing w:after="0" w:line="240"/>
              <w:jc w:val="left"/>
            </w:pPr>
            <w:r>
              <w:rPr>
                <w:b w:val="false"/>
                <w:bCs w:val="false"/>
                <w:sz w:val="18"/>
                <w:szCs w:val="18"/>
              </w:rPr>
              <w:t xml:space="preserve">2018</w:t>
            </w:r>
          </w:p>
        </w:tc>
        <w:tc>
          <w:tcPr>
            <w:tcW w:type="dxa" w:w="1750"/>
            <w:tcMar>
              <w:top w:type="dxa" w:w="60"/>
              <w:left w:type="dxa" w:w="90"/>
              <w:bottom w:type="dxa" w:w="60"/>
              <w:right w:type="dxa" w:w="90"/>
            </w:tcMar>
          </w:tcPr>
          <w:p>
            <w:pPr>
              <w:spacing w:after="0" w:line="240"/>
              <w:jc w:val="right"/>
            </w:pPr>
            <w:r>
              <w:rPr>
                <w:b w:val="false"/>
                <w:bCs w:val="false"/>
                <w:sz w:val="18"/>
                <w:szCs w:val="18"/>
              </w:rPr>
              <w:t xml:space="preserve">8,757</w:t>
            </w:r>
          </w:p>
        </w:tc>
        <w:tc>
          <w:tcPr>
            <w:tcW w:type="dxa" w:w="1750"/>
            <w:tcMar>
              <w:top w:type="dxa" w:w="60"/>
              <w:left w:type="dxa" w:w="90"/>
              <w:bottom w:type="dxa" w:w="60"/>
              <w:right w:type="dxa" w:w="90"/>
            </w:tcMar>
          </w:tcPr>
          <w:p>
            <w:pPr>
              <w:spacing w:after="0" w:line="240"/>
              <w:jc w:val="right"/>
            </w:pPr>
            <w:r>
              <w:rPr>
                <w:b w:val="false"/>
                <w:bCs w:val="false"/>
                <w:sz w:val="18"/>
                <w:szCs w:val="18"/>
              </w:rPr>
              <w:t xml:space="preserve">0</w:t>
            </w:r>
          </w:p>
        </w:tc>
      </w:tr>
    </w:tbl>
    <w:p>
      <w:pPr>
        <w:spacing w:after="200"/>
      </w:pPr>
    </w:p>
    <w:p>
      <w:pPr>
        <w:pStyle w:val="Heading2"/>
        <w:spacing w:after="140" w:before="280"/>
      </w:pPr>
      <w:r>
        <w:t xml:space="preserve">3.2 Exploratory data analysis</w:t>
      </w:r>
    </w:p>
    <w:p>
      <w:pPr>
        <w:spacing w:after="140" w:line="276"/>
        <w:jc w:val="both"/>
      </w:pPr>
      <w:r>
        <w:rPr>
          <w:b/>
          <w:bCs/>
        </w:rPr>
        <w:t xml:space="preserve">The temperature–demand relationship is U-shaped.</w:t>
      </w:r>
      <w:r>
        <w:t xml:space="preserve"> Figure 1 plots all 35,028 hourly observations of demand against population-weighted national temperature. Demand is elevated at both temperature extremes and lowest in the mid-range, which is the signature of heating demand at the cold end and cooling demand at the warm end. The implication for modelling is immediate: any model restricted to a monotonic function of temperature is structurally misspecified.</w:t>
      </w:r>
    </w:p>
    <w:p>
      <w:pPr>
        <w:spacing w:after="60" w:before="160"/>
        <w:jc w:val="center"/>
      </w:pPr>
      <w:r>
        <w:drawing>
          <wp:inline distT="0" distB="0" distL="0" distR="0">
            <wp:extent cx="5715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409950"/>
                    </a:xfrm>
                    <a:prstGeom prst="rect">
                      <a:avLst/>
                    </a:prstGeom>
                  </pic:spPr>
                </pic:pic>
              </a:graphicData>
            </a:graphic>
          </wp:inline>
        </w:drawing>
      </w:r>
    </w:p>
    <w:p>
      <w:pPr>
        <w:spacing w:after="220" w:before="80"/>
        <w:jc w:val="center"/>
      </w:pPr>
      <w:r>
        <w:rPr>
          <w:b/>
          <w:bCs/>
          <w:i w:val="false"/>
          <w:iCs w:val="false"/>
          <w:sz w:val="18"/>
          <w:szCs w:val="18"/>
        </w:rPr>
        <w:t xml:space="preserve">Figure 1.</w:t>
      </w:r>
      <w:r>
        <w:rPr>
          <w:i w:val="false"/>
          <w:iCs w:val="false"/>
          <w:sz w:val="18"/>
          <w:szCs w:val="18"/>
        </w:rPr>
        <w:t xml:space="preserve"> Hourly electricity demand against population-weighted national temperature, Spain 2015–2018. The U-shape reflects electric heating at low temperatures and cooling at high temperatures.</w:t>
      </w:r>
    </w:p>
    <w:p>
      <w:pPr>
        <w:spacing w:after="140" w:line="276"/>
        <w:jc w:val="both"/>
      </w:pPr>
      <w:r>
        <w:rPr>
          <w:b/>
          <w:bCs/>
        </w:rPr>
        <w:t xml:space="preserve">The daily profile is the dominant cycle.</w:t>
      </w:r>
      <w:r>
        <w:t xml:space="preserve"> Figure 2 shows mean demand by local hour. Demand troughs in the small hours, climbs through the morning, and reaches its maximum in the evening — the characteristic Spanish load shape, with its late peak reflecting national daily routines. The peak-to-trough range within a day is large relative to the seasonal range, which anticipates the finding that hour of day is the single most important predictor in the response model.</w:t>
      </w:r>
    </w:p>
    <w:p>
      <w:pPr>
        <w:spacing w:after="60" w:before="160"/>
        <w:jc w:val="center"/>
      </w:pPr>
      <w:r>
        <w:drawing>
          <wp:inline distT="0" distB="0" distL="0" distR="0">
            <wp:extent cx="5715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09950"/>
                    </a:xfrm>
                    <a:prstGeom prst="rect">
                      <a:avLst/>
                    </a:prstGeom>
                  </pic:spPr>
                </pic:pic>
              </a:graphicData>
            </a:graphic>
          </wp:inline>
        </w:drawing>
      </w:r>
    </w:p>
    <w:p>
      <w:pPr>
        <w:spacing w:after="220" w:before="80"/>
        <w:jc w:val="center"/>
      </w:pPr>
      <w:r>
        <w:rPr>
          <w:b/>
          <w:bCs/>
          <w:i w:val="false"/>
          <w:iCs w:val="false"/>
          <w:sz w:val="18"/>
          <w:szCs w:val="18"/>
        </w:rPr>
        <w:t xml:space="preserve">Figure 2.</w:t>
      </w:r>
      <w:r>
        <w:rPr>
          <w:i w:val="false"/>
          <w:iCs w:val="false"/>
          <w:sz w:val="18"/>
          <w:szCs w:val="18"/>
        </w:rPr>
        <w:t xml:space="preserve"> Mean demand by hour of day (local Spanish time).</w:t>
      </w:r>
    </w:p>
    <w:p>
      <w:pPr>
        <w:spacing w:after="140" w:line="276"/>
        <w:jc w:val="both"/>
      </w:pPr>
      <w:r>
        <w:rPr>
          <w:b/>
          <w:bCs/>
        </w:rPr>
        <w:t xml:space="preserve">Multiple superimposed periodicities.</w:t>
      </w:r>
      <w:r>
        <w:t xml:space="preserve"> The full series (Figure 3) shows a strong annual cycle with winter and summer maxima and shoulder-season minima, superimposed weekly structure, and no pronounced multi-year trend over this short window. Figure 4 confirms the bimodal seasonal pattern: monthly means peak in winter and again in summer, with the seasonal aggregation showing winter highest, summer second, and spring and autumn lowest.</w:t>
      </w:r>
    </w:p>
    <w:p>
      <w:pPr>
        <w:spacing w:after="60" w:before="160"/>
        <w:jc w:val="center"/>
      </w:pPr>
      <w:r>
        <w:drawing>
          <wp:inline distT="0" distB="0" distL="0" distR="0">
            <wp:extent cx="57150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19300"/>
                    </a:xfrm>
                    <a:prstGeom prst="rect">
                      <a:avLst/>
                    </a:prstGeom>
                  </pic:spPr>
                </pic:pic>
              </a:graphicData>
            </a:graphic>
          </wp:inline>
        </w:drawing>
      </w:r>
    </w:p>
    <w:p>
      <w:pPr>
        <w:spacing w:after="220" w:before="80"/>
        <w:jc w:val="center"/>
      </w:pPr>
      <w:r>
        <w:rPr>
          <w:b/>
          <w:bCs/>
          <w:i w:val="false"/>
          <w:iCs w:val="false"/>
          <w:sz w:val="18"/>
          <w:szCs w:val="18"/>
        </w:rPr>
        <w:t xml:space="preserve">Figure 3.</w:t>
      </w:r>
      <w:r>
        <w:rPr>
          <w:i w:val="false"/>
          <w:iCs w:val="false"/>
          <w:sz w:val="18"/>
          <w:szCs w:val="18"/>
        </w:rPr>
        <w:t xml:space="preserve"> Hourly electricity demand over the full record, 2015–2018.</w:t>
      </w:r>
    </w:p>
    <w:p>
      <w:pPr>
        <w:spacing w:after="60" w:before="160"/>
        <w:jc w:val="center"/>
      </w:pPr>
      <w:r>
        <w:drawing>
          <wp:inline distT="0" distB="0" distL="0" distR="0">
            <wp:extent cx="57150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019300"/>
                    </a:xfrm>
                    <a:prstGeom prst="rect">
                      <a:avLst/>
                    </a:prstGeom>
                  </pic:spPr>
                </pic:pic>
              </a:graphicData>
            </a:graphic>
          </wp:inline>
        </w:drawing>
      </w:r>
    </w:p>
    <w:p>
      <w:pPr>
        <w:spacing w:after="220" w:before="80"/>
        <w:jc w:val="center"/>
      </w:pPr>
      <w:r>
        <w:rPr>
          <w:b/>
          <w:bCs/>
          <w:i w:val="false"/>
          <w:iCs w:val="false"/>
          <w:sz w:val="18"/>
          <w:szCs w:val="18"/>
        </w:rPr>
        <w:t xml:space="preserve">Figure 4.</w:t>
      </w:r>
      <w:r>
        <w:rPr>
          <w:i w:val="false"/>
          <w:iCs w:val="false"/>
          <w:sz w:val="18"/>
          <w:szCs w:val="18"/>
        </w:rPr>
        <w:t xml:space="preserve"> Mean demand by month (left) and by meteorological season (right).</w:t>
      </w:r>
    </w:p>
    <w:p>
      <w:pPr>
        <w:spacing w:after="140" w:line="276"/>
        <w:jc w:val="both"/>
      </w:pPr>
      <w:r>
        <w:rPr>
          <w:b/>
          <w:bCs/>
        </w:rPr>
        <w:t xml:space="preserve">Correlation structure.</w:t>
      </w:r>
      <w:r>
        <w:t xml:space="preserve"> The heatmap (Figure 5) shows the lag features correlating with the target far more strongly than any weather variable, which is exactly why they must be excluded from the response model. It also shows </w:t>
      </w:r>
      <w:r>
        <w:rPr>
          <w:rFonts w:ascii="Consolas" w:cs="Consolas" w:eastAsia="Consolas" w:hAnsi="Consolas"/>
          <w:sz w:val="19"/>
          <w:szCs w:val="19"/>
        </w:rPr>
        <w:t xml:space="preserve">temp</w:t>
      </w:r>
      <w:r>
        <w:t xml:space="preserve">, </w:t>
      </w:r>
      <w:r>
        <w:rPr>
          <w:rFonts w:ascii="Consolas" w:cs="Consolas" w:eastAsia="Consolas" w:hAnsi="Consolas"/>
          <w:sz w:val="19"/>
          <w:szCs w:val="19"/>
        </w:rPr>
        <w:t xml:space="preserve">temp_min</w:t>
      </w:r>
      <w:r>
        <w:t xml:space="preserve"> and </w:t>
      </w:r>
      <w:r>
        <w:rPr>
          <w:rFonts w:ascii="Consolas" w:cs="Consolas" w:eastAsia="Consolas" w:hAnsi="Consolas"/>
          <w:sz w:val="19"/>
          <w:szCs w:val="19"/>
        </w:rPr>
        <w:t xml:space="preserve">temp_max</w:t>
      </w:r>
      <w:r>
        <w:t xml:space="preserve"> to be mutually near-collinear, motivating the retention of </w:t>
      </w:r>
      <w:r>
        <w:rPr>
          <w:rFonts w:ascii="Consolas" w:cs="Consolas" w:eastAsia="Consolas" w:hAnsi="Consolas"/>
          <w:sz w:val="19"/>
          <w:szCs w:val="19"/>
        </w:rPr>
        <w:t xml:space="preserve">temp</w:t>
      </w:r>
      <w:r>
        <w:t xml:space="preserve"> alone. Notably, temperature's </w:t>
      </w:r>
      <w:r>
        <w:rPr>
          <w:i/>
          <w:iCs/>
        </w:rPr>
        <w:t xml:space="preserve">linear</w:t>
      </w:r>
      <w:r>
        <w:t xml:space="preserve"> correlation with demand is weak — an artefact of the U-shape, in which the cold and warm arms have opposite slopes and largely cancel under a linear measure. This is a concrete demonstration that a low Pearson correlation does not imply an unimportant variable.</w:t>
      </w:r>
    </w:p>
    <w:p>
      <w:pPr>
        <w:spacing w:after="60" w:before="160"/>
        <w:jc w:val="center"/>
      </w:pPr>
      <w:r>
        <w:drawing>
          <wp:inline distT="0" distB="0" distL="0" distR="0">
            <wp:extent cx="49530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4371975"/>
                    </a:xfrm>
                    <a:prstGeom prst="rect">
                      <a:avLst/>
                    </a:prstGeom>
                  </pic:spPr>
                </pic:pic>
              </a:graphicData>
            </a:graphic>
          </wp:inline>
        </w:drawing>
      </w:r>
    </w:p>
    <w:p>
      <w:pPr>
        <w:spacing w:after="220" w:before="80"/>
        <w:jc w:val="center"/>
      </w:pPr>
      <w:r>
        <w:rPr>
          <w:b/>
          <w:bCs/>
          <w:i w:val="false"/>
          <w:iCs w:val="false"/>
          <w:sz w:val="18"/>
          <w:szCs w:val="18"/>
        </w:rPr>
        <w:t xml:space="preserve">Figure 5.</w:t>
      </w:r>
      <w:r>
        <w:rPr>
          <w:i w:val="false"/>
          <w:iCs w:val="false"/>
          <w:sz w:val="18"/>
          <w:szCs w:val="18"/>
        </w:rPr>
        <w:t xml:space="preserve"> Correlation heatmap of demand, weather and time features.</w:t>
      </w:r>
    </w:p>
    <w:p>
      <w:pPr>
        <w:pStyle w:val="Heading2"/>
        <w:spacing w:after="140" w:before="280"/>
      </w:pPr>
      <w:r>
        <w:t xml:space="preserve">3.3 Model A: forecasting performance</w:t>
      </w:r>
    </w:p>
    <w:p>
      <w:pPr>
        <w:spacing w:after="140" w:line="276"/>
        <w:jc w:val="both"/>
      </w:pPr>
      <w:r>
        <w:t xml:space="preserve">Table 2 reports test-set performance for the 2018 holdout year. All three fitted models beat the persistence baseline, but the tree ensembles do so decisively.</w:t>
      </w:r>
    </w:p>
    <w:p>
      <w:pPr>
        <w:spacing w:after="90" w:before="200"/>
        <w:jc w:val="left"/>
      </w:pPr>
      <w:r>
        <w:rPr>
          <w:b/>
          <w:bCs/>
          <w:sz w:val="18"/>
          <w:szCs w:val="18"/>
        </w:rPr>
        <w:t xml:space="preserve">Table 2.</w:t>
      </w:r>
      <w:r>
        <w:rPr>
          <w:sz w:val="18"/>
          <w:szCs w:val="18"/>
        </w:rPr>
        <w:t xml:space="preserve"> Model A test-set performance (2018 holdout, n = 8,757).</w:t>
      </w:r>
    </w:p>
    <w:tbl>
      <w:tblPr>
        <w:tblW w:type="dxa" w:w="9026"/>
        <w:tblBorders>
          <w:top w:val="single" w:color="000000" w:sz="8"/>
          <w:left w:val="none" w:color="FFFFFF" w:sz="0"/>
          <w:bottom w:val="single" w:color="000000" w:sz="8"/>
          <w:right w:val="none" w:color="FFFFFF" w:sz="0"/>
          <w:insideH w:val="single" w:color="BBBBBB" w:sz="2"/>
          <w:insideV w:val="none" w:color="FFFFFF" w:sz="0"/>
        </w:tblBorders>
      </w:tblPr>
      <w:tblGrid>
        <w:gridCol w:w="2800"/>
        <w:gridCol w:w="1500"/>
        <w:gridCol w:w="1700"/>
        <w:gridCol w:w="1550"/>
        <w:gridCol w:w="1476"/>
      </w:tblGrid>
      <w:tr>
        <w:trPr>
          <w:tblHeader/>
        </w:trPr>
        <w:tc>
          <w:tcPr>
            <w:tcW w:type="dxa" w:w="2800"/>
            <w:shd w:fill="E8E8E8" w:color="auto" w:val="clear"/>
            <w:tcMar>
              <w:top w:type="dxa" w:w="60"/>
              <w:left w:type="dxa" w:w="90"/>
              <w:bottom w:type="dxa" w:w="60"/>
              <w:right w:type="dxa" w:w="90"/>
            </w:tcMar>
          </w:tcPr>
          <w:p>
            <w:pPr>
              <w:spacing w:after="0" w:line="240"/>
              <w:jc w:val="left"/>
            </w:pPr>
            <w:r>
              <w:rPr>
                <w:b/>
                <w:bCs/>
                <w:sz w:val="18"/>
                <w:szCs w:val="18"/>
              </w:rPr>
              <w:t xml:space="preserve">Model</w:t>
            </w:r>
          </w:p>
        </w:tc>
        <w:tc>
          <w:tcPr>
            <w:tcW w:type="dxa" w:w="1500"/>
            <w:shd w:fill="E8E8E8" w:color="auto" w:val="clear"/>
            <w:tcMar>
              <w:top w:type="dxa" w:w="60"/>
              <w:left w:type="dxa" w:w="90"/>
              <w:bottom w:type="dxa" w:w="60"/>
              <w:right w:type="dxa" w:w="90"/>
            </w:tcMar>
          </w:tcPr>
          <w:p>
            <w:pPr>
              <w:spacing w:after="0" w:line="240"/>
              <w:jc w:val="right"/>
            </w:pPr>
            <w:r>
              <w:rPr>
                <w:b/>
                <w:bCs/>
                <w:sz w:val="18"/>
                <w:szCs w:val="18"/>
              </w:rPr>
              <w:t xml:space="preserve">MAE (MW)</w:t>
            </w:r>
          </w:p>
        </w:tc>
        <w:tc>
          <w:tcPr>
            <w:tcW w:type="dxa" w:w="1700"/>
            <w:shd w:fill="E8E8E8" w:color="auto" w:val="clear"/>
            <w:tcMar>
              <w:top w:type="dxa" w:w="60"/>
              <w:left w:type="dxa" w:w="90"/>
              <w:bottom w:type="dxa" w:w="60"/>
              <w:right w:type="dxa" w:w="90"/>
            </w:tcMar>
          </w:tcPr>
          <w:p>
            <w:pPr>
              <w:spacing w:after="0" w:line="240"/>
              <w:jc w:val="right"/>
            </w:pPr>
            <w:r>
              <w:rPr>
                <w:b/>
                <w:bCs/>
                <w:sz w:val="18"/>
                <w:szCs w:val="18"/>
              </w:rPr>
              <w:t xml:space="preserve">MSE</w:t>
            </w:r>
          </w:p>
        </w:tc>
        <w:tc>
          <w:tcPr>
            <w:tcW w:type="dxa" w:w="1550"/>
            <w:shd w:fill="E8E8E8" w:color="auto" w:val="clear"/>
            <w:tcMar>
              <w:top w:type="dxa" w:w="60"/>
              <w:left w:type="dxa" w:w="90"/>
              <w:bottom w:type="dxa" w:w="60"/>
              <w:right w:type="dxa" w:w="90"/>
            </w:tcMar>
          </w:tcPr>
          <w:p>
            <w:pPr>
              <w:spacing w:after="0" w:line="240"/>
              <w:jc w:val="right"/>
            </w:pPr>
            <w:r>
              <w:rPr>
                <w:b/>
                <w:bCs/>
                <w:sz w:val="18"/>
                <w:szCs w:val="18"/>
              </w:rPr>
              <w:t xml:space="preserve">RMSE (MW)</w:t>
            </w:r>
          </w:p>
        </w:tc>
        <w:tc>
          <w:tcPr>
            <w:tcW w:type="dxa" w:w="1476"/>
            <w:shd w:fill="E8E8E8" w:color="auto" w:val="clear"/>
            <w:tcMar>
              <w:top w:type="dxa" w:w="60"/>
              <w:left w:type="dxa" w:w="90"/>
              <w:bottom w:type="dxa" w:w="60"/>
              <w:right w:type="dxa" w:w="90"/>
            </w:tcMar>
          </w:tcPr>
          <w:p>
            <w:pPr>
              <w:spacing w:after="0" w:line="240"/>
              <w:jc w:val="right"/>
            </w:pPr>
            <w:r>
              <w:rPr>
                <w:b/>
                <w:bCs/>
                <w:sz w:val="18"/>
                <w:szCs w:val="18"/>
              </w:rPr>
              <w:t xml:space="preserve">R²</w:t>
            </w:r>
          </w:p>
        </w:tc>
      </w:tr>
      <w:tr>
        <w:tc>
          <w:tcPr>
            <w:tcW w:type="dxa" w:w="2800"/>
            <w:tcMar>
              <w:top w:type="dxa" w:w="60"/>
              <w:left w:type="dxa" w:w="90"/>
              <w:bottom w:type="dxa" w:w="60"/>
              <w:right w:type="dxa" w:w="90"/>
            </w:tcMar>
          </w:tcPr>
          <w:p>
            <w:pPr>
              <w:spacing w:after="0" w:line="240"/>
              <w:jc w:val="left"/>
            </w:pPr>
            <w:r>
              <w:rPr>
                <w:b w:val="false"/>
                <w:bCs w:val="false"/>
                <w:sz w:val="18"/>
                <w:szCs w:val="18"/>
              </w:rPr>
              <w:t xml:space="preserve">Baseline (naive persistence)</w:t>
            </w:r>
          </w:p>
        </w:tc>
        <w:tc>
          <w:tcPr>
            <w:tcW w:type="dxa" w:w="1500"/>
            <w:tcMar>
              <w:top w:type="dxa" w:w="60"/>
              <w:left w:type="dxa" w:w="90"/>
              <w:bottom w:type="dxa" w:w="60"/>
              <w:right w:type="dxa" w:w="90"/>
            </w:tcMar>
          </w:tcPr>
          <w:p>
            <w:pPr>
              <w:spacing w:after="0" w:line="240"/>
              <w:jc w:val="right"/>
            </w:pPr>
            <w:r>
              <w:rPr>
                <w:b w:val="false"/>
                <w:bCs w:val="false"/>
                <w:sz w:val="18"/>
                <w:szCs w:val="18"/>
              </w:rPr>
              <w:t xml:space="preserve">1,076.29</w:t>
            </w:r>
          </w:p>
        </w:tc>
        <w:tc>
          <w:tcPr>
            <w:tcW w:type="dxa" w:w="1700"/>
            <w:tcMar>
              <w:top w:type="dxa" w:w="60"/>
              <w:left w:type="dxa" w:w="90"/>
              <w:bottom w:type="dxa" w:w="60"/>
              <w:right w:type="dxa" w:w="90"/>
            </w:tcMar>
          </w:tcPr>
          <w:p>
            <w:pPr>
              <w:spacing w:after="0" w:line="240"/>
              <w:jc w:val="right"/>
            </w:pPr>
            <w:r>
              <w:rPr>
                <w:b w:val="false"/>
                <w:bCs w:val="false"/>
                <w:sz w:val="18"/>
                <w:szCs w:val="18"/>
              </w:rPr>
              <w:t xml:space="preserve">2.0688 × 10⁶</w:t>
            </w:r>
          </w:p>
        </w:tc>
        <w:tc>
          <w:tcPr>
            <w:tcW w:type="dxa" w:w="1550"/>
            <w:tcMar>
              <w:top w:type="dxa" w:w="60"/>
              <w:left w:type="dxa" w:w="90"/>
              <w:bottom w:type="dxa" w:w="60"/>
              <w:right w:type="dxa" w:w="90"/>
            </w:tcMar>
          </w:tcPr>
          <w:p>
            <w:pPr>
              <w:spacing w:after="0" w:line="240"/>
              <w:jc w:val="right"/>
            </w:pPr>
            <w:r>
              <w:rPr>
                <w:b w:val="false"/>
                <w:bCs w:val="false"/>
                <w:sz w:val="18"/>
                <w:szCs w:val="18"/>
              </w:rPr>
              <w:t xml:space="preserve">1,438.34</w:t>
            </w:r>
          </w:p>
        </w:tc>
        <w:tc>
          <w:tcPr>
            <w:tcW w:type="dxa" w:w="1476"/>
            <w:tcMar>
              <w:top w:type="dxa" w:w="60"/>
              <w:left w:type="dxa" w:w="90"/>
              <w:bottom w:type="dxa" w:w="60"/>
              <w:right w:type="dxa" w:w="90"/>
            </w:tcMar>
          </w:tcPr>
          <w:p>
            <w:pPr>
              <w:spacing w:after="0" w:line="240"/>
              <w:jc w:val="right"/>
            </w:pPr>
            <w:r>
              <w:rPr>
                <w:b w:val="false"/>
                <w:bCs w:val="false"/>
                <w:sz w:val="18"/>
                <w:szCs w:val="18"/>
              </w:rPr>
              <w:t xml:space="preserve">0.9034</w:t>
            </w:r>
          </w:p>
        </w:tc>
      </w:tr>
      <w:tr>
        <w:tc>
          <w:tcPr>
            <w:tcW w:type="dxa" w:w="2800"/>
            <w:tcMar>
              <w:top w:type="dxa" w:w="60"/>
              <w:left w:type="dxa" w:w="90"/>
              <w:bottom w:type="dxa" w:w="60"/>
              <w:right w:type="dxa" w:w="90"/>
            </w:tcMar>
          </w:tcPr>
          <w:p>
            <w:pPr>
              <w:spacing w:after="0" w:line="240"/>
              <w:jc w:val="left"/>
            </w:pPr>
            <w:r>
              <w:rPr>
                <w:b w:val="false"/>
                <w:bCs w:val="false"/>
                <w:sz w:val="18"/>
                <w:szCs w:val="18"/>
              </w:rPr>
              <w:t xml:space="preserve">Linear Regression</w:t>
            </w:r>
          </w:p>
        </w:tc>
        <w:tc>
          <w:tcPr>
            <w:tcW w:type="dxa" w:w="1500"/>
            <w:tcMar>
              <w:top w:type="dxa" w:w="60"/>
              <w:left w:type="dxa" w:w="90"/>
              <w:bottom w:type="dxa" w:w="60"/>
              <w:right w:type="dxa" w:w="90"/>
            </w:tcMar>
          </w:tcPr>
          <w:p>
            <w:pPr>
              <w:spacing w:after="0" w:line="240"/>
              <w:jc w:val="right"/>
            </w:pPr>
            <w:r>
              <w:rPr>
                <w:b w:val="false"/>
                <w:bCs w:val="false"/>
                <w:sz w:val="18"/>
                <w:szCs w:val="18"/>
              </w:rPr>
              <w:t xml:space="preserve">975.75</w:t>
            </w:r>
          </w:p>
        </w:tc>
        <w:tc>
          <w:tcPr>
            <w:tcW w:type="dxa" w:w="1700"/>
            <w:tcMar>
              <w:top w:type="dxa" w:w="60"/>
              <w:left w:type="dxa" w:w="90"/>
              <w:bottom w:type="dxa" w:w="60"/>
              <w:right w:type="dxa" w:w="90"/>
            </w:tcMar>
          </w:tcPr>
          <w:p>
            <w:pPr>
              <w:spacing w:after="0" w:line="240"/>
              <w:jc w:val="right"/>
            </w:pPr>
            <w:r>
              <w:rPr>
                <w:b w:val="false"/>
                <w:bCs w:val="false"/>
                <w:sz w:val="18"/>
                <w:szCs w:val="18"/>
              </w:rPr>
              <w:t xml:space="preserve">1.6779 × 10⁶</w:t>
            </w:r>
          </w:p>
        </w:tc>
        <w:tc>
          <w:tcPr>
            <w:tcW w:type="dxa" w:w="1550"/>
            <w:tcMar>
              <w:top w:type="dxa" w:w="60"/>
              <w:left w:type="dxa" w:w="90"/>
              <w:bottom w:type="dxa" w:w="60"/>
              <w:right w:type="dxa" w:w="90"/>
            </w:tcMar>
          </w:tcPr>
          <w:p>
            <w:pPr>
              <w:spacing w:after="0" w:line="240"/>
              <w:jc w:val="right"/>
            </w:pPr>
            <w:r>
              <w:rPr>
                <w:b w:val="false"/>
                <w:bCs w:val="false"/>
                <w:sz w:val="18"/>
                <w:szCs w:val="18"/>
              </w:rPr>
              <w:t xml:space="preserve">1,295.33</w:t>
            </w:r>
          </w:p>
        </w:tc>
        <w:tc>
          <w:tcPr>
            <w:tcW w:type="dxa" w:w="1476"/>
            <w:tcMar>
              <w:top w:type="dxa" w:w="60"/>
              <w:left w:type="dxa" w:w="90"/>
              <w:bottom w:type="dxa" w:w="60"/>
              <w:right w:type="dxa" w:w="90"/>
            </w:tcMar>
          </w:tcPr>
          <w:p>
            <w:pPr>
              <w:spacing w:after="0" w:line="240"/>
              <w:jc w:val="right"/>
            </w:pPr>
            <w:r>
              <w:rPr>
                <w:b w:val="false"/>
                <w:bCs w:val="false"/>
                <w:sz w:val="18"/>
                <w:szCs w:val="18"/>
              </w:rPr>
              <w:t xml:space="preserve">0.9216</w:t>
            </w:r>
          </w:p>
        </w:tc>
      </w:tr>
      <w:tr>
        <w:tc>
          <w:tcPr>
            <w:tcW w:type="dxa" w:w="2800"/>
            <w:shd w:fill="F2F2F2" w:color="auto" w:val="clear"/>
            <w:tcMar>
              <w:top w:type="dxa" w:w="60"/>
              <w:left w:type="dxa" w:w="90"/>
              <w:bottom w:type="dxa" w:w="60"/>
              <w:right w:type="dxa" w:w="90"/>
            </w:tcMar>
          </w:tcPr>
          <w:p>
            <w:pPr>
              <w:spacing w:after="0" w:line="240"/>
              <w:jc w:val="left"/>
            </w:pPr>
            <w:r>
              <w:rPr>
                <w:b/>
                <w:bCs/>
                <w:sz w:val="18"/>
                <w:szCs w:val="18"/>
              </w:rPr>
              <w:t xml:space="preserve">Random Forest</w:t>
            </w:r>
          </w:p>
        </w:tc>
        <w:tc>
          <w:tcPr>
            <w:tcW w:type="dxa" w:w="1500"/>
            <w:shd w:fill="F2F2F2" w:color="auto" w:val="clear"/>
            <w:tcMar>
              <w:top w:type="dxa" w:w="60"/>
              <w:left w:type="dxa" w:w="90"/>
              <w:bottom w:type="dxa" w:w="60"/>
              <w:right w:type="dxa" w:w="90"/>
            </w:tcMar>
          </w:tcPr>
          <w:p>
            <w:pPr>
              <w:spacing w:after="0" w:line="240"/>
              <w:jc w:val="right"/>
            </w:pPr>
            <w:r>
              <w:rPr>
                <w:b/>
                <w:bCs/>
                <w:sz w:val="18"/>
                <w:szCs w:val="18"/>
              </w:rPr>
              <w:t xml:space="preserve">355.44</w:t>
            </w:r>
          </w:p>
        </w:tc>
        <w:tc>
          <w:tcPr>
            <w:tcW w:type="dxa" w:w="1700"/>
            <w:shd w:fill="F2F2F2" w:color="auto" w:val="clear"/>
            <w:tcMar>
              <w:top w:type="dxa" w:w="60"/>
              <w:left w:type="dxa" w:w="90"/>
              <w:bottom w:type="dxa" w:w="60"/>
              <w:right w:type="dxa" w:w="90"/>
            </w:tcMar>
          </w:tcPr>
          <w:p>
            <w:pPr>
              <w:spacing w:after="0" w:line="240"/>
              <w:jc w:val="right"/>
            </w:pPr>
            <w:r>
              <w:rPr>
                <w:b/>
                <w:bCs/>
                <w:sz w:val="18"/>
                <w:szCs w:val="18"/>
              </w:rPr>
              <w:t xml:space="preserve">3.3299 × 10⁵</w:t>
            </w:r>
          </w:p>
        </w:tc>
        <w:tc>
          <w:tcPr>
            <w:tcW w:type="dxa" w:w="1550"/>
            <w:shd w:fill="F2F2F2" w:color="auto" w:val="clear"/>
            <w:tcMar>
              <w:top w:type="dxa" w:w="60"/>
              <w:left w:type="dxa" w:w="90"/>
              <w:bottom w:type="dxa" w:w="60"/>
              <w:right w:type="dxa" w:w="90"/>
            </w:tcMar>
          </w:tcPr>
          <w:p>
            <w:pPr>
              <w:spacing w:after="0" w:line="240"/>
              <w:jc w:val="right"/>
            </w:pPr>
            <w:r>
              <w:rPr>
                <w:b/>
                <w:bCs/>
                <w:sz w:val="18"/>
                <w:szCs w:val="18"/>
              </w:rPr>
              <w:t xml:space="preserve">577.05</w:t>
            </w:r>
          </w:p>
        </w:tc>
        <w:tc>
          <w:tcPr>
            <w:tcW w:type="dxa" w:w="1476"/>
            <w:shd w:fill="F2F2F2" w:color="auto" w:val="clear"/>
            <w:tcMar>
              <w:top w:type="dxa" w:w="60"/>
              <w:left w:type="dxa" w:w="90"/>
              <w:bottom w:type="dxa" w:w="60"/>
              <w:right w:type="dxa" w:w="90"/>
            </w:tcMar>
          </w:tcPr>
          <w:p>
            <w:pPr>
              <w:spacing w:after="0" w:line="240"/>
              <w:jc w:val="right"/>
            </w:pPr>
            <w:r>
              <w:rPr>
                <w:b/>
                <w:bCs/>
                <w:sz w:val="18"/>
                <w:szCs w:val="18"/>
              </w:rPr>
              <w:t xml:space="preserve">0.9844</w:t>
            </w:r>
          </w:p>
        </w:tc>
      </w:tr>
      <w:tr>
        <w:tc>
          <w:tcPr>
            <w:tcW w:type="dxa" w:w="2800"/>
            <w:tcMar>
              <w:top w:type="dxa" w:w="60"/>
              <w:left w:type="dxa" w:w="90"/>
              <w:bottom w:type="dxa" w:w="60"/>
              <w:right w:type="dxa" w:w="90"/>
            </w:tcMar>
          </w:tcPr>
          <w:p>
            <w:pPr>
              <w:spacing w:after="0" w:line="240"/>
              <w:jc w:val="left"/>
            </w:pPr>
            <w:r>
              <w:rPr>
                <w:b w:val="false"/>
                <w:bCs w:val="false"/>
                <w:sz w:val="18"/>
                <w:szCs w:val="18"/>
              </w:rPr>
              <w:t xml:space="preserve">Gradient Boosting</w:t>
            </w:r>
          </w:p>
        </w:tc>
        <w:tc>
          <w:tcPr>
            <w:tcW w:type="dxa" w:w="1500"/>
            <w:tcMar>
              <w:top w:type="dxa" w:w="60"/>
              <w:left w:type="dxa" w:w="90"/>
              <w:bottom w:type="dxa" w:w="60"/>
              <w:right w:type="dxa" w:w="90"/>
            </w:tcMar>
          </w:tcPr>
          <w:p>
            <w:pPr>
              <w:spacing w:after="0" w:line="240"/>
              <w:jc w:val="right"/>
            </w:pPr>
            <w:r>
              <w:rPr>
                <w:b w:val="false"/>
                <w:bCs w:val="false"/>
                <w:sz w:val="18"/>
                <w:szCs w:val="18"/>
              </w:rPr>
              <w:t xml:space="preserve">397.10</w:t>
            </w:r>
          </w:p>
        </w:tc>
        <w:tc>
          <w:tcPr>
            <w:tcW w:type="dxa" w:w="1700"/>
            <w:tcMar>
              <w:top w:type="dxa" w:w="60"/>
              <w:left w:type="dxa" w:w="90"/>
              <w:bottom w:type="dxa" w:w="60"/>
              <w:right w:type="dxa" w:w="90"/>
            </w:tcMar>
          </w:tcPr>
          <w:p>
            <w:pPr>
              <w:spacing w:after="0" w:line="240"/>
              <w:jc w:val="right"/>
            </w:pPr>
            <w:r>
              <w:rPr>
                <w:b w:val="false"/>
                <w:bCs w:val="false"/>
                <w:sz w:val="18"/>
                <w:szCs w:val="18"/>
              </w:rPr>
              <w:t xml:space="preserve">3.7378 × 10⁵</w:t>
            </w:r>
          </w:p>
        </w:tc>
        <w:tc>
          <w:tcPr>
            <w:tcW w:type="dxa" w:w="1550"/>
            <w:tcMar>
              <w:top w:type="dxa" w:w="60"/>
              <w:left w:type="dxa" w:w="90"/>
              <w:bottom w:type="dxa" w:w="60"/>
              <w:right w:type="dxa" w:w="90"/>
            </w:tcMar>
          </w:tcPr>
          <w:p>
            <w:pPr>
              <w:spacing w:after="0" w:line="240"/>
              <w:jc w:val="right"/>
            </w:pPr>
            <w:r>
              <w:rPr>
                <w:b w:val="false"/>
                <w:bCs w:val="false"/>
                <w:sz w:val="18"/>
                <w:szCs w:val="18"/>
              </w:rPr>
              <w:t xml:space="preserve">611.37</w:t>
            </w:r>
          </w:p>
        </w:tc>
        <w:tc>
          <w:tcPr>
            <w:tcW w:type="dxa" w:w="1476"/>
            <w:tcMar>
              <w:top w:type="dxa" w:w="60"/>
              <w:left w:type="dxa" w:w="90"/>
              <w:bottom w:type="dxa" w:w="60"/>
              <w:right w:type="dxa" w:w="90"/>
            </w:tcMar>
          </w:tcPr>
          <w:p>
            <w:pPr>
              <w:spacing w:after="0" w:line="240"/>
              <w:jc w:val="right"/>
            </w:pPr>
            <w:r>
              <w:rPr>
                <w:b w:val="false"/>
                <w:bCs w:val="false"/>
                <w:sz w:val="18"/>
                <w:szCs w:val="18"/>
              </w:rPr>
              <w:t xml:space="preserve">0.9825</w:t>
            </w:r>
          </w:p>
        </w:tc>
      </w:tr>
    </w:tbl>
    <w:p>
      <w:pPr>
        <w:spacing w:after="200"/>
      </w:pPr>
    </w:p>
    <w:p>
      <w:pPr>
        <w:spacing w:after="140" w:line="276"/>
        <w:jc w:val="both"/>
      </w:pPr>
      <w:r>
        <w:t xml:space="preserve">Three observations follow.</w:t>
      </w:r>
    </w:p>
    <w:p>
      <w:pPr>
        <w:spacing w:after="140" w:line="276"/>
        <w:jc w:val="both"/>
      </w:pPr>
      <w:r>
        <w:t xml:space="preserve">First, the baseline is already strong (R² = 0.903), which is a property of the problem rather than the method: hourly demand is so autocorrelated that "the same as last hour" is a good guess. Reporting R² alone against no baseline would badly overstate any model's achievement here.</w:t>
      </w:r>
    </w:p>
    <w:p>
      <w:pPr>
        <w:spacing w:after="140" w:line="276"/>
        <w:jc w:val="both"/>
      </w:pPr>
      <w:r>
        <w:t xml:space="preserve">Second, Linear Regression improves on persistence only modestly (MAE −9.3%), consistent with the EDA prediction that a linear functional form cannot represent the U-shaped temperature response.</w:t>
      </w:r>
    </w:p>
    <w:p>
      <w:pPr>
        <w:spacing w:after="140" w:line="276"/>
        <w:jc w:val="both"/>
      </w:pPr>
      <w:r>
        <w:t xml:space="preserve">Third, the Random Forest reduces MAE by 67.0% against the baseline and by 63.6% against Linear Regression, reaching 355 MW — approximately 1.2% of mean national load. Gradient Boosting performs comparably but slightly worse on every metric at these hyperparameters. The Random Forest was therefore carried forward as the Model A representative.</w:t>
      </w:r>
    </w:p>
    <w:p>
      <w:pPr>
        <w:spacing w:after="60" w:before="160"/>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3810000"/>
                    </a:xfrm>
                    <a:prstGeom prst="rect">
                      <a:avLst/>
                    </a:prstGeom>
                  </pic:spPr>
                </pic:pic>
              </a:graphicData>
            </a:graphic>
          </wp:inline>
        </w:drawing>
      </w:r>
    </w:p>
    <w:p>
      <w:pPr>
        <w:spacing w:after="220" w:before="80"/>
        <w:jc w:val="center"/>
      </w:pPr>
      <w:r>
        <w:rPr>
          <w:b/>
          <w:bCs/>
          <w:i w:val="false"/>
          <w:iCs w:val="false"/>
          <w:sz w:val="18"/>
          <w:szCs w:val="18"/>
        </w:rPr>
        <w:t xml:space="preserve">Figure 6.</w:t>
      </w:r>
      <w:r>
        <w:rPr>
          <w:i w:val="false"/>
          <w:iCs w:val="false"/>
          <w:sz w:val="18"/>
          <w:szCs w:val="18"/>
        </w:rPr>
        <w:t xml:space="preserve"> Actual versus predicted demand, Random Forest, 2018 test set. Points cluster tightly on the identity line across the full range.</w:t>
      </w:r>
    </w:p>
    <w:p>
      <w:pPr>
        <w:spacing w:after="60" w:before="160"/>
        <w:jc w:val="center"/>
      </w:pPr>
      <w:r>
        <w:drawing>
          <wp:inline distT="0" distB="0" distL="0" distR="0">
            <wp:extent cx="57150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019300"/>
                    </a:xfrm>
                    <a:prstGeom prst="rect">
                      <a:avLst/>
                    </a:prstGeom>
                  </pic:spPr>
                </pic:pic>
              </a:graphicData>
            </a:graphic>
          </wp:inline>
        </w:drawing>
      </w:r>
    </w:p>
    <w:p>
      <w:pPr>
        <w:spacing w:after="220" w:before="80"/>
        <w:jc w:val="center"/>
      </w:pPr>
      <w:r>
        <w:rPr>
          <w:b/>
          <w:bCs/>
          <w:i w:val="false"/>
          <w:iCs w:val="false"/>
          <w:sz w:val="18"/>
          <w:szCs w:val="18"/>
        </w:rPr>
        <w:t xml:space="preserve">Figure 7.</w:t>
      </w:r>
      <w:r>
        <w:rPr>
          <w:i w:val="false"/>
          <w:iCs w:val="false"/>
          <w:sz w:val="18"/>
          <w:szCs w:val="18"/>
        </w:rPr>
        <w:t xml:space="preserve"> Actual and predicted demand over the first two weeks of the test set. The model tracks both the daily cycle and the weekday/weekend transition.</w:t>
      </w:r>
    </w:p>
    <w:p>
      <w:pPr>
        <w:pStyle w:val="Heading2"/>
        <w:spacing w:after="140" w:before="280"/>
      </w:pPr>
      <w:r>
        <w:t xml:space="preserve">3.4 Error diagnostics</w:t>
      </w:r>
    </w:p>
    <w:p>
      <w:pPr>
        <w:spacing w:after="140" w:line="276"/>
        <w:jc w:val="both"/>
      </w:pPr>
      <w:r>
        <w:t xml:space="preserve">Residuals are approximately symmetric and centred near zero (mean −13.2 MW, standard deviation 576.9 MW), with no systematic pattern against the fitted values across most of the range (Figure 8). Two features deserve comment.</w:t>
      </w:r>
    </w:p>
    <w:p>
      <w:pPr>
        <w:spacing w:after="140" w:line="276"/>
        <w:jc w:val="both"/>
      </w:pPr>
      <w:r>
        <w:t xml:space="preserve">Mild heteroscedasticity is visible: residual spread grows somewhat at higher predicted demand, which is expected when errors scale with the level of the series.</w:t>
      </w:r>
    </w:p>
    <w:p>
      <w:pPr>
        <w:spacing w:after="140" w:line="276"/>
        <w:jc w:val="both"/>
      </w:pPr>
      <w:r>
        <w:t xml:space="preserve">Two extreme residuals dominate the tails. Inspecting the five largest absolute residuals identified an adjacent pair of hours:</w:t>
      </w:r>
    </w:p>
    <w:p>
      <w:pPr>
        <w:spacing w:after="90" w:before="200"/>
        <w:jc w:val="left"/>
      </w:pPr>
      <w:r>
        <w:rPr>
          <w:b/>
          <w:bCs/>
          <w:sz w:val="18"/>
          <w:szCs w:val="18"/>
        </w:rPr>
        <w:t xml:space="preserve">Table 3.</w:t>
      </w:r>
      <w:r>
        <w:rPr>
          <w:sz w:val="18"/>
          <w:szCs w:val="18"/>
        </w:rPr>
        <w:t xml:space="preserve"> Five largest absolute residuals, Random Forest, 2018 test set.</w:t>
      </w:r>
    </w:p>
    <w:tbl>
      <w:tblPr>
        <w:tblW w:type="dxa" w:w="9026"/>
        <w:tblBorders>
          <w:top w:val="single" w:color="000000" w:sz="8"/>
          <w:left w:val="none" w:color="FFFFFF" w:sz="0"/>
          <w:bottom w:val="single" w:color="000000" w:sz="8"/>
          <w:right w:val="none" w:color="FFFFFF" w:sz="0"/>
          <w:insideH w:val="single" w:color="BBBBBB" w:sz="2"/>
          <w:insideV w:val="none" w:color="FFFFFF" w:sz="0"/>
        </w:tblBorders>
      </w:tblPr>
      <w:tblGrid>
        <w:gridCol w:w="2600"/>
        <w:gridCol w:w="2100"/>
        <w:gridCol w:w="2200"/>
        <w:gridCol w:w="2126"/>
      </w:tblGrid>
      <w:tr>
        <w:trPr>
          <w:tblHeader/>
        </w:trPr>
        <w:tc>
          <w:tcPr>
            <w:tcW w:type="dxa" w:w="2600"/>
            <w:shd w:fill="E8E8E8" w:color="auto" w:val="clear"/>
            <w:tcMar>
              <w:top w:type="dxa" w:w="60"/>
              <w:left w:type="dxa" w:w="90"/>
              <w:bottom w:type="dxa" w:w="60"/>
              <w:right w:type="dxa" w:w="90"/>
            </w:tcMar>
          </w:tcPr>
          <w:p>
            <w:pPr>
              <w:spacing w:after="0" w:line="240"/>
              <w:jc w:val="left"/>
            </w:pPr>
            <w:r>
              <w:rPr>
                <w:b/>
                <w:bCs/>
                <w:sz w:val="18"/>
                <w:szCs w:val="18"/>
              </w:rPr>
              <w:t xml:space="preserve">Timestamp (UTC)</w:t>
            </w:r>
          </w:p>
        </w:tc>
        <w:tc>
          <w:tcPr>
            <w:tcW w:type="dxa" w:w="2100"/>
            <w:shd w:fill="E8E8E8" w:color="auto" w:val="clear"/>
            <w:tcMar>
              <w:top w:type="dxa" w:w="60"/>
              <w:left w:type="dxa" w:w="90"/>
              <w:bottom w:type="dxa" w:w="60"/>
              <w:right w:type="dxa" w:w="90"/>
            </w:tcMar>
          </w:tcPr>
          <w:p>
            <w:pPr>
              <w:spacing w:after="0" w:line="240"/>
              <w:jc w:val="right"/>
            </w:pPr>
            <w:r>
              <w:rPr>
                <w:b/>
                <w:bCs/>
                <w:sz w:val="18"/>
                <w:szCs w:val="18"/>
              </w:rPr>
              <w:t xml:space="preserve">Actual (MW)</w:t>
            </w:r>
          </w:p>
        </w:tc>
        <w:tc>
          <w:tcPr>
            <w:tcW w:type="dxa" w:w="2200"/>
            <w:shd w:fill="E8E8E8" w:color="auto" w:val="clear"/>
            <w:tcMar>
              <w:top w:type="dxa" w:w="60"/>
              <w:left w:type="dxa" w:w="90"/>
              <w:bottom w:type="dxa" w:w="60"/>
              <w:right w:type="dxa" w:w="90"/>
            </w:tcMar>
          </w:tcPr>
          <w:p>
            <w:pPr>
              <w:spacing w:after="0" w:line="240"/>
              <w:jc w:val="right"/>
            </w:pPr>
            <w:r>
              <w:rPr>
                <w:b/>
                <w:bCs/>
                <w:sz w:val="18"/>
                <w:szCs w:val="18"/>
              </w:rPr>
              <w:t xml:space="preserve">Predicted (MW)</w:t>
            </w:r>
          </w:p>
        </w:tc>
        <w:tc>
          <w:tcPr>
            <w:tcW w:type="dxa" w:w="2126"/>
            <w:shd w:fill="E8E8E8" w:color="auto" w:val="clear"/>
            <w:tcMar>
              <w:top w:type="dxa" w:w="60"/>
              <w:left w:type="dxa" w:w="90"/>
              <w:bottom w:type="dxa" w:w="60"/>
              <w:right w:type="dxa" w:w="90"/>
            </w:tcMar>
          </w:tcPr>
          <w:p>
            <w:pPr>
              <w:spacing w:after="0" w:line="240"/>
              <w:jc w:val="right"/>
            </w:pPr>
            <w:r>
              <w:rPr>
                <w:b/>
                <w:bCs/>
                <w:sz w:val="18"/>
                <w:szCs w:val="18"/>
              </w:rPr>
              <w:t xml:space="preserve">Residual (MW)</w:t>
            </w:r>
          </w:p>
        </w:tc>
      </w:tr>
      <w:tr>
        <w:tc>
          <w:tcPr>
            <w:tcW w:type="dxa" w:w="2600"/>
            <w:shd w:fill="F2F2F2" w:color="auto" w:val="clear"/>
            <w:tcMar>
              <w:top w:type="dxa" w:w="60"/>
              <w:left w:type="dxa" w:w="90"/>
              <w:bottom w:type="dxa" w:w="60"/>
              <w:right w:type="dxa" w:w="90"/>
            </w:tcMar>
          </w:tcPr>
          <w:p>
            <w:pPr>
              <w:spacing w:after="0" w:line="240"/>
              <w:jc w:val="left"/>
            </w:pPr>
            <w:r>
              <w:rPr>
                <w:b w:val="false"/>
                <w:bCs w:val="false"/>
                <w:sz w:val="18"/>
                <w:szCs w:val="18"/>
              </w:rPr>
              <w:t xml:space="preserve">2018-05-06 10:00</w:t>
            </w:r>
          </w:p>
        </w:tc>
        <w:tc>
          <w:tcPr>
            <w:tcW w:type="dxa" w:w="2100"/>
            <w:shd w:fill="F2F2F2" w:color="auto" w:val="clear"/>
            <w:tcMar>
              <w:top w:type="dxa" w:w="60"/>
              <w:left w:type="dxa" w:w="90"/>
              <w:bottom w:type="dxa" w:w="60"/>
              <w:right w:type="dxa" w:w="90"/>
            </w:tcMar>
          </w:tcPr>
          <w:p>
            <w:pPr>
              <w:spacing w:after="0" w:line="240"/>
              <w:jc w:val="right"/>
            </w:pPr>
            <w:r>
              <w:rPr>
                <w:b w:val="false"/>
                <w:bCs w:val="false"/>
                <w:sz w:val="18"/>
                <w:szCs w:val="18"/>
              </w:rPr>
              <w:t xml:space="preserve">19,964</w:t>
            </w:r>
          </w:p>
        </w:tc>
        <w:tc>
          <w:tcPr>
            <w:tcW w:type="dxa" w:w="2200"/>
            <w:shd w:fill="F2F2F2" w:color="auto" w:val="clear"/>
            <w:tcMar>
              <w:top w:type="dxa" w:w="60"/>
              <w:left w:type="dxa" w:w="90"/>
              <w:bottom w:type="dxa" w:w="60"/>
              <w:right w:type="dxa" w:w="90"/>
            </w:tcMar>
          </w:tcPr>
          <w:p>
            <w:pPr>
              <w:spacing w:after="0" w:line="240"/>
              <w:jc w:val="right"/>
            </w:pPr>
            <w:r>
              <w:rPr>
                <w:b w:val="false"/>
                <w:bCs w:val="false"/>
                <w:sz w:val="18"/>
                <w:szCs w:val="18"/>
              </w:rPr>
              <w:t xml:space="preserve">32,441</w:t>
            </w:r>
          </w:p>
        </w:tc>
        <w:tc>
          <w:tcPr>
            <w:tcW w:type="dxa" w:w="2126"/>
            <w:shd w:fill="F2F2F2" w:color="auto" w:val="clear"/>
            <w:tcMar>
              <w:top w:type="dxa" w:w="60"/>
              <w:left w:type="dxa" w:w="90"/>
              <w:bottom w:type="dxa" w:w="60"/>
              <w:right w:type="dxa" w:w="90"/>
            </w:tcMar>
          </w:tcPr>
          <w:p>
            <w:pPr>
              <w:spacing w:after="0" w:line="240"/>
              <w:jc w:val="right"/>
            </w:pPr>
            <w:r>
              <w:rPr>
                <w:b w:val="false"/>
                <w:bCs w:val="false"/>
                <w:sz w:val="18"/>
                <w:szCs w:val="18"/>
              </w:rPr>
              <w:t xml:space="preserve">−12,477</w:t>
            </w:r>
          </w:p>
        </w:tc>
      </w:tr>
      <w:tr>
        <w:tc>
          <w:tcPr>
            <w:tcW w:type="dxa" w:w="2600"/>
            <w:shd w:fill="F2F2F2" w:color="auto" w:val="clear"/>
            <w:tcMar>
              <w:top w:type="dxa" w:w="60"/>
              <w:left w:type="dxa" w:w="90"/>
              <w:bottom w:type="dxa" w:w="60"/>
              <w:right w:type="dxa" w:w="90"/>
            </w:tcMar>
          </w:tcPr>
          <w:p>
            <w:pPr>
              <w:spacing w:after="0" w:line="240"/>
              <w:jc w:val="left"/>
            </w:pPr>
            <w:r>
              <w:rPr>
                <w:b w:val="false"/>
                <w:bCs w:val="false"/>
                <w:sz w:val="18"/>
                <w:szCs w:val="18"/>
              </w:rPr>
              <w:t xml:space="preserve">2018-05-06 11:00</w:t>
            </w:r>
          </w:p>
        </w:tc>
        <w:tc>
          <w:tcPr>
            <w:tcW w:type="dxa" w:w="2100"/>
            <w:shd w:fill="F2F2F2" w:color="auto" w:val="clear"/>
            <w:tcMar>
              <w:top w:type="dxa" w:w="60"/>
              <w:left w:type="dxa" w:w="90"/>
              <w:bottom w:type="dxa" w:w="60"/>
              <w:right w:type="dxa" w:w="90"/>
            </w:tcMar>
          </w:tcPr>
          <w:p>
            <w:pPr>
              <w:spacing w:after="0" w:line="240"/>
              <w:jc w:val="right"/>
            </w:pPr>
            <w:r>
              <w:rPr>
                <w:b w:val="false"/>
                <w:bCs w:val="false"/>
                <w:sz w:val="18"/>
                <w:szCs w:val="18"/>
              </w:rPr>
              <w:t xml:space="preserve">32,090</w:t>
            </w:r>
          </w:p>
        </w:tc>
        <w:tc>
          <w:tcPr>
            <w:tcW w:type="dxa" w:w="2200"/>
            <w:shd w:fill="F2F2F2" w:color="auto" w:val="clear"/>
            <w:tcMar>
              <w:top w:type="dxa" w:w="60"/>
              <w:left w:type="dxa" w:w="90"/>
              <w:bottom w:type="dxa" w:w="60"/>
              <w:right w:type="dxa" w:w="90"/>
            </w:tcMar>
          </w:tcPr>
          <w:p>
            <w:pPr>
              <w:spacing w:after="0" w:line="240"/>
              <w:jc w:val="right"/>
            </w:pPr>
            <w:r>
              <w:rPr>
                <w:b w:val="false"/>
                <w:bCs w:val="false"/>
                <w:sz w:val="18"/>
                <w:szCs w:val="18"/>
              </w:rPr>
              <w:t xml:space="preserve">21,380</w:t>
            </w:r>
          </w:p>
        </w:tc>
        <w:tc>
          <w:tcPr>
            <w:tcW w:type="dxa" w:w="2126"/>
            <w:shd w:fill="F2F2F2" w:color="auto" w:val="clear"/>
            <w:tcMar>
              <w:top w:type="dxa" w:w="60"/>
              <w:left w:type="dxa" w:w="90"/>
              <w:bottom w:type="dxa" w:w="60"/>
              <w:right w:type="dxa" w:w="90"/>
            </w:tcMar>
          </w:tcPr>
          <w:p>
            <w:pPr>
              <w:spacing w:after="0" w:line="240"/>
              <w:jc w:val="right"/>
            </w:pPr>
            <w:r>
              <w:rPr>
                <w:b w:val="false"/>
                <w:bCs w:val="false"/>
                <w:sz w:val="18"/>
                <w:szCs w:val="18"/>
              </w:rPr>
              <w:t xml:space="preserve">+10,710</w:t>
            </w:r>
          </w:p>
        </w:tc>
      </w:tr>
      <w:tr>
        <w:tc>
          <w:tcPr>
            <w:tcW w:type="dxa" w:w="2600"/>
            <w:tcMar>
              <w:top w:type="dxa" w:w="60"/>
              <w:left w:type="dxa" w:w="90"/>
              <w:bottom w:type="dxa" w:w="60"/>
              <w:right w:type="dxa" w:w="90"/>
            </w:tcMar>
          </w:tcPr>
          <w:p>
            <w:pPr>
              <w:spacing w:after="0" w:line="240"/>
              <w:jc w:val="left"/>
            </w:pPr>
            <w:r>
              <w:rPr>
                <w:b w:val="false"/>
                <w:bCs w:val="false"/>
                <w:sz w:val="18"/>
                <w:szCs w:val="18"/>
              </w:rPr>
              <w:t xml:space="preserve">2018-01-31 23:00</w:t>
            </w:r>
          </w:p>
        </w:tc>
        <w:tc>
          <w:tcPr>
            <w:tcW w:type="dxa" w:w="2100"/>
            <w:tcMar>
              <w:top w:type="dxa" w:w="60"/>
              <w:left w:type="dxa" w:w="90"/>
              <w:bottom w:type="dxa" w:w="60"/>
              <w:right w:type="dxa" w:w="90"/>
            </w:tcMar>
          </w:tcPr>
          <w:p>
            <w:pPr>
              <w:spacing w:after="0" w:line="240"/>
              <w:jc w:val="right"/>
            </w:pPr>
            <w:r>
              <w:rPr>
                <w:b w:val="false"/>
                <w:bCs w:val="false"/>
                <w:sz w:val="18"/>
                <w:szCs w:val="18"/>
              </w:rPr>
              <w:t xml:space="preserve">22,657</w:t>
            </w:r>
          </w:p>
        </w:tc>
        <w:tc>
          <w:tcPr>
            <w:tcW w:type="dxa" w:w="2200"/>
            <w:tcMar>
              <w:top w:type="dxa" w:w="60"/>
              <w:left w:type="dxa" w:w="90"/>
              <w:bottom w:type="dxa" w:w="60"/>
              <w:right w:type="dxa" w:w="90"/>
            </w:tcMar>
          </w:tcPr>
          <w:p>
            <w:pPr>
              <w:spacing w:after="0" w:line="240"/>
              <w:jc w:val="right"/>
            </w:pPr>
            <w:r>
              <w:rPr>
                <w:b w:val="false"/>
                <w:bCs w:val="false"/>
                <w:sz w:val="18"/>
                <w:szCs w:val="18"/>
              </w:rPr>
              <w:t xml:space="preserve">27,883</w:t>
            </w:r>
          </w:p>
        </w:tc>
        <w:tc>
          <w:tcPr>
            <w:tcW w:type="dxa" w:w="2126"/>
            <w:tcMar>
              <w:top w:type="dxa" w:w="60"/>
              <w:left w:type="dxa" w:w="90"/>
              <w:bottom w:type="dxa" w:w="60"/>
              <w:right w:type="dxa" w:w="90"/>
            </w:tcMar>
          </w:tcPr>
          <w:p>
            <w:pPr>
              <w:spacing w:after="0" w:line="240"/>
              <w:jc w:val="right"/>
            </w:pPr>
            <w:r>
              <w:rPr>
                <w:b w:val="false"/>
                <w:bCs w:val="false"/>
                <w:sz w:val="18"/>
                <w:szCs w:val="18"/>
              </w:rPr>
              <w:t xml:space="preserve">−5,226</w:t>
            </w:r>
          </w:p>
        </w:tc>
      </w:tr>
      <w:tr>
        <w:tc>
          <w:tcPr>
            <w:tcW w:type="dxa" w:w="2600"/>
            <w:tcMar>
              <w:top w:type="dxa" w:w="60"/>
              <w:left w:type="dxa" w:w="90"/>
              <w:bottom w:type="dxa" w:w="60"/>
              <w:right w:type="dxa" w:w="90"/>
            </w:tcMar>
          </w:tcPr>
          <w:p>
            <w:pPr>
              <w:spacing w:after="0" w:line="240"/>
              <w:jc w:val="left"/>
            </w:pPr>
            <w:r>
              <w:rPr>
                <w:b w:val="false"/>
                <w:bCs w:val="false"/>
                <w:sz w:val="18"/>
                <w:szCs w:val="18"/>
              </w:rPr>
              <w:t xml:space="preserve">2018-09-30 22:00</w:t>
            </w:r>
          </w:p>
        </w:tc>
        <w:tc>
          <w:tcPr>
            <w:tcW w:type="dxa" w:w="2100"/>
            <w:tcMar>
              <w:top w:type="dxa" w:w="60"/>
              <w:left w:type="dxa" w:w="90"/>
              <w:bottom w:type="dxa" w:w="60"/>
              <w:right w:type="dxa" w:w="90"/>
            </w:tcMar>
          </w:tcPr>
          <w:p>
            <w:pPr>
              <w:spacing w:after="0" w:line="240"/>
              <w:jc w:val="right"/>
            </w:pPr>
            <w:r>
              <w:rPr>
                <w:b w:val="false"/>
                <w:bCs w:val="false"/>
                <w:sz w:val="18"/>
                <w:szCs w:val="18"/>
              </w:rPr>
              <w:t xml:space="preserve">29,001</w:t>
            </w:r>
          </w:p>
        </w:tc>
        <w:tc>
          <w:tcPr>
            <w:tcW w:type="dxa" w:w="2200"/>
            <w:tcMar>
              <w:top w:type="dxa" w:w="60"/>
              <w:left w:type="dxa" w:w="90"/>
              <w:bottom w:type="dxa" w:w="60"/>
              <w:right w:type="dxa" w:w="90"/>
            </w:tcMar>
          </w:tcPr>
          <w:p>
            <w:pPr>
              <w:spacing w:after="0" w:line="240"/>
              <w:jc w:val="right"/>
            </w:pPr>
            <w:r>
              <w:rPr>
                <w:b w:val="false"/>
                <w:bCs w:val="false"/>
                <w:sz w:val="18"/>
                <w:szCs w:val="18"/>
              </w:rPr>
              <w:t xml:space="preserve">24,076</w:t>
            </w:r>
          </w:p>
        </w:tc>
        <w:tc>
          <w:tcPr>
            <w:tcW w:type="dxa" w:w="2126"/>
            <w:tcMar>
              <w:top w:type="dxa" w:w="60"/>
              <w:left w:type="dxa" w:w="90"/>
              <w:bottom w:type="dxa" w:w="60"/>
              <w:right w:type="dxa" w:w="90"/>
            </w:tcMar>
          </w:tcPr>
          <w:p>
            <w:pPr>
              <w:spacing w:after="0" w:line="240"/>
              <w:jc w:val="right"/>
            </w:pPr>
            <w:r>
              <w:rPr>
                <w:b w:val="false"/>
                <w:bCs w:val="false"/>
                <w:sz w:val="18"/>
                <w:szCs w:val="18"/>
              </w:rPr>
              <w:t xml:space="preserve">+4,925</w:t>
            </w:r>
          </w:p>
        </w:tc>
      </w:tr>
      <w:tr>
        <w:tc>
          <w:tcPr>
            <w:tcW w:type="dxa" w:w="2600"/>
            <w:tcMar>
              <w:top w:type="dxa" w:w="60"/>
              <w:left w:type="dxa" w:w="90"/>
              <w:bottom w:type="dxa" w:w="60"/>
              <w:right w:type="dxa" w:w="90"/>
            </w:tcMar>
          </w:tcPr>
          <w:p>
            <w:pPr>
              <w:spacing w:after="0" w:line="240"/>
              <w:jc w:val="left"/>
            </w:pPr>
            <w:r>
              <w:rPr>
                <w:b w:val="false"/>
                <w:bCs w:val="false"/>
                <w:sz w:val="18"/>
                <w:szCs w:val="18"/>
              </w:rPr>
              <w:t xml:space="preserve">2018-10-06 22:00</w:t>
            </w:r>
          </w:p>
        </w:tc>
        <w:tc>
          <w:tcPr>
            <w:tcW w:type="dxa" w:w="2100"/>
            <w:tcMar>
              <w:top w:type="dxa" w:w="60"/>
              <w:left w:type="dxa" w:w="90"/>
              <w:bottom w:type="dxa" w:w="60"/>
              <w:right w:type="dxa" w:w="90"/>
            </w:tcMar>
          </w:tcPr>
          <w:p>
            <w:pPr>
              <w:spacing w:after="0" w:line="240"/>
              <w:jc w:val="right"/>
            </w:pPr>
            <w:r>
              <w:rPr>
                <w:b w:val="false"/>
                <w:bCs w:val="false"/>
                <w:sz w:val="18"/>
                <w:szCs w:val="18"/>
              </w:rPr>
              <w:t xml:space="preserve">29,100</w:t>
            </w:r>
          </w:p>
        </w:tc>
        <w:tc>
          <w:tcPr>
            <w:tcW w:type="dxa" w:w="2200"/>
            <w:tcMar>
              <w:top w:type="dxa" w:w="60"/>
              <w:left w:type="dxa" w:w="90"/>
              <w:bottom w:type="dxa" w:w="60"/>
              <w:right w:type="dxa" w:w="90"/>
            </w:tcMar>
          </w:tcPr>
          <w:p>
            <w:pPr>
              <w:spacing w:after="0" w:line="240"/>
              <w:jc w:val="right"/>
            </w:pPr>
            <w:r>
              <w:rPr>
                <w:b w:val="false"/>
                <w:bCs w:val="false"/>
                <w:sz w:val="18"/>
                <w:szCs w:val="18"/>
              </w:rPr>
              <w:t xml:space="preserve">24,152</w:t>
            </w:r>
          </w:p>
        </w:tc>
        <w:tc>
          <w:tcPr>
            <w:tcW w:type="dxa" w:w="2126"/>
            <w:tcMar>
              <w:top w:type="dxa" w:w="60"/>
              <w:left w:type="dxa" w:w="90"/>
              <w:bottom w:type="dxa" w:w="60"/>
              <w:right w:type="dxa" w:w="90"/>
            </w:tcMar>
          </w:tcPr>
          <w:p>
            <w:pPr>
              <w:spacing w:after="0" w:line="240"/>
              <w:jc w:val="right"/>
            </w:pPr>
            <w:r>
              <w:rPr>
                <w:b w:val="false"/>
                <w:bCs w:val="false"/>
                <w:sz w:val="18"/>
                <w:szCs w:val="18"/>
              </w:rPr>
              <w:t xml:space="preserve">+4,948</w:t>
            </w:r>
          </w:p>
        </w:tc>
      </w:tr>
    </w:tbl>
    <w:p>
      <w:pPr>
        <w:spacing w:after="200"/>
      </w:pPr>
    </w:p>
    <w:p>
      <w:pPr>
        <w:spacing w:after="140" w:line="276"/>
        <w:jc w:val="both"/>
      </w:pPr>
      <w:r>
        <w:t xml:space="preserve">The two largest errors are consecutive hours on the same Sunday morning with residuals of nearly equal magnitude and opposite sign. A genuine demand event would not reverse itself within one hour in this way. The pattern is far more consistent with a data-recording fault — two hourly values transposed or mis-stamped in the source series — and the model's large errors are then a correct response to corrupted inputs rather than a modelling failure. The remaining large residuals cluster on late-evening hours and 31 January, plausibly reflecting holiday or special-day effects that a model knowing only hour, weekday and month cannot anticipate. A Spanish public-holiday calendar is an obvious extension.</w:t>
      </w:r>
    </w:p>
    <w:p>
      <w:pPr>
        <w:spacing w:after="60" w:before="160"/>
        <w:jc w:val="center"/>
      </w:pPr>
      <w:r>
        <w:drawing>
          <wp:inline distT="0" distB="0" distL="0" distR="0">
            <wp:extent cx="57150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019300"/>
                    </a:xfrm>
                    <a:prstGeom prst="rect">
                      <a:avLst/>
                    </a:prstGeom>
                  </pic:spPr>
                </pic:pic>
              </a:graphicData>
            </a:graphic>
          </wp:inline>
        </w:drawing>
      </w:r>
    </w:p>
    <w:p>
      <w:pPr>
        <w:spacing w:after="220" w:before="80"/>
        <w:jc w:val="center"/>
      </w:pPr>
      <w:r>
        <w:rPr>
          <w:b/>
          <w:bCs/>
          <w:i w:val="false"/>
          <w:iCs w:val="false"/>
          <w:sz w:val="18"/>
          <w:szCs w:val="18"/>
        </w:rPr>
        <w:t xml:space="preserve">Figure 8.</w:t>
      </w:r>
      <w:r>
        <w:rPr>
          <w:i w:val="false"/>
          <w:iCs w:val="false"/>
          <w:sz w:val="18"/>
          <w:szCs w:val="18"/>
        </w:rPr>
        <w:t xml:space="preserve"> Residuals against predicted demand (left) and residual distribution (right), Random Forest, 2018 test set.</w:t>
      </w:r>
    </w:p>
    <w:p>
      <w:pPr>
        <w:pStyle w:val="Heading2"/>
        <w:spacing w:after="140" w:before="280"/>
      </w:pPr>
      <w:r>
        <w:t xml:space="preserve">3.5 Feature attribution in Model A</w:t>
      </w:r>
    </w:p>
    <w:p>
      <w:pPr>
        <w:spacing w:after="140" w:line="276"/>
        <w:jc w:val="both"/>
      </w:pPr>
      <w:r>
        <w:t xml:space="preserve">Random Forest importances are overwhelmingly concentrated: </w:t>
      </w:r>
      <w:r>
        <w:rPr>
          <w:rFonts w:ascii="Consolas" w:cs="Consolas" w:eastAsia="Consolas" w:hAnsi="Consolas"/>
          <w:sz w:val="19"/>
          <w:szCs w:val="19"/>
        </w:rPr>
        <w:t xml:space="preserve">demand_lag_1h</w:t>
      </w:r>
      <w:r>
        <w:t xml:space="preserve"> accounts for 0.9072 of total importance and </w:t>
      </w:r>
      <w:r>
        <w:rPr>
          <w:rFonts w:ascii="Consolas" w:cs="Consolas" w:eastAsia="Consolas" w:hAnsi="Consolas"/>
          <w:sz w:val="19"/>
          <w:szCs w:val="19"/>
        </w:rPr>
        <w:t xml:space="preserve">hour</w:t>
      </w:r>
      <w:r>
        <w:t xml:space="preserve"> for 0.0747, together 98.2% of the total. Every other feature, temperature included (0.0027), is marginal.</w:t>
      </w:r>
    </w:p>
    <w:p>
      <w:pPr>
        <w:spacing w:after="90" w:before="200"/>
        <w:jc w:val="left"/>
      </w:pPr>
      <w:r>
        <w:rPr>
          <w:b/>
          <w:bCs/>
          <w:sz w:val="18"/>
          <w:szCs w:val="18"/>
        </w:rPr>
        <w:t xml:space="preserve">Table 4.</w:t>
      </w:r>
      <w:r>
        <w:rPr>
          <w:sz w:val="18"/>
          <w:szCs w:val="18"/>
        </w:rPr>
        <w:t xml:space="preserve"> Random Forest feature importances, Model A (top 12 of 18).</w:t>
      </w:r>
    </w:p>
    <w:tbl>
      <w:tblPr>
        <w:tblW w:type="dxa" w:w="9026"/>
        <w:tblBorders>
          <w:top w:val="single" w:color="000000" w:sz="8"/>
          <w:left w:val="none" w:color="FFFFFF" w:sz="0"/>
          <w:bottom w:val="single" w:color="000000" w:sz="8"/>
          <w:right w:val="none" w:color="FFFFFF" w:sz="0"/>
          <w:insideH w:val="single" w:color="BBBBBB" w:sz="2"/>
          <w:insideV w:val="none" w:color="FFFFFF" w:sz="0"/>
        </w:tblBorders>
      </w:tblPr>
      <w:tblGrid>
        <w:gridCol w:w="2700"/>
        <w:gridCol w:w="1600"/>
        <w:gridCol w:w="2700"/>
        <w:gridCol w:w="2026"/>
      </w:tblGrid>
      <w:tr>
        <w:trPr>
          <w:tblHeader/>
        </w:trPr>
        <w:tc>
          <w:tcPr>
            <w:tcW w:type="dxa" w:w="2700"/>
            <w:shd w:fill="E8E8E8" w:color="auto" w:val="clear"/>
            <w:tcMar>
              <w:top w:type="dxa" w:w="60"/>
              <w:left w:type="dxa" w:w="90"/>
              <w:bottom w:type="dxa" w:w="60"/>
              <w:right w:type="dxa" w:w="90"/>
            </w:tcMar>
          </w:tcPr>
          <w:p>
            <w:pPr>
              <w:spacing w:after="0" w:line="240"/>
              <w:jc w:val="left"/>
            </w:pPr>
            <w:r>
              <w:rPr>
                <w:b/>
                <w:bCs/>
                <w:sz w:val="18"/>
                <w:szCs w:val="18"/>
              </w:rPr>
              <w:t xml:space="preserve">Feature</w:t>
            </w:r>
          </w:p>
        </w:tc>
        <w:tc>
          <w:tcPr>
            <w:tcW w:type="dxa" w:w="1600"/>
            <w:shd w:fill="E8E8E8" w:color="auto" w:val="clear"/>
            <w:tcMar>
              <w:top w:type="dxa" w:w="60"/>
              <w:left w:type="dxa" w:w="90"/>
              <w:bottom w:type="dxa" w:w="60"/>
              <w:right w:type="dxa" w:w="90"/>
            </w:tcMar>
          </w:tcPr>
          <w:p>
            <w:pPr>
              <w:spacing w:after="0" w:line="240"/>
              <w:jc w:val="right"/>
            </w:pPr>
            <w:r>
              <w:rPr>
                <w:b/>
                <w:bCs/>
                <w:sz w:val="18"/>
                <w:szCs w:val="18"/>
              </w:rPr>
              <w:t xml:space="preserve">Importance</w:t>
            </w:r>
          </w:p>
        </w:tc>
        <w:tc>
          <w:tcPr>
            <w:tcW w:type="dxa" w:w="2700"/>
            <w:shd w:fill="E8E8E8" w:color="auto" w:val="clear"/>
            <w:tcMar>
              <w:top w:type="dxa" w:w="60"/>
              <w:left w:type="dxa" w:w="90"/>
              <w:bottom w:type="dxa" w:w="60"/>
              <w:right w:type="dxa" w:w="90"/>
            </w:tcMar>
          </w:tcPr>
          <w:p>
            <w:pPr>
              <w:spacing w:after="0" w:line="240"/>
              <w:jc w:val="left"/>
            </w:pPr>
            <w:r>
              <w:rPr>
                <w:b/>
                <w:bCs/>
                <w:sz w:val="18"/>
                <w:szCs w:val="18"/>
              </w:rPr>
              <w:t xml:space="preserve">Feature</w:t>
            </w:r>
          </w:p>
        </w:tc>
        <w:tc>
          <w:tcPr>
            <w:tcW w:type="dxa" w:w="2026"/>
            <w:shd w:fill="E8E8E8" w:color="auto" w:val="clear"/>
            <w:tcMar>
              <w:top w:type="dxa" w:w="60"/>
              <w:left w:type="dxa" w:w="90"/>
              <w:bottom w:type="dxa" w:w="60"/>
              <w:right w:type="dxa" w:w="90"/>
            </w:tcMar>
          </w:tcPr>
          <w:p>
            <w:pPr>
              <w:spacing w:after="0" w:line="240"/>
              <w:jc w:val="right"/>
            </w:pPr>
            <w:r>
              <w:rPr>
                <w:b/>
                <w:bCs/>
                <w:sz w:val="18"/>
                <w:szCs w:val="18"/>
              </w:rPr>
              <w:t xml:space="preserve">Importance</w:t>
            </w:r>
          </w:p>
        </w:tc>
      </w:tr>
      <w:tr>
        <w:tc>
          <w:tcPr>
            <w:tcW w:type="dxa" w:w="2700"/>
            <w:tcMar>
              <w:top w:type="dxa" w:w="60"/>
              <w:left w:type="dxa" w:w="90"/>
              <w:bottom w:type="dxa" w:w="60"/>
              <w:right w:type="dxa" w:w="90"/>
            </w:tcMar>
          </w:tcPr>
          <w:p>
            <w:pPr>
              <w:spacing w:after="0" w:line="240"/>
              <w:jc w:val="left"/>
            </w:pPr>
            <w:r>
              <w:rPr>
                <w:b w:val="false"/>
                <w:bCs w:val="false"/>
                <w:sz w:val="18"/>
                <w:szCs w:val="18"/>
              </w:rPr>
              <w:t xml:space="preserve">demand_lag_1h</w:t>
            </w:r>
          </w:p>
        </w:tc>
        <w:tc>
          <w:tcPr>
            <w:tcW w:type="dxa" w:w="1600"/>
            <w:tcMar>
              <w:top w:type="dxa" w:w="60"/>
              <w:left w:type="dxa" w:w="90"/>
              <w:bottom w:type="dxa" w:w="60"/>
              <w:right w:type="dxa" w:w="90"/>
            </w:tcMar>
          </w:tcPr>
          <w:p>
            <w:pPr>
              <w:spacing w:after="0" w:line="240"/>
              <w:jc w:val="right"/>
            </w:pPr>
            <w:r>
              <w:rPr>
                <w:b w:val="false"/>
                <w:bCs w:val="false"/>
                <w:sz w:val="18"/>
                <w:szCs w:val="18"/>
              </w:rPr>
              <w:t xml:space="preserve">0.9072</w:t>
            </w:r>
          </w:p>
        </w:tc>
        <w:tc>
          <w:tcPr>
            <w:tcW w:type="dxa" w:w="2700"/>
            <w:tcMar>
              <w:top w:type="dxa" w:w="60"/>
              <w:left w:type="dxa" w:w="90"/>
              <w:bottom w:type="dxa" w:w="60"/>
              <w:right w:type="dxa" w:w="90"/>
            </w:tcMar>
          </w:tcPr>
          <w:p>
            <w:pPr>
              <w:spacing w:after="0" w:line="240"/>
              <w:jc w:val="left"/>
            </w:pPr>
            <w:r>
              <w:rPr>
                <w:b w:val="false"/>
                <w:bCs w:val="false"/>
                <w:sz w:val="18"/>
                <w:szCs w:val="18"/>
              </w:rPr>
              <w:t xml:space="preserve">humidity</w:t>
            </w:r>
          </w:p>
        </w:tc>
        <w:tc>
          <w:tcPr>
            <w:tcW w:type="dxa" w:w="2026"/>
            <w:tcMar>
              <w:top w:type="dxa" w:w="60"/>
              <w:left w:type="dxa" w:w="90"/>
              <w:bottom w:type="dxa" w:w="60"/>
              <w:right w:type="dxa" w:w="90"/>
            </w:tcMar>
          </w:tcPr>
          <w:p>
            <w:pPr>
              <w:spacing w:after="0" w:line="240"/>
              <w:jc w:val="right"/>
            </w:pPr>
            <w:r>
              <w:rPr>
                <w:b w:val="false"/>
                <w:bCs w:val="false"/>
                <w:sz w:val="18"/>
                <w:szCs w:val="18"/>
              </w:rPr>
              <w:t xml:space="preserve">0.0014</w:t>
            </w:r>
          </w:p>
        </w:tc>
      </w:tr>
      <w:tr>
        <w:tc>
          <w:tcPr>
            <w:tcW w:type="dxa" w:w="2700"/>
            <w:tcMar>
              <w:top w:type="dxa" w:w="60"/>
              <w:left w:type="dxa" w:w="90"/>
              <w:bottom w:type="dxa" w:w="60"/>
              <w:right w:type="dxa" w:w="90"/>
            </w:tcMar>
          </w:tcPr>
          <w:p>
            <w:pPr>
              <w:spacing w:after="0" w:line="240"/>
              <w:jc w:val="left"/>
            </w:pPr>
            <w:r>
              <w:rPr>
                <w:b w:val="false"/>
                <w:bCs w:val="false"/>
                <w:sz w:val="18"/>
                <w:szCs w:val="18"/>
              </w:rPr>
              <w:t xml:space="preserve">hour</w:t>
            </w:r>
          </w:p>
        </w:tc>
        <w:tc>
          <w:tcPr>
            <w:tcW w:type="dxa" w:w="1600"/>
            <w:tcMar>
              <w:top w:type="dxa" w:w="60"/>
              <w:left w:type="dxa" w:w="90"/>
              <w:bottom w:type="dxa" w:w="60"/>
              <w:right w:type="dxa" w:w="90"/>
            </w:tcMar>
          </w:tcPr>
          <w:p>
            <w:pPr>
              <w:spacing w:after="0" w:line="240"/>
              <w:jc w:val="right"/>
            </w:pPr>
            <w:r>
              <w:rPr>
                <w:b w:val="false"/>
                <w:bCs w:val="false"/>
                <w:sz w:val="18"/>
                <w:szCs w:val="18"/>
              </w:rPr>
              <w:t xml:space="preserve">0.0747</w:t>
            </w:r>
          </w:p>
        </w:tc>
        <w:tc>
          <w:tcPr>
            <w:tcW w:type="dxa" w:w="2700"/>
            <w:tcMar>
              <w:top w:type="dxa" w:w="60"/>
              <w:left w:type="dxa" w:w="90"/>
              <w:bottom w:type="dxa" w:w="60"/>
              <w:right w:type="dxa" w:w="90"/>
            </w:tcMar>
          </w:tcPr>
          <w:p>
            <w:pPr>
              <w:spacing w:after="0" w:line="240"/>
              <w:jc w:val="left"/>
            </w:pPr>
            <w:r>
              <w:rPr>
                <w:b w:val="false"/>
                <w:bCs w:val="false"/>
                <w:sz w:val="18"/>
                <w:szCs w:val="18"/>
              </w:rPr>
              <w:t xml:space="preserve">demand_lag_168h</w:t>
            </w:r>
          </w:p>
        </w:tc>
        <w:tc>
          <w:tcPr>
            <w:tcW w:type="dxa" w:w="2026"/>
            <w:tcMar>
              <w:top w:type="dxa" w:w="60"/>
              <w:left w:type="dxa" w:w="90"/>
              <w:bottom w:type="dxa" w:w="60"/>
              <w:right w:type="dxa" w:w="90"/>
            </w:tcMar>
          </w:tcPr>
          <w:p>
            <w:pPr>
              <w:spacing w:after="0" w:line="240"/>
              <w:jc w:val="right"/>
            </w:pPr>
            <w:r>
              <w:rPr>
                <w:b w:val="false"/>
                <w:bCs w:val="false"/>
                <w:sz w:val="18"/>
                <w:szCs w:val="18"/>
              </w:rPr>
              <w:t xml:space="preserve">0.0012</w:t>
            </w:r>
          </w:p>
        </w:tc>
      </w:tr>
      <w:tr>
        <w:tc>
          <w:tcPr>
            <w:tcW w:type="dxa" w:w="2700"/>
            <w:tcMar>
              <w:top w:type="dxa" w:w="60"/>
              <w:left w:type="dxa" w:w="90"/>
              <w:bottom w:type="dxa" w:w="60"/>
              <w:right w:type="dxa" w:w="90"/>
            </w:tcMar>
          </w:tcPr>
          <w:p>
            <w:pPr>
              <w:spacing w:after="0" w:line="240"/>
              <w:jc w:val="left"/>
            </w:pPr>
            <w:r>
              <w:rPr>
                <w:b w:val="false"/>
                <w:bCs w:val="false"/>
                <w:sz w:val="18"/>
                <w:szCs w:val="18"/>
              </w:rPr>
              <w:t xml:space="preserve">demand_lag_24h</w:t>
            </w:r>
          </w:p>
        </w:tc>
        <w:tc>
          <w:tcPr>
            <w:tcW w:type="dxa" w:w="1600"/>
            <w:tcMar>
              <w:top w:type="dxa" w:w="60"/>
              <w:left w:type="dxa" w:w="90"/>
              <w:bottom w:type="dxa" w:w="60"/>
              <w:right w:type="dxa" w:w="90"/>
            </w:tcMar>
          </w:tcPr>
          <w:p>
            <w:pPr>
              <w:spacing w:after="0" w:line="240"/>
              <w:jc w:val="right"/>
            </w:pPr>
            <w:r>
              <w:rPr>
                <w:b w:val="false"/>
                <w:bCs w:val="false"/>
                <w:sz w:val="18"/>
                <w:szCs w:val="18"/>
              </w:rPr>
              <w:t xml:space="preserve">0.0030</w:t>
            </w:r>
          </w:p>
        </w:tc>
        <w:tc>
          <w:tcPr>
            <w:tcW w:type="dxa" w:w="2700"/>
            <w:tcMar>
              <w:top w:type="dxa" w:w="60"/>
              <w:left w:type="dxa" w:w="90"/>
              <w:bottom w:type="dxa" w:w="60"/>
              <w:right w:type="dxa" w:w="90"/>
            </w:tcMar>
          </w:tcPr>
          <w:p>
            <w:pPr>
              <w:spacing w:after="0" w:line="240"/>
              <w:jc w:val="left"/>
            </w:pPr>
            <w:r>
              <w:rPr>
                <w:b w:val="false"/>
                <w:bCs w:val="false"/>
                <w:sz w:val="18"/>
                <w:szCs w:val="18"/>
              </w:rPr>
              <w:t xml:space="preserve">wind_speed</w:t>
            </w:r>
          </w:p>
        </w:tc>
        <w:tc>
          <w:tcPr>
            <w:tcW w:type="dxa" w:w="2026"/>
            <w:tcMar>
              <w:top w:type="dxa" w:w="60"/>
              <w:left w:type="dxa" w:w="90"/>
              <w:bottom w:type="dxa" w:w="60"/>
              <w:right w:type="dxa" w:w="90"/>
            </w:tcMar>
          </w:tcPr>
          <w:p>
            <w:pPr>
              <w:spacing w:after="0" w:line="240"/>
              <w:jc w:val="right"/>
            </w:pPr>
            <w:r>
              <w:rPr>
                <w:b w:val="false"/>
                <w:bCs w:val="false"/>
                <w:sz w:val="18"/>
                <w:szCs w:val="18"/>
              </w:rPr>
              <w:t xml:space="preserve">0.0011</w:t>
            </w:r>
          </w:p>
        </w:tc>
      </w:tr>
      <w:tr>
        <w:tc>
          <w:tcPr>
            <w:tcW w:type="dxa" w:w="2700"/>
            <w:tcMar>
              <w:top w:type="dxa" w:w="60"/>
              <w:left w:type="dxa" w:w="90"/>
              <w:bottom w:type="dxa" w:w="60"/>
              <w:right w:type="dxa" w:w="90"/>
            </w:tcMar>
          </w:tcPr>
          <w:p>
            <w:pPr>
              <w:spacing w:after="0" w:line="240"/>
              <w:jc w:val="left"/>
            </w:pPr>
            <w:r>
              <w:rPr>
                <w:b w:val="false"/>
                <w:bCs w:val="false"/>
                <w:sz w:val="18"/>
                <w:szCs w:val="18"/>
              </w:rPr>
              <w:t xml:space="preserve">temp</w:t>
            </w:r>
          </w:p>
        </w:tc>
        <w:tc>
          <w:tcPr>
            <w:tcW w:type="dxa" w:w="1600"/>
            <w:tcMar>
              <w:top w:type="dxa" w:w="60"/>
              <w:left w:type="dxa" w:w="90"/>
              <w:bottom w:type="dxa" w:w="60"/>
              <w:right w:type="dxa" w:w="90"/>
            </w:tcMar>
          </w:tcPr>
          <w:p>
            <w:pPr>
              <w:spacing w:after="0" w:line="240"/>
              <w:jc w:val="right"/>
            </w:pPr>
            <w:r>
              <w:rPr>
                <w:b w:val="false"/>
                <w:bCs w:val="false"/>
                <w:sz w:val="18"/>
                <w:szCs w:val="18"/>
              </w:rPr>
              <w:t xml:space="preserve">0.0027</w:t>
            </w:r>
          </w:p>
        </w:tc>
        <w:tc>
          <w:tcPr>
            <w:tcW w:type="dxa" w:w="2700"/>
            <w:tcMar>
              <w:top w:type="dxa" w:w="60"/>
              <w:left w:type="dxa" w:w="90"/>
              <w:bottom w:type="dxa" w:w="60"/>
              <w:right w:type="dxa" w:w="90"/>
            </w:tcMar>
          </w:tcPr>
          <w:p>
            <w:pPr>
              <w:spacing w:after="0" w:line="240"/>
              <w:jc w:val="left"/>
            </w:pPr>
            <w:r>
              <w:rPr>
                <w:b w:val="false"/>
                <w:bCs w:val="false"/>
                <w:sz w:val="18"/>
                <w:szCs w:val="18"/>
              </w:rPr>
              <w:t xml:space="preserve">clouds_all</w:t>
            </w:r>
          </w:p>
        </w:tc>
        <w:tc>
          <w:tcPr>
            <w:tcW w:type="dxa" w:w="2026"/>
            <w:tcMar>
              <w:top w:type="dxa" w:w="60"/>
              <w:left w:type="dxa" w:w="90"/>
              <w:bottom w:type="dxa" w:w="60"/>
              <w:right w:type="dxa" w:w="90"/>
            </w:tcMar>
          </w:tcPr>
          <w:p>
            <w:pPr>
              <w:spacing w:after="0" w:line="240"/>
              <w:jc w:val="right"/>
            </w:pPr>
            <w:r>
              <w:rPr>
                <w:b w:val="false"/>
                <w:bCs w:val="false"/>
                <w:sz w:val="18"/>
                <w:szCs w:val="18"/>
              </w:rPr>
              <w:t xml:space="preserve">0.0009</w:t>
            </w:r>
          </w:p>
        </w:tc>
      </w:tr>
      <w:tr>
        <w:tc>
          <w:tcPr>
            <w:tcW w:type="dxa" w:w="2700"/>
            <w:tcMar>
              <w:top w:type="dxa" w:w="60"/>
              <w:left w:type="dxa" w:w="90"/>
              <w:bottom w:type="dxa" w:w="60"/>
              <w:right w:type="dxa" w:w="90"/>
            </w:tcMar>
          </w:tcPr>
          <w:p>
            <w:pPr>
              <w:spacing w:after="0" w:line="240"/>
              <w:jc w:val="left"/>
            </w:pPr>
            <w:r>
              <w:rPr>
                <w:b w:val="false"/>
                <w:bCs w:val="false"/>
                <w:sz w:val="18"/>
                <w:szCs w:val="18"/>
              </w:rPr>
              <w:t xml:space="preserve">demand_rolling_mean_24h</w:t>
            </w:r>
          </w:p>
        </w:tc>
        <w:tc>
          <w:tcPr>
            <w:tcW w:type="dxa" w:w="1600"/>
            <w:tcMar>
              <w:top w:type="dxa" w:w="60"/>
              <w:left w:type="dxa" w:w="90"/>
              <w:bottom w:type="dxa" w:w="60"/>
              <w:right w:type="dxa" w:w="90"/>
            </w:tcMar>
          </w:tcPr>
          <w:p>
            <w:pPr>
              <w:spacing w:after="0" w:line="240"/>
              <w:jc w:val="right"/>
            </w:pPr>
            <w:r>
              <w:rPr>
                <w:b w:val="false"/>
                <w:bCs w:val="false"/>
                <w:sz w:val="18"/>
                <w:szCs w:val="18"/>
              </w:rPr>
              <w:t xml:space="preserve">0.0022</w:t>
            </w:r>
          </w:p>
        </w:tc>
        <w:tc>
          <w:tcPr>
            <w:tcW w:type="dxa" w:w="2700"/>
            <w:tcMar>
              <w:top w:type="dxa" w:w="60"/>
              <w:left w:type="dxa" w:w="90"/>
              <w:bottom w:type="dxa" w:w="60"/>
              <w:right w:type="dxa" w:w="90"/>
            </w:tcMar>
          </w:tcPr>
          <w:p>
            <w:pPr>
              <w:spacing w:after="0" w:line="240"/>
              <w:jc w:val="left"/>
            </w:pPr>
            <w:r>
              <w:rPr>
                <w:b w:val="false"/>
                <w:bCs w:val="false"/>
                <w:sz w:val="18"/>
                <w:szCs w:val="18"/>
              </w:rPr>
              <w:t xml:space="preserve">pressure</w:t>
            </w:r>
          </w:p>
        </w:tc>
        <w:tc>
          <w:tcPr>
            <w:tcW w:type="dxa" w:w="2026"/>
            <w:tcMar>
              <w:top w:type="dxa" w:w="60"/>
              <w:left w:type="dxa" w:w="90"/>
              <w:bottom w:type="dxa" w:w="60"/>
              <w:right w:type="dxa" w:w="90"/>
            </w:tcMar>
          </w:tcPr>
          <w:p>
            <w:pPr>
              <w:spacing w:after="0" w:line="240"/>
              <w:jc w:val="right"/>
            </w:pPr>
            <w:r>
              <w:rPr>
                <w:b w:val="false"/>
                <w:bCs w:val="false"/>
                <w:sz w:val="18"/>
                <w:szCs w:val="18"/>
              </w:rPr>
              <w:t xml:space="preserve">0.0009</w:t>
            </w:r>
          </w:p>
        </w:tc>
      </w:tr>
      <w:tr>
        <w:tc>
          <w:tcPr>
            <w:tcW w:type="dxa" w:w="2700"/>
            <w:tcMar>
              <w:top w:type="dxa" w:w="60"/>
              <w:left w:type="dxa" w:w="90"/>
              <w:bottom w:type="dxa" w:w="60"/>
              <w:right w:type="dxa" w:w="90"/>
            </w:tcMar>
          </w:tcPr>
          <w:p>
            <w:pPr>
              <w:spacing w:after="0" w:line="240"/>
              <w:jc w:val="left"/>
            </w:pPr>
            <w:r>
              <w:rPr>
                <w:b w:val="false"/>
                <w:bCs w:val="false"/>
                <w:sz w:val="18"/>
                <w:szCs w:val="18"/>
              </w:rPr>
              <w:t xml:space="preserve">demand_rolling_std_24h</w:t>
            </w:r>
          </w:p>
        </w:tc>
        <w:tc>
          <w:tcPr>
            <w:tcW w:type="dxa" w:w="1600"/>
            <w:tcMar>
              <w:top w:type="dxa" w:w="60"/>
              <w:left w:type="dxa" w:w="90"/>
              <w:bottom w:type="dxa" w:w="60"/>
              <w:right w:type="dxa" w:w="90"/>
            </w:tcMar>
          </w:tcPr>
          <w:p>
            <w:pPr>
              <w:spacing w:after="0" w:line="240"/>
              <w:jc w:val="right"/>
            </w:pPr>
            <w:r>
              <w:rPr>
                <w:b w:val="false"/>
                <w:bCs w:val="false"/>
                <w:sz w:val="18"/>
                <w:szCs w:val="18"/>
              </w:rPr>
              <w:t xml:space="preserve">0.0022</w:t>
            </w:r>
          </w:p>
        </w:tc>
        <w:tc>
          <w:tcPr>
            <w:tcW w:type="dxa" w:w="2700"/>
            <w:tcMar>
              <w:top w:type="dxa" w:w="60"/>
              <w:left w:type="dxa" w:w="90"/>
              <w:bottom w:type="dxa" w:w="60"/>
              <w:right w:type="dxa" w:w="90"/>
            </w:tcMar>
          </w:tcPr>
          <w:p>
            <w:pPr>
              <w:spacing w:after="0" w:line="240"/>
              <w:jc w:val="left"/>
            </w:pPr>
            <w:r>
              <w:rPr>
                <w:b w:val="false"/>
                <w:bCs w:val="false"/>
                <w:sz w:val="18"/>
                <w:szCs w:val="18"/>
              </w:rPr>
              <w:t xml:space="preserve">month</w:t>
            </w:r>
          </w:p>
        </w:tc>
        <w:tc>
          <w:tcPr>
            <w:tcW w:type="dxa" w:w="2026"/>
            <w:tcMar>
              <w:top w:type="dxa" w:w="60"/>
              <w:left w:type="dxa" w:w="90"/>
              <w:bottom w:type="dxa" w:w="60"/>
              <w:right w:type="dxa" w:w="90"/>
            </w:tcMar>
          </w:tcPr>
          <w:p>
            <w:pPr>
              <w:spacing w:after="0" w:line="240"/>
              <w:jc w:val="right"/>
            </w:pPr>
            <w:r>
              <w:rPr>
                <w:b w:val="false"/>
                <w:bCs w:val="false"/>
                <w:sz w:val="18"/>
                <w:szCs w:val="18"/>
              </w:rPr>
              <w:t xml:space="preserve">0.0007</w:t>
            </w:r>
          </w:p>
        </w:tc>
      </w:tr>
    </w:tbl>
    <w:p>
      <w:pPr>
        <w:spacing w:after="200"/>
      </w:pPr>
    </w:p>
    <w:p>
      <w:pPr>
        <w:spacing w:after="60" w:before="160"/>
        <w:jc w:val="center"/>
      </w:pPr>
      <w:r>
        <w:drawing>
          <wp:inline distT="0" distB="0" distL="0" distR="0">
            <wp:extent cx="5715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486025"/>
                    </a:xfrm>
                    <a:prstGeom prst="rect">
                      <a:avLst/>
                    </a:prstGeom>
                  </pic:spPr>
                </pic:pic>
              </a:graphicData>
            </a:graphic>
          </wp:inline>
        </w:drawing>
      </w:r>
    </w:p>
    <w:p>
      <w:pPr>
        <w:spacing w:after="220" w:before="80"/>
        <w:jc w:val="center"/>
      </w:pPr>
      <w:r>
        <w:rPr>
          <w:b/>
          <w:bCs/>
          <w:i w:val="false"/>
          <w:iCs w:val="false"/>
          <w:sz w:val="18"/>
          <w:szCs w:val="18"/>
        </w:rPr>
        <w:t xml:space="preserve">Figure 9.</w:t>
      </w:r>
      <w:r>
        <w:rPr>
          <w:i w:val="false"/>
          <w:iCs w:val="false"/>
          <w:sz w:val="18"/>
          <w:szCs w:val="18"/>
        </w:rPr>
        <w:t xml:space="preserve"> Random Forest feature importance, full scale (left) and with the dominant lag term removed to make the remainder legible (right).</w:t>
      </w:r>
    </w:p>
    <w:p>
      <w:pPr>
        <w:spacing w:after="140" w:line="276"/>
        <w:jc w:val="both"/>
      </w:pPr>
      <w:r>
        <w:t xml:space="preserve">This result is the empirical justification for the two-model design. Model A is accurate because it has learned, essentially, to propagate the previous hour forward with a time-of-day correction. Its near-zero weight on temperature is not evidence that temperature does not matter — it is evidence that temperature's influence is already embedded in the lagged demand value. Using this model for a warming scenario would hold the lag fixed and return an almost null effect by construction.</w:t>
      </w:r>
    </w:p>
    <w:p>
      <w:pPr>
        <w:pStyle w:val="Heading2"/>
        <w:spacing w:after="140" w:before="280"/>
      </w:pPr>
      <w:r>
        <w:t xml:space="preserve">3.6 Model B: response model comparison</w:t>
      </w:r>
    </w:p>
    <w:p>
      <w:pPr>
        <w:spacing w:after="140" w:line="276"/>
        <w:jc w:val="both"/>
      </w:pPr>
      <w:r>
        <w:t xml:space="preserve">Removing all demand history costs a great deal of accuracy, as it must. Table 5 compares the four Model B specifications with Model A on the same test set.</w:t>
      </w:r>
    </w:p>
    <w:p>
      <w:pPr>
        <w:spacing w:after="90" w:before="200"/>
        <w:jc w:val="left"/>
      </w:pPr>
      <w:r>
        <w:rPr>
          <w:b/>
          <w:bCs/>
          <w:sz w:val="18"/>
          <w:szCs w:val="18"/>
        </w:rPr>
        <w:t xml:space="preserve">Table 5.</w:t>
      </w:r>
      <w:r>
        <w:rPr>
          <w:sz w:val="18"/>
          <w:szCs w:val="18"/>
        </w:rPr>
        <w:t xml:space="preserve"> Model comparison on the 2018 test set. Only Model B specifications are valid for counterfactual scenarios.</w:t>
      </w:r>
    </w:p>
    <w:tbl>
      <w:tblPr>
        <w:tblW w:type="dxa" w:w="9026"/>
        <w:tblBorders>
          <w:top w:val="single" w:color="000000" w:sz="8"/>
          <w:left w:val="none" w:color="FFFFFF" w:sz="0"/>
          <w:bottom w:val="single" w:color="000000" w:sz="8"/>
          <w:right w:val="none" w:color="FFFFFF" w:sz="0"/>
          <w:insideH w:val="single" w:color="BBBBBB" w:sz="2"/>
          <w:insideV w:val="none" w:color="FFFFFF" w:sz="0"/>
        </w:tblBorders>
      </w:tblPr>
      <w:tblGrid>
        <w:gridCol w:w="2750"/>
        <w:gridCol w:w="2000"/>
        <w:gridCol w:w="1350"/>
        <w:gridCol w:w="1150"/>
        <w:gridCol w:w="1776"/>
      </w:tblGrid>
      <w:tr>
        <w:trPr>
          <w:tblHeader/>
        </w:trPr>
        <w:tc>
          <w:tcPr>
            <w:tcW w:type="dxa" w:w="2750"/>
            <w:shd w:fill="E8E8E8" w:color="auto" w:val="clear"/>
            <w:tcMar>
              <w:top w:type="dxa" w:w="60"/>
              <w:left w:type="dxa" w:w="90"/>
              <w:bottom w:type="dxa" w:w="60"/>
              <w:right w:type="dxa" w:w="90"/>
            </w:tcMar>
          </w:tcPr>
          <w:p>
            <w:pPr>
              <w:spacing w:after="0" w:line="240"/>
              <w:jc w:val="left"/>
            </w:pPr>
            <w:r>
              <w:rPr>
                <w:b/>
                <w:bCs/>
                <w:sz w:val="17"/>
                <w:szCs w:val="17"/>
              </w:rPr>
              <w:t xml:space="preserve">Model</w:t>
            </w:r>
          </w:p>
        </w:tc>
        <w:tc>
          <w:tcPr>
            <w:tcW w:type="dxa" w:w="2000"/>
            <w:shd w:fill="E8E8E8" w:color="auto" w:val="clear"/>
            <w:tcMar>
              <w:top w:type="dxa" w:w="60"/>
              <w:left w:type="dxa" w:w="90"/>
              <w:bottom w:type="dxa" w:w="60"/>
              <w:right w:type="dxa" w:w="90"/>
            </w:tcMar>
          </w:tcPr>
          <w:p>
            <w:pPr>
              <w:spacing w:after="0" w:line="240"/>
              <w:jc w:val="left"/>
            </w:pPr>
            <w:r>
              <w:rPr>
                <w:b/>
                <w:bCs/>
                <w:sz w:val="17"/>
                <w:szCs w:val="17"/>
              </w:rPr>
              <w:t xml:space="preserve">Inputs</w:t>
            </w:r>
          </w:p>
        </w:tc>
        <w:tc>
          <w:tcPr>
            <w:tcW w:type="dxa" w:w="1350"/>
            <w:shd w:fill="E8E8E8" w:color="auto" w:val="clear"/>
            <w:tcMar>
              <w:top w:type="dxa" w:w="60"/>
              <w:left w:type="dxa" w:w="90"/>
              <w:bottom w:type="dxa" w:w="60"/>
              <w:right w:type="dxa" w:w="90"/>
            </w:tcMar>
          </w:tcPr>
          <w:p>
            <w:pPr>
              <w:spacing w:after="0" w:line="240"/>
              <w:jc w:val="right"/>
            </w:pPr>
            <w:r>
              <w:rPr>
                <w:b/>
                <w:bCs/>
                <w:sz w:val="17"/>
                <w:szCs w:val="17"/>
              </w:rPr>
              <w:t xml:space="preserve">MAE (MW)</w:t>
            </w:r>
          </w:p>
        </w:tc>
        <w:tc>
          <w:tcPr>
            <w:tcW w:type="dxa" w:w="1150"/>
            <w:shd w:fill="E8E8E8" w:color="auto" w:val="clear"/>
            <w:tcMar>
              <w:top w:type="dxa" w:w="60"/>
              <w:left w:type="dxa" w:w="90"/>
              <w:bottom w:type="dxa" w:w="60"/>
              <w:right w:type="dxa" w:w="90"/>
            </w:tcMar>
          </w:tcPr>
          <w:p>
            <w:pPr>
              <w:spacing w:after="0" w:line="240"/>
              <w:jc w:val="right"/>
            </w:pPr>
            <w:r>
              <w:rPr>
                <w:b/>
                <w:bCs/>
                <w:sz w:val="17"/>
                <w:szCs w:val="17"/>
              </w:rPr>
              <w:t xml:space="preserve">R²</w:t>
            </w:r>
          </w:p>
        </w:tc>
        <w:tc>
          <w:tcPr>
            <w:tcW w:type="dxa" w:w="1776"/>
            <w:shd w:fill="E8E8E8" w:color="auto" w:val="clear"/>
            <w:tcMar>
              <w:top w:type="dxa" w:w="60"/>
              <w:left w:type="dxa" w:w="90"/>
              <w:bottom w:type="dxa" w:w="60"/>
              <w:right w:type="dxa" w:w="90"/>
            </w:tcMar>
          </w:tcPr>
          <w:p>
            <w:pPr>
              <w:spacing w:after="0" w:line="240"/>
              <w:jc w:val="center"/>
            </w:pPr>
            <w:r>
              <w:rPr>
                <w:b/>
                <w:bCs/>
                <w:sz w:val="17"/>
                <w:szCs w:val="17"/>
              </w:rPr>
              <w:t xml:space="preserve">Valid for scenarios?</w:t>
            </w:r>
          </w:p>
        </w:tc>
      </w:tr>
      <w:tr>
        <w:tc>
          <w:tcPr>
            <w:tcW w:type="dxa" w:w="2750"/>
            <w:tcMar>
              <w:top w:type="dxa" w:w="60"/>
              <w:left w:type="dxa" w:w="90"/>
              <w:bottom w:type="dxa" w:w="60"/>
              <w:right w:type="dxa" w:w="90"/>
            </w:tcMar>
          </w:tcPr>
          <w:p>
            <w:pPr>
              <w:spacing w:after="0" w:line="240"/>
              <w:jc w:val="left"/>
            </w:pPr>
            <w:r>
              <w:rPr>
                <w:b w:val="false"/>
                <w:bCs w:val="false"/>
                <w:sz w:val="17"/>
                <w:szCs w:val="17"/>
              </w:rPr>
              <w:t xml:space="preserve">A: Random Forest (forecasting)</w:t>
            </w:r>
          </w:p>
        </w:tc>
        <w:tc>
          <w:tcPr>
            <w:tcW w:type="dxa" w:w="2000"/>
            <w:tcMar>
              <w:top w:type="dxa" w:w="60"/>
              <w:left w:type="dxa" w:w="90"/>
              <w:bottom w:type="dxa" w:w="60"/>
              <w:right w:type="dxa" w:w="90"/>
            </w:tcMar>
          </w:tcPr>
          <w:p>
            <w:pPr>
              <w:spacing w:after="0" w:line="240"/>
              <w:jc w:val="left"/>
            </w:pPr>
            <w:r>
              <w:rPr>
                <w:b w:val="false"/>
                <w:bCs w:val="false"/>
                <w:sz w:val="17"/>
                <w:szCs w:val="17"/>
              </w:rPr>
              <w:t xml:space="preserve">Weather + calendar + lags</w:t>
            </w:r>
          </w:p>
        </w:tc>
        <w:tc>
          <w:tcPr>
            <w:tcW w:type="dxa" w:w="1350"/>
            <w:tcMar>
              <w:top w:type="dxa" w:w="60"/>
              <w:left w:type="dxa" w:w="90"/>
              <w:bottom w:type="dxa" w:w="60"/>
              <w:right w:type="dxa" w:w="90"/>
            </w:tcMar>
          </w:tcPr>
          <w:p>
            <w:pPr>
              <w:spacing w:after="0" w:line="240"/>
              <w:jc w:val="right"/>
            </w:pPr>
            <w:r>
              <w:rPr>
                <w:b w:val="false"/>
                <w:bCs w:val="false"/>
                <w:sz w:val="17"/>
                <w:szCs w:val="17"/>
              </w:rPr>
              <w:t xml:space="preserve">355.4</w:t>
            </w:r>
          </w:p>
        </w:tc>
        <w:tc>
          <w:tcPr>
            <w:tcW w:type="dxa" w:w="1150"/>
            <w:tcMar>
              <w:top w:type="dxa" w:w="60"/>
              <w:left w:type="dxa" w:w="90"/>
              <w:bottom w:type="dxa" w:w="60"/>
              <w:right w:type="dxa" w:w="90"/>
            </w:tcMar>
          </w:tcPr>
          <w:p>
            <w:pPr>
              <w:spacing w:after="0" w:line="240"/>
              <w:jc w:val="right"/>
            </w:pPr>
            <w:r>
              <w:rPr>
                <w:b w:val="false"/>
                <w:bCs w:val="false"/>
                <w:sz w:val="17"/>
                <w:szCs w:val="17"/>
              </w:rPr>
              <w:t xml:space="preserve">0.9844</w:t>
            </w:r>
          </w:p>
        </w:tc>
        <w:tc>
          <w:tcPr>
            <w:tcW w:type="dxa" w:w="1776"/>
            <w:tcMar>
              <w:top w:type="dxa" w:w="60"/>
              <w:left w:type="dxa" w:w="90"/>
              <w:bottom w:type="dxa" w:w="60"/>
              <w:right w:type="dxa" w:w="90"/>
            </w:tcMar>
          </w:tcPr>
          <w:p>
            <w:pPr>
              <w:spacing w:after="0" w:line="240"/>
              <w:jc w:val="center"/>
            </w:pPr>
            <w:r>
              <w:rPr>
                <w:b w:val="false"/>
                <w:bCs w:val="false"/>
                <w:sz w:val="17"/>
                <w:szCs w:val="17"/>
              </w:rPr>
              <w:t xml:space="preserve">No</w:t>
            </w:r>
          </w:p>
        </w:tc>
      </w:tr>
      <w:tr>
        <w:tc>
          <w:tcPr>
            <w:tcW w:type="dxa" w:w="2750"/>
            <w:tcMar>
              <w:top w:type="dxa" w:w="60"/>
              <w:left w:type="dxa" w:w="90"/>
              <w:bottom w:type="dxa" w:w="60"/>
              <w:right w:type="dxa" w:w="90"/>
            </w:tcMar>
          </w:tcPr>
          <w:p>
            <w:pPr>
              <w:spacing w:after="0" w:line="240"/>
              <w:jc w:val="left"/>
            </w:pPr>
            <w:r>
              <w:rPr>
                <w:b w:val="false"/>
                <w:bCs w:val="false"/>
                <w:sz w:val="17"/>
                <w:szCs w:val="17"/>
              </w:rPr>
              <w:t xml:space="preserve">B1: Random Forest response</w:t>
            </w:r>
          </w:p>
        </w:tc>
        <w:tc>
          <w:tcPr>
            <w:tcW w:type="dxa" w:w="2000"/>
            <w:tcMar>
              <w:top w:type="dxa" w:w="60"/>
              <w:left w:type="dxa" w:w="90"/>
              <w:bottom w:type="dxa" w:w="60"/>
              <w:right w:type="dxa" w:w="90"/>
            </w:tcMar>
          </w:tcPr>
          <w:p>
            <w:pPr>
              <w:spacing w:after="0" w:line="240"/>
              <w:jc w:val="left"/>
            </w:pPr>
            <w:r>
              <w:rPr>
                <w:b w:val="false"/>
                <w:bCs w:val="false"/>
                <w:sz w:val="17"/>
                <w:szCs w:val="17"/>
              </w:rPr>
              <w:t xml:space="preserve">Weather + calendar</w:t>
            </w:r>
          </w:p>
        </w:tc>
        <w:tc>
          <w:tcPr>
            <w:tcW w:type="dxa" w:w="1350"/>
            <w:tcMar>
              <w:top w:type="dxa" w:w="60"/>
              <w:left w:type="dxa" w:w="90"/>
              <w:bottom w:type="dxa" w:w="60"/>
              <w:right w:type="dxa" w:w="90"/>
            </w:tcMar>
          </w:tcPr>
          <w:p>
            <w:pPr>
              <w:spacing w:after="0" w:line="240"/>
              <w:jc w:val="right"/>
            </w:pPr>
            <w:r>
              <w:rPr>
                <w:b w:val="false"/>
                <w:bCs w:val="false"/>
                <w:sz w:val="17"/>
                <w:szCs w:val="17"/>
              </w:rPr>
              <w:t xml:space="preserve">2,054.8</w:t>
            </w:r>
          </w:p>
        </w:tc>
        <w:tc>
          <w:tcPr>
            <w:tcW w:type="dxa" w:w="1150"/>
            <w:tcMar>
              <w:top w:type="dxa" w:w="60"/>
              <w:left w:type="dxa" w:w="90"/>
              <w:bottom w:type="dxa" w:w="60"/>
              <w:right w:type="dxa" w:w="90"/>
            </w:tcMar>
          </w:tcPr>
          <w:p>
            <w:pPr>
              <w:spacing w:after="0" w:line="240"/>
              <w:jc w:val="right"/>
            </w:pPr>
            <w:r>
              <w:rPr>
                <w:b w:val="false"/>
                <w:bCs w:val="false"/>
                <w:sz w:val="17"/>
                <w:szCs w:val="17"/>
              </w:rPr>
              <w:t xml:space="preserve">0.6233</w:t>
            </w:r>
          </w:p>
        </w:tc>
        <w:tc>
          <w:tcPr>
            <w:tcW w:type="dxa" w:w="1776"/>
            <w:tcMar>
              <w:top w:type="dxa" w:w="60"/>
              <w:left w:type="dxa" w:w="90"/>
              <w:bottom w:type="dxa" w:w="60"/>
              <w:right w:type="dxa" w:w="90"/>
            </w:tcMar>
          </w:tcPr>
          <w:p>
            <w:pPr>
              <w:spacing w:after="0" w:line="240"/>
              <w:jc w:val="center"/>
            </w:pPr>
            <w:r>
              <w:rPr>
                <w:b w:val="false"/>
                <w:bCs w:val="false"/>
                <w:sz w:val="17"/>
                <w:szCs w:val="17"/>
              </w:rPr>
              <w:t xml:space="preserve">Yes</w:t>
            </w:r>
          </w:p>
        </w:tc>
      </w:tr>
      <w:tr>
        <w:tc>
          <w:tcPr>
            <w:tcW w:type="dxa" w:w="2750"/>
            <w:tcMar>
              <w:top w:type="dxa" w:w="60"/>
              <w:left w:type="dxa" w:w="90"/>
              <w:bottom w:type="dxa" w:w="60"/>
              <w:right w:type="dxa" w:w="90"/>
            </w:tcMar>
          </w:tcPr>
          <w:p>
            <w:pPr>
              <w:spacing w:after="0" w:line="240"/>
              <w:jc w:val="left"/>
            </w:pPr>
            <w:r>
              <w:rPr>
                <w:b w:val="false"/>
                <w:bCs w:val="false"/>
                <w:sz w:val="17"/>
                <w:szCs w:val="17"/>
              </w:rPr>
              <w:t xml:space="preserve">B2: Linear, single HDD/CDD slope</w:t>
            </w:r>
          </w:p>
        </w:tc>
        <w:tc>
          <w:tcPr>
            <w:tcW w:type="dxa" w:w="2000"/>
            <w:tcMar>
              <w:top w:type="dxa" w:w="60"/>
              <w:left w:type="dxa" w:w="90"/>
              <w:bottom w:type="dxa" w:w="60"/>
              <w:right w:type="dxa" w:w="90"/>
            </w:tcMar>
          </w:tcPr>
          <w:p>
            <w:pPr>
              <w:spacing w:after="0" w:line="240"/>
              <w:jc w:val="left"/>
            </w:pPr>
            <w:r>
              <w:rPr>
                <w:b w:val="false"/>
                <w:bCs w:val="false"/>
                <w:sz w:val="17"/>
                <w:szCs w:val="17"/>
              </w:rPr>
              <w:t xml:space="preserve">Weather + calendar</w:t>
            </w:r>
          </w:p>
        </w:tc>
        <w:tc>
          <w:tcPr>
            <w:tcW w:type="dxa" w:w="1350"/>
            <w:tcMar>
              <w:top w:type="dxa" w:w="60"/>
              <w:left w:type="dxa" w:w="90"/>
              <w:bottom w:type="dxa" w:w="60"/>
              <w:right w:type="dxa" w:w="90"/>
            </w:tcMar>
          </w:tcPr>
          <w:p>
            <w:pPr>
              <w:spacing w:after="0" w:line="240"/>
              <w:jc w:val="right"/>
            </w:pPr>
            <w:r>
              <w:rPr>
                <w:b w:val="false"/>
                <w:bCs w:val="false"/>
                <w:sz w:val="17"/>
                <w:szCs w:val="17"/>
              </w:rPr>
              <w:t xml:space="preserve">2,134.4</w:t>
            </w:r>
          </w:p>
        </w:tc>
        <w:tc>
          <w:tcPr>
            <w:tcW w:type="dxa" w:w="1150"/>
            <w:tcMar>
              <w:top w:type="dxa" w:w="60"/>
              <w:left w:type="dxa" w:w="90"/>
              <w:bottom w:type="dxa" w:w="60"/>
              <w:right w:type="dxa" w:w="90"/>
            </w:tcMar>
          </w:tcPr>
          <w:p>
            <w:pPr>
              <w:spacing w:after="0" w:line="240"/>
              <w:jc w:val="right"/>
            </w:pPr>
            <w:r>
              <w:rPr>
                <w:b w:val="false"/>
                <w:bCs w:val="false"/>
                <w:sz w:val="17"/>
                <w:szCs w:val="17"/>
              </w:rPr>
              <w:t xml:space="preserve">0.6269</w:t>
            </w:r>
          </w:p>
        </w:tc>
        <w:tc>
          <w:tcPr>
            <w:tcW w:type="dxa" w:w="1776"/>
            <w:tcMar>
              <w:top w:type="dxa" w:w="60"/>
              <w:left w:type="dxa" w:w="90"/>
              <w:bottom w:type="dxa" w:w="60"/>
              <w:right w:type="dxa" w:w="90"/>
            </w:tcMar>
          </w:tcPr>
          <w:p>
            <w:pPr>
              <w:spacing w:after="0" w:line="240"/>
              <w:jc w:val="center"/>
            </w:pPr>
            <w:r>
              <w:rPr>
                <w:b w:val="false"/>
                <w:bCs w:val="false"/>
                <w:sz w:val="17"/>
                <w:szCs w:val="17"/>
              </w:rPr>
              <w:t xml:space="preserve">Yes</w:t>
            </w:r>
          </w:p>
        </w:tc>
      </w:tr>
      <w:tr>
        <w:tc>
          <w:tcPr>
            <w:tcW w:type="dxa" w:w="2750"/>
            <w:tcMar>
              <w:top w:type="dxa" w:w="60"/>
              <w:left w:type="dxa" w:w="90"/>
              <w:bottom w:type="dxa" w:w="60"/>
              <w:right w:type="dxa" w:w="90"/>
            </w:tcMar>
          </w:tcPr>
          <w:p>
            <w:pPr>
              <w:spacing w:after="0" w:line="240"/>
              <w:jc w:val="left"/>
            </w:pPr>
            <w:r>
              <w:rPr>
                <w:b w:val="false"/>
                <w:bCs w:val="false"/>
                <w:sz w:val="17"/>
                <w:szCs w:val="17"/>
              </w:rPr>
              <w:t xml:space="preserve">B3: Linear, piecewise bands</w:t>
            </w:r>
          </w:p>
        </w:tc>
        <w:tc>
          <w:tcPr>
            <w:tcW w:type="dxa" w:w="2000"/>
            <w:tcMar>
              <w:top w:type="dxa" w:w="60"/>
              <w:left w:type="dxa" w:w="90"/>
              <w:bottom w:type="dxa" w:w="60"/>
              <w:right w:type="dxa" w:w="90"/>
            </w:tcMar>
          </w:tcPr>
          <w:p>
            <w:pPr>
              <w:spacing w:after="0" w:line="240"/>
              <w:jc w:val="left"/>
            </w:pPr>
            <w:r>
              <w:rPr>
                <w:b w:val="false"/>
                <w:bCs w:val="false"/>
                <w:sz w:val="17"/>
                <w:szCs w:val="17"/>
              </w:rPr>
              <w:t xml:space="preserve">Weather + calendar</w:t>
            </w:r>
          </w:p>
        </w:tc>
        <w:tc>
          <w:tcPr>
            <w:tcW w:type="dxa" w:w="1350"/>
            <w:tcMar>
              <w:top w:type="dxa" w:w="60"/>
              <w:left w:type="dxa" w:w="90"/>
              <w:bottom w:type="dxa" w:w="60"/>
              <w:right w:type="dxa" w:w="90"/>
            </w:tcMar>
          </w:tcPr>
          <w:p>
            <w:pPr>
              <w:spacing w:after="0" w:line="240"/>
              <w:jc w:val="right"/>
            </w:pPr>
            <w:r>
              <w:rPr>
                <w:b w:val="false"/>
                <w:bCs w:val="false"/>
                <w:sz w:val="17"/>
                <w:szCs w:val="17"/>
              </w:rPr>
              <w:t xml:space="preserve">2,127.3</w:t>
            </w:r>
          </w:p>
        </w:tc>
        <w:tc>
          <w:tcPr>
            <w:tcW w:type="dxa" w:w="1150"/>
            <w:tcMar>
              <w:top w:type="dxa" w:w="60"/>
              <w:left w:type="dxa" w:w="90"/>
              <w:bottom w:type="dxa" w:w="60"/>
              <w:right w:type="dxa" w:w="90"/>
            </w:tcMar>
          </w:tcPr>
          <w:p>
            <w:pPr>
              <w:spacing w:after="0" w:line="240"/>
              <w:jc w:val="right"/>
            </w:pPr>
            <w:r>
              <w:rPr>
                <w:b w:val="false"/>
                <w:bCs w:val="false"/>
                <w:sz w:val="17"/>
                <w:szCs w:val="17"/>
              </w:rPr>
              <w:t xml:space="preserve">0.6284</w:t>
            </w:r>
          </w:p>
        </w:tc>
        <w:tc>
          <w:tcPr>
            <w:tcW w:type="dxa" w:w="1776"/>
            <w:tcMar>
              <w:top w:type="dxa" w:w="60"/>
              <w:left w:type="dxa" w:w="90"/>
              <w:bottom w:type="dxa" w:w="60"/>
              <w:right w:type="dxa" w:w="90"/>
            </w:tcMar>
          </w:tcPr>
          <w:p>
            <w:pPr>
              <w:spacing w:after="0" w:line="240"/>
              <w:jc w:val="center"/>
            </w:pPr>
            <w:r>
              <w:rPr>
                <w:b w:val="false"/>
                <w:bCs w:val="false"/>
                <w:sz w:val="17"/>
                <w:szCs w:val="17"/>
              </w:rPr>
              <w:t xml:space="preserve">Yes</w:t>
            </w:r>
          </w:p>
        </w:tc>
      </w:tr>
      <w:tr>
        <w:tc>
          <w:tcPr>
            <w:tcW w:type="dxa" w:w="2750"/>
            <w:shd w:fill="F2F2F2" w:color="auto" w:val="clear"/>
            <w:tcMar>
              <w:top w:type="dxa" w:w="60"/>
              <w:left w:type="dxa" w:w="90"/>
              <w:bottom w:type="dxa" w:w="60"/>
              <w:right w:type="dxa" w:w="90"/>
            </w:tcMar>
          </w:tcPr>
          <w:p>
            <w:pPr>
              <w:spacing w:after="0" w:line="240"/>
              <w:jc w:val="left"/>
            </w:pPr>
            <w:r>
              <w:rPr>
                <w:b/>
                <w:bCs/>
                <w:sz w:val="17"/>
                <w:szCs w:val="17"/>
              </w:rPr>
              <w:t xml:space="preserve">B4: Linear + time-of-day interactions</w:t>
            </w:r>
          </w:p>
        </w:tc>
        <w:tc>
          <w:tcPr>
            <w:tcW w:type="dxa" w:w="2000"/>
            <w:shd w:fill="F2F2F2" w:color="auto" w:val="clear"/>
            <w:tcMar>
              <w:top w:type="dxa" w:w="60"/>
              <w:left w:type="dxa" w:w="90"/>
              <w:bottom w:type="dxa" w:w="60"/>
              <w:right w:type="dxa" w:w="90"/>
            </w:tcMar>
          </w:tcPr>
          <w:p>
            <w:pPr>
              <w:spacing w:after="0" w:line="240"/>
              <w:jc w:val="left"/>
            </w:pPr>
            <w:r>
              <w:rPr>
                <w:b/>
                <w:bCs/>
                <w:sz w:val="17"/>
                <w:szCs w:val="17"/>
              </w:rPr>
              <w:t xml:space="preserve">Weather + calendar</w:t>
            </w:r>
          </w:p>
        </w:tc>
        <w:tc>
          <w:tcPr>
            <w:tcW w:type="dxa" w:w="1350"/>
            <w:shd w:fill="F2F2F2" w:color="auto" w:val="clear"/>
            <w:tcMar>
              <w:top w:type="dxa" w:w="60"/>
              <w:left w:type="dxa" w:w="90"/>
              <w:bottom w:type="dxa" w:w="60"/>
              <w:right w:type="dxa" w:w="90"/>
            </w:tcMar>
          </w:tcPr>
          <w:p>
            <w:pPr>
              <w:spacing w:after="0" w:line="240"/>
              <w:jc w:val="right"/>
            </w:pPr>
            <w:r>
              <w:rPr>
                <w:b/>
                <w:bCs/>
                <w:sz w:val="17"/>
                <w:szCs w:val="17"/>
              </w:rPr>
              <w:t xml:space="preserve">2,096.9</w:t>
            </w:r>
          </w:p>
        </w:tc>
        <w:tc>
          <w:tcPr>
            <w:tcW w:type="dxa" w:w="1150"/>
            <w:shd w:fill="F2F2F2" w:color="auto" w:val="clear"/>
            <w:tcMar>
              <w:top w:type="dxa" w:w="60"/>
              <w:left w:type="dxa" w:w="90"/>
              <w:bottom w:type="dxa" w:w="60"/>
              <w:right w:type="dxa" w:w="90"/>
            </w:tcMar>
          </w:tcPr>
          <w:p>
            <w:pPr>
              <w:spacing w:after="0" w:line="240"/>
              <w:jc w:val="right"/>
            </w:pPr>
            <w:r>
              <w:rPr>
                <w:b/>
                <w:bCs/>
                <w:sz w:val="17"/>
                <w:szCs w:val="17"/>
              </w:rPr>
              <w:t xml:space="preserve">0.6351</w:t>
            </w:r>
          </w:p>
        </w:tc>
        <w:tc>
          <w:tcPr>
            <w:tcW w:type="dxa" w:w="1776"/>
            <w:shd w:fill="F2F2F2" w:color="auto" w:val="clear"/>
            <w:tcMar>
              <w:top w:type="dxa" w:w="60"/>
              <w:left w:type="dxa" w:w="90"/>
              <w:bottom w:type="dxa" w:w="60"/>
              <w:right w:type="dxa" w:w="90"/>
            </w:tcMar>
          </w:tcPr>
          <w:p>
            <w:pPr>
              <w:spacing w:after="0" w:line="240"/>
              <w:jc w:val="center"/>
            </w:pPr>
            <w:r>
              <w:rPr>
                <w:b/>
                <w:bCs/>
                <w:sz w:val="17"/>
                <w:szCs w:val="17"/>
              </w:rPr>
              <w:t xml:space="preserve">Yes</w:t>
            </w:r>
          </w:p>
        </w:tc>
      </w:tr>
    </w:tbl>
    <w:p>
      <w:pPr>
        <w:spacing w:after="200"/>
      </w:pPr>
    </w:p>
    <w:p>
      <w:pPr>
        <w:spacing w:after="140" w:line="276"/>
        <w:jc w:val="both"/>
      </w:pPr>
      <w:r>
        <w:t xml:space="preserve">The gap between R² = 0.98 and R² = 0.63 is the value of knowing recent demand, and it is substantial. What remains — 63% of variance explained by weather and calendar alone — is nonetheless a meaningful signal, and it is the only signal that can be legitimately intervened upon.</w:t>
      </w:r>
    </w:p>
    <w:p>
      <w:pPr>
        <w:spacing w:after="140" w:line="276"/>
        <w:jc w:val="both"/>
      </w:pPr>
      <w:r>
        <w:t xml:space="preserve">Specification B4 was selected as primary on four grounds:</w:t>
      </w:r>
    </w:p>
    <w:p>
      <w:pPr>
        <w:pStyle w:val="ListParagraph"/>
        <w:numPr>
          <w:ilvl w:val="0"/>
          <w:numId w:val="6"/>
        </w:numPr>
        <w:spacing w:after="110" w:line="276"/>
        <w:jc w:val="both"/>
      </w:pPr>
      <w:r>
        <w:t xml:space="preserve">Best test R² (0.6351) and lowest MAE among the valid models.</w:t>
      </w:r>
    </w:p>
    <w:p>
      <w:pPr>
        <w:pStyle w:val="ListParagraph"/>
        <w:numPr>
          <w:ilvl w:val="0"/>
          <w:numId w:val="6"/>
        </w:numPr>
        <w:spacing w:after="110" w:line="276"/>
        <w:jc w:val="both"/>
      </w:pPr>
      <w:r>
        <w:t xml:space="preserve">Interpretability: its coefficients are directly readable as MW per °C by time of day.</w:t>
      </w:r>
    </w:p>
    <w:p>
      <w:pPr>
        <w:pStyle w:val="ListParagraph"/>
        <w:numPr>
          <w:ilvl w:val="0"/>
          <w:numId w:val="6"/>
        </w:numPr>
        <w:spacing w:after="110" w:line="276"/>
        <w:jc w:val="both"/>
      </w:pPr>
      <w:r>
        <w:rPr>
          <w:b/>
          <w:bCs/>
        </w:rPr>
        <w:t xml:space="preserve">Extrapolation capability.</w:t>
      </w:r>
      <w:r>
        <w:t xml:space="preserve"> A Random Forest predicts by averaging training observations and therefore </w:t>
      </w:r>
      <w:r>
        <w:rPr>
          <w:i/>
          <w:iCs/>
        </w:rPr>
        <w:t xml:space="preserve">cannot</w:t>
      </w:r>
      <w:r>
        <w:t xml:space="preserve"> extrapolate: for any temperature above the training maximum it returns the value it learned at the maximum. A linear model can. Under +3 °C, 0.51% of test hours (45 hours) exceed the training maximum of 36.8 °C, and for those hours the forest systematically understates the effect.</w:t>
      </w:r>
    </w:p>
    <w:p>
      <w:pPr>
        <w:pStyle w:val="ListParagraph"/>
        <w:numPr>
          <w:ilvl w:val="0"/>
          <w:numId w:val="6"/>
        </w:numPr>
        <w:spacing w:after="110" w:line="276"/>
        <w:jc w:val="both"/>
      </w:pPr>
      <w:r>
        <w:rPr>
          <w:b/>
          <w:bCs/>
        </w:rPr>
        <w:t xml:space="preserve">Mechanism.</w:t>
      </w:r>
      <w:r>
        <w:t xml:space="preserve"> Heating and cooling sensitivity plausibly depend on building occupancy, which varies by time of day — so the interaction encodes a defensible physical hypothesis rather than an arbitrary flexibility.</w:t>
      </w:r>
    </w:p>
    <w:p>
      <w:pPr>
        <w:spacing w:after="140" w:line="276"/>
        <w:jc w:val="both"/>
      </w:pPr>
      <w:r>
        <w:t xml:space="preserve">Permutation importance on the test set (Figure 10) ranks </w:t>
      </w:r>
      <w:r>
        <w:rPr>
          <w:rFonts w:ascii="Consolas" w:cs="Consolas" w:eastAsia="Consolas" w:hAnsi="Consolas"/>
          <w:sz w:val="19"/>
          <w:szCs w:val="19"/>
        </w:rPr>
        <w:t xml:space="preserve">hour</w:t>
      </w:r>
      <w:r>
        <w:t xml:space="preserve"> far above everything else (a 2,388 MW increase in MAE when shuffled), followed by </w:t>
      </w:r>
      <w:r>
        <w:rPr>
          <w:rFonts w:ascii="Consolas" w:cs="Consolas" w:eastAsia="Consolas" w:hAnsi="Consolas"/>
          <w:sz w:val="19"/>
          <w:szCs w:val="19"/>
        </w:rPr>
        <w:t xml:space="preserve">day_of_week</w:t>
      </w:r>
      <w:r>
        <w:t xml:space="preserve"> (280 MW), </w:t>
      </w:r>
      <w:r>
        <w:rPr>
          <w:rFonts w:ascii="Consolas" w:cs="Consolas" w:eastAsia="Consolas" w:hAnsi="Consolas"/>
          <w:sz w:val="19"/>
          <w:szCs w:val="19"/>
        </w:rPr>
        <w:t xml:space="preserve">is_weekend</w:t>
      </w:r>
      <w:r>
        <w:t xml:space="preserve"> (163 MW), </w:t>
      </w:r>
      <w:r>
        <w:rPr>
          <w:rFonts w:ascii="Consolas" w:cs="Consolas" w:eastAsia="Consolas" w:hAnsi="Consolas"/>
          <w:sz w:val="19"/>
          <w:szCs w:val="19"/>
        </w:rPr>
        <w:t xml:space="preserve">temp</w:t>
      </w:r>
      <w:r>
        <w:t xml:space="preserve"> (81 MW), </w:t>
      </w:r>
      <w:r>
        <w:rPr>
          <w:rFonts w:ascii="Consolas" w:cs="Consolas" w:eastAsia="Consolas" w:hAnsi="Consolas"/>
          <w:sz w:val="19"/>
          <w:szCs w:val="19"/>
        </w:rPr>
        <w:t xml:space="preserve">hdd</w:t>
      </w:r>
      <w:r>
        <w:t xml:space="preserve"> (51 MW), </w:t>
      </w:r>
      <w:r>
        <w:rPr>
          <w:rFonts w:ascii="Consolas" w:cs="Consolas" w:eastAsia="Consolas" w:hAnsi="Consolas"/>
          <w:sz w:val="19"/>
          <w:szCs w:val="19"/>
        </w:rPr>
        <w:t xml:space="preserve">month</w:t>
      </w:r>
      <w:r>
        <w:t xml:space="preserve"> (48 MW) and </w:t>
      </w:r>
      <w:r>
        <w:rPr>
          <w:rFonts w:ascii="Consolas" w:cs="Consolas" w:eastAsia="Consolas" w:hAnsi="Consolas"/>
          <w:sz w:val="19"/>
          <w:szCs w:val="19"/>
        </w:rPr>
        <w:t xml:space="preserve">cdd</w:t>
      </w:r>
      <w:r>
        <w:t xml:space="preserve"> (41 MW). Permutation importance is preferred here over built-in tree importance because it is measured on held-out data and is not biased toward high-cardinality features.</w:t>
      </w:r>
    </w:p>
    <w:p>
      <w:pPr>
        <w:spacing w:after="60" w:before="160"/>
        <w:jc w:val="center"/>
      </w:pPr>
      <w:r>
        <w:drawing>
          <wp:inline distT="0" distB="0" distL="0" distR="0">
            <wp:extent cx="4572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552825"/>
                    </a:xfrm>
                    <a:prstGeom prst="rect">
                      <a:avLst/>
                    </a:prstGeom>
                  </pic:spPr>
                </pic:pic>
              </a:graphicData>
            </a:graphic>
          </wp:inline>
        </w:drawing>
      </w:r>
    </w:p>
    <w:p>
      <w:pPr>
        <w:spacing w:after="220" w:before="80"/>
        <w:jc w:val="center"/>
      </w:pPr>
      <w:r>
        <w:rPr>
          <w:b/>
          <w:bCs/>
          <w:i w:val="false"/>
          <w:iCs w:val="false"/>
          <w:sz w:val="18"/>
          <w:szCs w:val="18"/>
        </w:rPr>
        <w:t xml:space="preserve">Figure 10.</w:t>
      </w:r>
      <w:r>
        <w:rPr>
          <w:i w:val="false"/>
          <w:iCs w:val="false"/>
          <w:sz w:val="18"/>
          <w:szCs w:val="18"/>
        </w:rPr>
        <w:t xml:space="preserve"> Permutation importance for the Random Forest response model, measured on the test set as the increase in MAE when each feature is shuffled.</w:t>
      </w:r>
    </w:p>
    <w:p>
      <w:pPr>
        <w:pStyle w:val="Heading2"/>
        <w:spacing w:after="140" w:before="280"/>
      </w:pPr>
      <w:r>
        <w:t xml:space="preserve">3.7 The temperature response function</w:t>
      </w:r>
    </w:p>
    <w:p>
      <w:pPr>
        <w:spacing w:after="140" w:line="276"/>
        <w:jc w:val="both"/>
      </w:pPr>
      <w:r>
        <w:t xml:space="preserve">Holding all calendar and non-temperature weather features at their observed values and sweeping temperature across its observed range recovers the partial dependence of demand on temperature (Figure 11). The curve is clearly U-shaped and is minimised at </w:t>
      </w:r>
      <w:r>
        <w:rPr>
          <w:b/>
          <w:bCs/>
        </w:rPr>
        <w:t xml:space="preserve">19.0 °C</w:t>
      </w:r>
      <w:r>
        <w:t xml:space="preserve"> — close to, and independently supportive of, the 18 °C balance point assumed in the degree-day construction.</w:t>
      </w:r>
    </w:p>
    <w:p>
      <w:pPr>
        <w:spacing w:after="140" w:line="276"/>
        <w:jc w:val="both"/>
      </w:pPr>
      <w:r>
        <w:t xml:space="preserve">Mean predicted demand at the coldest observed temperature (−4 °C) is 29,043 MW; at the minimum, 27,799 MW; and at the hottest (37 °C), 30,000 MW. The cooling arm therefore rises further above the minimum (2,201 MW) than the heating arm does (1,244 MW), i.e. the response is asymmetric in favour of cooling. The seasonal panel shows the same minimum located consistently near 18–20 °C in every season, with the summer curve rising most steeply at high temperatures.</w:t>
      </w:r>
    </w:p>
    <w:p>
      <w:pPr>
        <w:spacing w:after="60" w:before="160"/>
        <w:jc w:val="center"/>
      </w:pPr>
      <w:r>
        <w:drawing>
          <wp:inline distT="0" distB="0" distL="0" distR="0">
            <wp:extent cx="5715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076450"/>
                    </a:xfrm>
                    <a:prstGeom prst="rect">
                      <a:avLst/>
                    </a:prstGeom>
                  </pic:spPr>
                </pic:pic>
              </a:graphicData>
            </a:graphic>
          </wp:inline>
        </w:drawing>
      </w:r>
    </w:p>
    <w:p>
      <w:pPr>
        <w:spacing w:after="220" w:before="80"/>
        <w:jc w:val="center"/>
      </w:pPr>
      <w:r>
        <w:rPr>
          <w:b/>
          <w:bCs/>
          <w:i w:val="false"/>
          <w:iCs w:val="false"/>
          <w:sz w:val="18"/>
          <w:szCs w:val="18"/>
        </w:rPr>
        <w:t xml:space="preserve">Figure 11.</w:t>
      </w:r>
      <w:r>
        <w:rPr>
          <w:i w:val="false"/>
          <w:iCs w:val="false"/>
          <w:sz w:val="18"/>
          <w:szCs w:val="18"/>
        </w:rPr>
        <w:t xml:space="preserve"> Temperature response curve from the response model: overall (left) and by season within each season's own observed range (right).</w:t>
      </w:r>
    </w:p>
    <w:p>
      <w:pPr>
        <w:spacing w:after="140" w:line="276"/>
        <w:jc w:val="both"/>
      </w:pPr>
      <w:r>
        <w:t xml:space="preserve">The linear single-slope specification quantifies the two arms directly:</w:t>
      </w:r>
    </w:p>
    <w:tbl>
      <w:tblPr>
        <w:tblW w:type="dxa" w:w="9026"/>
        <w:tblBorders>
          <w:top w:val="single" w:color="000000" w:sz="8"/>
          <w:left w:val="none" w:color="FFFFFF" w:sz="0"/>
          <w:bottom w:val="single" w:color="000000" w:sz="8"/>
          <w:right w:val="none" w:color="FFFFFF" w:sz="0"/>
          <w:insideH w:val="single" w:color="BBBBBB" w:sz="2"/>
          <w:insideV w:val="none" w:color="FFFFFF" w:sz="0"/>
        </w:tblBorders>
      </w:tblPr>
      <w:tblGrid>
        <w:gridCol w:w="5400"/>
        <w:gridCol w:w="3626"/>
      </w:tblGrid>
      <w:tr>
        <w:trPr>
          <w:tblHeader/>
        </w:trPr>
        <w:tc>
          <w:tcPr>
            <w:tcW w:type="dxa" w:w="5400"/>
            <w:shd w:fill="E8E8E8" w:color="auto" w:val="clear"/>
            <w:tcMar>
              <w:top w:type="dxa" w:w="60"/>
              <w:left w:type="dxa" w:w="90"/>
              <w:bottom w:type="dxa" w:w="60"/>
              <w:right w:type="dxa" w:w="90"/>
            </w:tcMar>
          </w:tcPr>
          <w:p>
            <w:pPr>
              <w:spacing w:after="0" w:line="240"/>
              <w:jc w:val="left"/>
            </w:pPr>
            <w:r>
              <w:rPr>
                <w:b/>
                <w:bCs/>
                <w:sz w:val="18"/>
                <w:szCs w:val="18"/>
              </w:rPr>
              <w:t xml:space="preserve">Response arm</w:t>
            </w:r>
          </w:p>
        </w:tc>
        <w:tc>
          <w:tcPr>
            <w:tcW w:type="dxa" w:w="3626"/>
            <w:shd w:fill="E8E8E8" w:color="auto" w:val="clear"/>
            <w:tcMar>
              <w:top w:type="dxa" w:w="60"/>
              <w:left w:type="dxa" w:w="90"/>
              <w:bottom w:type="dxa" w:w="60"/>
              <w:right w:type="dxa" w:w="90"/>
            </w:tcMar>
          </w:tcPr>
          <w:p>
            <w:pPr>
              <w:spacing w:after="0" w:line="240"/>
              <w:jc w:val="right"/>
            </w:pPr>
            <w:r>
              <w:rPr>
                <w:b/>
                <w:bCs/>
                <w:sz w:val="18"/>
                <w:szCs w:val="18"/>
              </w:rPr>
              <w:t xml:space="preserve">Sensitivity</w:t>
            </w:r>
          </w:p>
        </w:tc>
      </w:tr>
      <w:tr>
        <w:tc>
          <w:tcPr>
            <w:tcW w:type="dxa" w:w="5400"/>
            <w:tcMar>
              <w:top w:type="dxa" w:w="60"/>
              <w:left w:type="dxa" w:w="90"/>
              <w:bottom w:type="dxa" w:w="60"/>
              <w:right w:type="dxa" w:w="90"/>
            </w:tcMar>
          </w:tcPr>
          <w:p>
            <w:pPr>
              <w:spacing w:after="0" w:line="240"/>
              <w:jc w:val="left"/>
            </w:pPr>
            <w:r>
              <w:rPr>
                <w:b w:val="false"/>
                <w:bCs w:val="false"/>
                <w:sz w:val="18"/>
                <w:szCs w:val="18"/>
              </w:rPr>
              <w:t xml:space="preserve">Cooling response (above 18 °C)</w:t>
            </w:r>
          </w:p>
        </w:tc>
        <w:tc>
          <w:tcPr>
            <w:tcW w:type="dxa" w:w="3626"/>
            <w:tcMar>
              <w:top w:type="dxa" w:w="60"/>
              <w:left w:type="dxa" w:w="90"/>
              <w:bottom w:type="dxa" w:w="60"/>
              <w:right w:type="dxa" w:w="90"/>
            </w:tcMar>
          </w:tcPr>
          <w:p>
            <w:pPr>
              <w:spacing w:after="0" w:line="240"/>
              <w:jc w:val="right"/>
            </w:pPr>
            <w:r>
              <w:rPr>
                <w:b w:val="false"/>
                <w:bCs w:val="false"/>
                <w:sz w:val="18"/>
                <w:szCs w:val="18"/>
              </w:rPr>
              <w:t xml:space="preserve">+104.6 MW per °C</w:t>
            </w:r>
          </w:p>
        </w:tc>
      </w:tr>
      <w:tr>
        <w:tc>
          <w:tcPr>
            <w:tcW w:type="dxa" w:w="5400"/>
            <w:tcMar>
              <w:top w:type="dxa" w:w="60"/>
              <w:left w:type="dxa" w:w="90"/>
              <w:bottom w:type="dxa" w:w="60"/>
              <w:right w:type="dxa" w:w="90"/>
            </w:tcMar>
          </w:tcPr>
          <w:p>
            <w:pPr>
              <w:spacing w:after="0" w:line="240"/>
              <w:jc w:val="left"/>
            </w:pPr>
            <w:r>
              <w:rPr>
                <w:b w:val="false"/>
                <w:bCs w:val="false"/>
                <w:sz w:val="18"/>
                <w:szCs w:val="18"/>
              </w:rPr>
              <w:t xml:space="preserve">Heating response (below 18 °C)</w:t>
            </w:r>
          </w:p>
        </w:tc>
        <w:tc>
          <w:tcPr>
            <w:tcW w:type="dxa" w:w="3626"/>
            <w:tcMar>
              <w:top w:type="dxa" w:w="60"/>
              <w:left w:type="dxa" w:w="90"/>
              <w:bottom w:type="dxa" w:w="60"/>
              <w:right w:type="dxa" w:w="90"/>
            </w:tcMar>
          </w:tcPr>
          <w:p>
            <w:pPr>
              <w:spacing w:after="0" w:line="240"/>
              <w:jc w:val="right"/>
            </w:pPr>
            <w:r>
              <w:rPr>
                <w:b w:val="false"/>
                <w:bCs w:val="false"/>
                <w:sz w:val="18"/>
                <w:szCs w:val="18"/>
              </w:rPr>
              <w:t xml:space="preserve">+78.7 MW per °C</w:t>
            </w:r>
          </w:p>
        </w:tc>
      </w:tr>
    </w:tbl>
    <w:p>
      <w:pPr>
        <w:spacing w:after="180"/>
      </w:pPr>
    </w:p>
    <w:p>
      <w:pPr>
        <w:spacing w:after="140" w:line="276"/>
        <w:jc w:val="both"/>
      </w:pPr>
      <w:r>
        <w:t xml:space="preserve">The cooling response is roughly a third larger than the heating response, consistent with cooling in Spain being almost entirely electric while heating is substantially met by gas and other fuels.</w:t>
      </w:r>
    </w:p>
    <w:p>
      <w:pPr>
        <w:pStyle w:val="Heading2"/>
        <w:spacing w:after="140" w:before="280"/>
      </w:pPr>
      <w:r>
        <w:t xml:space="preserve">3.8 Non-linearity: the cooling response steepens</w:t>
      </w:r>
    </w:p>
    <w:p>
      <w:pPr>
        <w:spacing w:after="140" w:line="276"/>
        <w:jc w:val="both"/>
      </w:pPr>
      <w:r>
        <w:t xml:space="preserve">The piecewise band model tests whether a single cooling slope is adequate. It is not. Table 6 gives the fitted MW per °C within each band.</w:t>
      </w:r>
    </w:p>
    <w:p>
      <w:pPr>
        <w:spacing w:after="90" w:before="200"/>
        <w:jc w:val="left"/>
      </w:pPr>
      <w:r>
        <w:rPr>
          <w:b/>
          <w:bCs/>
          <w:sz w:val="18"/>
          <w:szCs w:val="18"/>
        </w:rPr>
        <w:t xml:space="preserve">Table 6.</w:t>
      </w:r>
      <w:r>
        <w:rPr>
          <w:sz w:val="18"/>
          <w:szCs w:val="18"/>
        </w:rPr>
        <w:t xml:space="preserve"> Piecewise degree-band coefficients (MW per °C within band).</w:t>
      </w:r>
    </w:p>
    <w:tbl>
      <w:tblPr>
        <w:tblW w:type="dxa" w:w="9026"/>
        <w:tblBorders>
          <w:top w:val="single" w:color="000000" w:sz="8"/>
          <w:left w:val="none" w:color="FFFFFF" w:sz="0"/>
          <w:bottom w:val="single" w:color="000000" w:sz="8"/>
          <w:right w:val="none" w:color="FFFFFF" w:sz="0"/>
          <w:insideH w:val="single" w:color="BBBBBB" w:sz="2"/>
          <w:insideV w:val="none" w:color="FFFFFF" w:sz="0"/>
        </w:tblBorders>
      </w:tblPr>
      <w:tblGrid>
        <w:gridCol w:w="2400"/>
        <w:gridCol w:w="1900"/>
        <w:gridCol w:w="2400"/>
        <w:gridCol w:w="2326"/>
      </w:tblGrid>
      <w:tr>
        <w:trPr>
          <w:tblHeader/>
        </w:trPr>
        <w:tc>
          <w:tcPr>
            <w:tcW w:type="dxa" w:w="2400"/>
            <w:shd w:fill="E8E8E8" w:color="auto" w:val="clear"/>
            <w:tcMar>
              <w:top w:type="dxa" w:w="60"/>
              <w:left w:type="dxa" w:w="90"/>
              <w:bottom w:type="dxa" w:w="60"/>
              <w:right w:type="dxa" w:w="90"/>
            </w:tcMar>
          </w:tcPr>
          <w:p>
            <w:pPr>
              <w:spacing w:after="0" w:line="240"/>
              <w:jc w:val="left"/>
            </w:pPr>
            <w:r>
              <w:rPr>
                <w:b/>
                <w:bCs/>
                <w:sz w:val="18"/>
                <w:szCs w:val="18"/>
              </w:rPr>
              <w:t xml:space="preserve">Cooling band</w:t>
            </w:r>
          </w:p>
        </w:tc>
        <w:tc>
          <w:tcPr>
            <w:tcW w:type="dxa" w:w="1900"/>
            <w:shd w:fill="E8E8E8" w:color="auto" w:val="clear"/>
            <w:tcMar>
              <w:top w:type="dxa" w:w="60"/>
              <w:left w:type="dxa" w:w="90"/>
              <w:bottom w:type="dxa" w:w="60"/>
              <w:right w:type="dxa" w:w="90"/>
            </w:tcMar>
          </w:tcPr>
          <w:p>
            <w:pPr>
              <w:spacing w:after="0" w:line="240"/>
              <w:jc w:val="right"/>
            </w:pPr>
            <w:r>
              <w:rPr>
                <w:b/>
                <w:bCs/>
                <w:sz w:val="18"/>
                <w:szCs w:val="18"/>
              </w:rPr>
              <w:t xml:space="preserve">MW/°C</w:t>
            </w:r>
          </w:p>
        </w:tc>
        <w:tc>
          <w:tcPr>
            <w:tcW w:type="dxa" w:w="2400"/>
            <w:shd w:fill="E8E8E8" w:color="auto" w:val="clear"/>
            <w:tcMar>
              <w:top w:type="dxa" w:w="60"/>
              <w:left w:type="dxa" w:w="90"/>
              <w:bottom w:type="dxa" w:w="60"/>
              <w:right w:type="dxa" w:w="90"/>
            </w:tcMar>
          </w:tcPr>
          <w:p>
            <w:pPr>
              <w:spacing w:after="0" w:line="240"/>
              <w:jc w:val="left"/>
            </w:pPr>
            <w:r>
              <w:rPr>
                <w:b/>
                <w:bCs/>
                <w:sz w:val="18"/>
                <w:szCs w:val="18"/>
              </w:rPr>
              <w:t xml:space="preserve">Heating band</w:t>
            </w:r>
          </w:p>
        </w:tc>
        <w:tc>
          <w:tcPr>
            <w:tcW w:type="dxa" w:w="2326"/>
            <w:shd w:fill="E8E8E8" w:color="auto" w:val="clear"/>
            <w:tcMar>
              <w:top w:type="dxa" w:w="60"/>
              <w:left w:type="dxa" w:w="90"/>
              <w:bottom w:type="dxa" w:w="60"/>
              <w:right w:type="dxa" w:w="90"/>
            </w:tcMar>
          </w:tcPr>
          <w:p>
            <w:pPr>
              <w:spacing w:after="0" w:line="240"/>
              <w:jc w:val="right"/>
            </w:pPr>
            <w:r>
              <w:rPr>
                <w:b/>
                <w:bCs/>
                <w:sz w:val="18"/>
                <w:szCs w:val="18"/>
              </w:rPr>
              <w:t xml:space="preserve">MW/°C</w:t>
            </w:r>
          </w:p>
        </w:tc>
      </w:tr>
      <w:tr>
        <w:tc>
          <w:tcPr>
            <w:tcW w:type="dxa" w:w="2400"/>
            <w:tcMar>
              <w:top w:type="dxa" w:w="60"/>
              <w:left w:type="dxa" w:w="90"/>
              <w:bottom w:type="dxa" w:w="60"/>
              <w:right w:type="dxa" w:w="90"/>
            </w:tcMar>
          </w:tcPr>
          <w:p>
            <w:pPr>
              <w:spacing w:after="0" w:line="240"/>
              <w:jc w:val="left"/>
            </w:pPr>
            <w:r>
              <w:rPr>
                <w:b w:val="false"/>
                <w:bCs w:val="false"/>
                <w:sz w:val="18"/>
                <w:szCs w:val="18"/>
              </w:rPr>
              <w:t xml:space="preserve">18–22 °C</w:t>
            </w:r>
          </w:p>
        </w:tc>
        <w:tc>
          <w:tcPr>
            <w:tcW w:type="dxa" w:w="1900"/>
            <w:tcMar>
              <w:top w:type="dxa" w:w="60"/>
              <w:left w:type="dxa" w:w="90"/>
              <w:bottom w:type="dxa" w:w="60"/>
              <w:right w:type="dxa" w:w="90"/>
            </w:tcMar>
          </w:tcPr>
          <w:p>
            <w:pPr>
              <w:spacing w:after="0" w:line="240"/>
              <w:jc w:val="right"/>
            </w:pPr>
            <w:r>
              <w:rPr>
                <w:b w:val="false"/>
                <w:bCs w:val="false"/>
                <w:sz w:val="18"/>
                <w:szCs w:val="18"/>
              </w:rPr>
              <w:t xml:space="preserve">−29.2</w:t>
            </w:r>
          </w:p>
        </w:tc>
        <w:tc>
          <w:tcPr>
            <w:tcW w:type="dxa" w:w="2400"/>
            <w:tcMar>
              <w:top w:type="dxa" w:w="60"/>
              <w:left w:type="dxa" w:w="90"/>
              <w:bottom w:type="dxa" w:w="60"/>
              <w:right w:type="dxa" w:w="90"/>
            </w:tcMar>
          </w:tcPr>
          <w:p>
            <w:pPr>
              <w:spacing w:after="0" w:line="240"/>
              <w:jc w:val="left"/>
            </w:pPr>
            <w:r>
              <w:rPr>
                <w:b w:val="false"/>
                <w:bCs w:val="false"/>
                <w:sz w:val="18"/>
                <w:szCs w:val="18"/>
              </w:rPr>
              <w:t xml:space="preserve">18–14 °C</w:t>
            </w:r>
          </w:p>
        </w:tc>
        <w:tc>
          <w:tcPr>
            <w:tcW w:type="dxa" w:w="2326"/>
            <w:tcMar>
              <w:top w:type="dxa" w:w="60"/>
              <w:left w:type="dxa" w:w="90"/>
              <w:bottom w:type="dxa" w:w="60"/>
              <w:right w:type="dxa" w:w="90"/>
            </w:tcMar>
          </w:tcPr>
          <w:p>
            <w:pPr>
              <w:spacing w:after="0" w:line="240"/>
              <w:jc w:val="right"/>
            </w:pPr>
            <w:r>
              <w:rPr>
                <w:b w:val="false"/>
                <w:bCs w:val="false"/>
                <w:sz w:val="18"/>
                <w:szCs w:val="18"/>
              </w:rPr>
              <w:t xml:space="preserve">+113.3</w:t>
            </w:r>
          </w:p>
        </w:tc>
      </w:tr>
      <w:tr>
        <w:tc>
          <w:tcPr>
            <w:tcW w:type="dxa" w:w="2400"/>
            <w:tcMar>
              <w:top w:type="dxa" w:w="60"/>
              <w:left w:type="dxa" w:w="90"/>
              <w:bottom w:type="dxa" w:w="60"/>
              <w:right w:type="dxa" w:w="90"/>
            </w:tcMar>
          </w:tcPr>
          <w:p>
            <w:pPr>
              <w:spacing w:after="0" w:line="240"/>
              <w:jc w:val="left"/>
            </w:pPr>
            <w:r>
              <w:rPr>
                <w:b w:val="false"/>
                <w:bCs w:val="false"/>
                <w:sz w:val="18"/>
                <w:szCs w:val="18"/>
              </w:rPr>
              <w:t xml:space="preserve">22–26 °C</w:t>
            </w:r>
          </w:p>
        </w:tc>
        <w:tc>
          <w:tcPr>
            <w:tcW w:type="dxa" w:w="1900"/>
            <w:tcMar>
              <w:top w:type="dxa" w:w="60"/>
              <w:left w:type="dxa" w:w="90"/>
              <w:bottom w:type="dxa" w:w="60"/>
              <w:right w:type="dxa" w:w="90"/>
            </w:tcMar>
          </w:tcPr>
          <w:p>
            <w:pPr>
              <w:spacing w:after="0" w:line="240"/>
              <w:jc w:val="right"/>
            </w:pPr>
            <w:r>
              <w:rPr>
                <w:b w:val="false"/>
                <w:bCs w:val="false"/>
                <w:sz w:val="18"/>
                <w:szCs w:val="18"/>
              </w:rPr>
              <w:t xml:space="preserve">+120.9</w:t>
            </w:r>
          </w:p>
        </w:tc>
        <w:tc>
          <w:tcPr>
            <w:tcW w:type="dxa" w:w="2400"/>
            <w:tcMar>
              <w:top w:type="dxa" w:w="60"/>
              <w:left w:type="dxa" w:w="90"/>
              <w:bottom w:type="dxa" w:w="60"/>
              <w:right w:type="dxa" w:w="90"/>
            </w:tcMar>
          </w:tcPr>
          <w:p>
            <w:pPr>
              <w:spacing w:after="0" w:line="240"/>
              <w:jc w:val="left"/>
            </w:pPr>
            <w:r>
              <w:rPr>
                <w:b w:val="false"/>
                <w:bCs w:val="false"/>
                <w:sz w:val="18"/>
                <w:szCs w:val="18"/>
              </w:rPr>
              <w:t xml:space="preserve">14–10 °C</w:t>
            </w:r>
          </w:p>
        </w:tc>
        <w:tc>
          <w:tcPr>
            <w:tcW w:type="dxa" w:w="2326"/>
            <w:tcMar>
              <w:top w:type="dxa" w:w="60"/>
              <w:left w:type="dxa" w:w="90"/>
              <w:bottom w:type="dxa" w:w="60"/>
              <w:right w:type="dxa" w:w="90"/>
            </w:tcMar>
          </w:tcPr>
          <w:p>
            <w:pPr>
              <w:spacing w:after="0" w:line="240"/>
              <w:jc w:val="right"/>
            </w:pPr>
            <w:r>
              <w:rPr>
                <w:b w:val="false"/>
                <w:bCs w:val="false"/>
                <w:sz w:val="18"/>
                <w:szCs w:val="18"/>
              </w:rPr>
              <w:t xml:space="preserve">+145.0</w:t>
            </w:r>
          </w:p>
        </w:tc>
      </w:tr>
      <w:tr>
        <w:tc>
          <w:tcPr>
            <w:tcW w:type="dxa" w:w="2400"/>
            <w:tcMar>
              <w:top w:type="dxa" w:w="60"/>
              <w:left w:type="dxa" w:w="90"/>
              <w:bottom w:type="dxa" w:w="60"/>
              <w:right w:type="dxa" w:w="90"/>
            </w:tcMar>
          </w:tcPr>
          <w:p>
            <w:pPr>
              <w:spacing w:after="0" w:line="240"/>
              <w:jc w:val="left"/>
            </w:pPr>
            <w:r>
              <w:rPr>
                <w:b w:val="false"/>
                <w:bCs w:val="false"/>
                <w:sz w:val="18"/>
                <w:szCs w:val="18"/>
              </w:rPr>
              <w:t xml:space="preserve">26–30 °C</w:t>
            </w:r>
          </w:p>
        </w:tc>
        <w:tc>
          <w:tcPr>
            <w:tcW w:type="dxa" w:w="1900"/>
            <w:tcMar>
              <w:top w:type="dxa" w:w="60"/>
              <w:left w:type="dxa" w:w="90"/>
              <w:bottom w:type="dxa" w:w="60"/>
              <w:right w:type="dxa" w:w="90"/>
            </w:tcMar>
          </w:tcPr>
          <w:p>
            <w:pPr>
              <w:spacing w:after="0" w:line="240"/>
              <w:jc w:val="right"/>
            </w:pPr>
            <w:r>
              <w:rPr>
                <w:b w:val="false"/>
                <w:bCs w:val="false"/>
                <w:sz w:val="18"/>
                <w:szCs w:val="18"/>
              </w:rPr>
              <w:t xml:space="preserve">+102.5</w:t>
            </w:r>
          </w:p>
        </w:tc>
        <w:tc>
          <w:tcPr>
            <w:tcW w:type="dxa" w:w="2400"/>
            <w:tcMar>
              <w:top w:type="dxa" w:w="60"/>
              <w:left w:type="dxa" w:w="90"/>
              <w:bottom w:type="dxa" w:w="60"/>
              <w:right w:type="dxa" w:w="90"/>
            </w:tcMar>
          </w:tcPr>
          <w:p>
            <w:pPr>
              <w:spacing w:after="0" w:line="240"/>
              <w:jc w:val="left"/>
            </w:pPr>
            <w:r>
              <w:rPr>
                <w:b w:val="false"/>
                <w:bCs w:val="false"/>
                <w:sz w:val="18"/>
                <w:szCs w:val="18"/>
              </w:rPr>
              <w:t xml:space="preserve">10–6 °C</w:t>
            </w:r>
          </w:p>
        </w:tc>
        <w:tc>
          <w:tcPr>
            <w:tcW w:type="dxa" w:w="2326"/>
            <w:tcMar>
              <w:top w:type="dxa" w:w="60"/>
              <w:left w:type="dxa" w:w="90"/>
              <w:bottom w:type="dxa" w:w="60"/>
              <w:right w:type="dxa" w:w="90"/>
            </w:tcMar>
          </w:tcPr>
          <w:p>
            <w:pPr>
              <w:spacing w:after="0" w:line="240"/>
              <w:jc w:val="right"/>
            </w:pPr>
            <w:r>
              <w:rPr>
                <w:b w:val="false"/>
                <w:bCs w:val="false"/>
                <w:sz w:val="18"/>
                <w:szCs w:val="18"/>
              </w:rPr>
              <w:t xml:space="preserve">+9.8</w:t>
            </w:r>
          </w:p>
        </w:tc>
      </w:tr>
      <w:tr>
        <w:tc>
          <w:tcPr>
            <w:tcW w:type="dxa" w:w="2400"/>
            <w:shd w:fill="F2F2F2" w:color="auto" w:val="clear"/>
            <w:tcMar>
              <w:top w:type="dxa" w:w="60"/>
              <w:left w:type="dxa" w:w="90"/>
              <w:bottom w:type="dxa" w:w="60"/>
              <w:right w:type="dxa" w:w="90"/>
            </w:tcMar>
          </w:tcPr>
          <w:p>
            <w:pPr>
              <w:spacing w:after="0" w:line="240"/>
              <w:jc w:val="left"/>
            </w:pPr>
            <w:r>
              <w:rPr>
                <w:b/>
                <w:bCs/>
                <w:sz w:val="18"/>
                <w:szCs w:val="18"/>
              </w:rPr>
              <w:t xml:space="preserve">30 °C and above</w:t>
            </w:r>
          </w:p>
        </w:tc>
        <w:tc>
          <w:tcPr>
            <w:tcW w:type="dxa" w:w="1900"/>
            <w:shd w:fill="F2F2F2" w:color="auto" w:val="clear"/>
            <w:tcMar>
              <w:top w:type="dxa" w:w="60"/>
              <w:left w:type="dxa" w:w="90"/>
              <w:bottom w:type="dxa" w:w="60"/>
              <w:right w:type="dxa" w:w="90"/>
            </w:tcMar>
          </w:tcPr>
          <w:p>
            <w:pPr>
              <w:spacing w:after="0" w:line="240"/>
              <w:jc w:val="right"/>
            </w:pPr>
            <w:r>
              <w:rPr>
                <w:b/>
                <w:bCs/>
                <w:sz w:val="18"/>
                <w:szCs w:val="18"/>
              </w:rPr>
              <w:t xml:space="preserve">+353.5</w:t>
            </w:r>
          </w:p>
        </w:tc>
        <w:tc>
          <w:tcPr>
            <w:tcW w:type="dxa" w:w="2400"/>
            <w:shd w:fill="F2F2F2" w:color="auto" w:val="clear"/>
            <w:tcMar>
              <w:top w:type="dxa" w:w="60"/>
              <w:left w:type="dxa" w:w="90"/>
              <w:bottom w:type="dxa" w:w="60"/>
              <w:right w:type="dxa" w:w="90"/>
            </w:tcMar>
          </w:tcPr>
          <w:p>
            <w:pPr>
              <w:spacing w:after="0" w:line="240"/>
              <w:jc w:val="left"/>
            </w:pPr>
            <w:r>
              <w:rPr>
                <w:b/>
                <w:bCs/>
                <w:sz w:val="18"/>
                <w:szCs w:val="18"/>
              </w:rPr>
              <w:t xml:space="preserve">below 6 °C</w:t>
            </w:r>
          </w:p>
        </w:tc>
        <w:tc>
          <w:tcPr>
            <w:tcW w:type="dxa" w:w="2326"/>
            <w:shd w:fill="F2F2F2" w:color="auto" w:val="clear"/>
            <w:tcMar>
              <w:top w:type="dxa" w:w="60"/>
              <w:left w:type="dxa" w:w="90"/>
              <w:bottom w:type="dxa" w:w="60"/>
              <w:right w:type="dxa" w:w="90"/>
            </w:tcMar>
          </w:tcPr>
          <w:p>
            <w:pPr>
              <w:spacing w:after="0" w:line="240"/>
              <w:jc w:val="right"/>
            </w:pPr>
            <w:r>
              <w:rPr>
                <w:b/>
                <w:bCs/>
                <w:sz w:val="18"/>
                <w:szCs w:val="18"/>
              </w:rPr>
              <w:t xml:space="preserve">−35.6</w:t>
            </w:r>
          </w:p>
        </w:tc>
      </w:tr>
    </w:tbl>
    <w:p>
      <w:pPr>
        <w:spacing w:after="200"/>
      </w:pPr>
    </w:p>
    <w:p>
      <w:pPr>
        <w:spacing w:after="140" w:line="276"/>
        <w:jc w:val="both"/>
      </w:pPr>
      <w:r>
        <w:t xml:space="preserve">The cooling response is strongly convex. It is flat to slightly negative in the 18–22 °C band — unsurprising, since this straddles the comfort zone where neither heating nor cooling is much used — and then rises to 353.5 MW per °C above 30 °C, roughly three times the 22–26 °C slope (Figure 12).</w:t>
      </w:r>
    </w:p>
    <w:p>
      <w:pPr>
        <w:spacing w:after="140" w:line="276"/>
        <w:jc w:val="both"/>
      </w:pPr>
      <w:r>
        <w:t xml:space="preserve">This is the most operationally consequential result in the report. It means the average temperature sensitivity substantially understates the sensitivity in exactly the conditions that determine peak capacity requirements. A warming scenario that shifts a summer afternoon from 29 °C to 32 °C moves demand along the steepest part of the response function.</w:t>
      </w:r>
    </w:p>
    <w:p>
      <w:pPr>
        <w:spacing w:after="140" w:line="276"/>
        <w:jc w:val="both"/>
      </w:pPr>
      <w:r>
        <w:t xml:space="preserve">The heating bands are less well behaved: the two extreme cold bands give small and negative coefficients. With few observations at those temperatures in a country as warm as Spain, and with strong collinearity between adjacent bands, these coefficients should not be over-interpreted. This instability is part of the reason specification B4, which uses a single HDD term with time-of-day interactions rather than cold bands, was preferred.</w:t>
      </w:r>
    </w:p>
    <w:p>
      <w:pPr>
        <w:spacing w:after="60" w:before="160"/>
        <w:jc w:val="center"/>
      </w:pPr>
      <w:r>
        <w:drawing>
          <wp:inline distT="0" distB="0" distL="0" distR="0">
            <wp:extent cx="4572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781300"/>
                    </a:xfrm>
                    <a:prstGeom prst="rect">
                      <a:avLst/>
                    </a:prstGeom>
                  </pic:spPr>
                </pic:pic>
              </a:graphicData>
            </a:graphic>
          </wp:inline>
        </w:drawing>
      </w:r>
    </w:p>
    <w:p>
      <w:pPr>
        <w:spacing w:after="220" w:before="80"/>
        <w:jc w:val="center"/>
      </w:pPr>
      <w:r>
        <w:rPr>
          <w:b/>
          <w:bCs/>
          <w:i w:val="false"/>
          <w:iCs w:val="false"/>
          <w:sz w:val="18"/>
          <w:szCs w:val="18"/>
        </w:rPr>
        <w:t xml:space="preserve">Figure 12.</w:t>
      </w:r>
      <w:r>
        <w:rPr>
          <w:i w:val="false"/>
          <w:iCs w:val="false"/>
          <w:sz w:val="18"/>
          <w:szCs w:val="18"/>
        </w:rPr>
        <w:t xml:space="preserve"> Additional demand per °C within each cooling band. The response steepens sharply above 30 °C.</w:t>
      </w:r>
    </w:p>
    <w:p>
      <w:pPr>
        <w:pStyle w:val="Heading2"/>
        <w:spacing w:after="140" w:before="280"/>
      </w:pPr>
      <w:r>
        <w:t xml:space="preserve">3.9 Time-of-day heterogeneity</w:t>
      </w:r>
    </w:p>
    <w:p>
      <w:pPr>
        <w:spacing w:after="140" w:line="276"/>
        <w:jc w:val="both"/>
      </w:pPr>
      <w:r>
        <w:t xml:space="preserve">Interacting the degree-day terms with time blocks improves R² by +0.0082 over the single-slope model and reveals that the two responses have quite different daily shapes (Table 7, Figure 13).</w:t>
      </w:r>
    </w:p>
    <w:p>
      <w:pPr>
        <w:spacing w:after="90" w:before="200"/>
        <w:jc w:val="left"/>
      </w:pPr>
      <w:r>
        <w:rPr>
          <w:b/>
          <w:bCs/>
          <w:sz w:val="18"/>
          <w:szCs w:val="18"/>
        </w:rPr>
        <w:t xml:space="preserve">Table 7.</w:t>
      </w:r>
      <w:r>
        <w:rPr>
          <w:sz w:val="18"/>
          <w:szCs w:val="18"/>
        </w:rPr>
        <w:t xml:space="preserve"> Temperature sensitivity by time of day (MW per °C).</w:t>
      </w:r>
    </w:p>
    <w:tbl>
      <w:tblPr>
        <w:tblW w:type="dxa" w:w="9026"/>
        <w:tblBorders>
          <w:top w:val="single" w:color="000000" w:sz="8"/>
          <w:left w:val="none" w:color="FFFFFF" w:sz="0"/>
          <w:bottom w:val="single" w:color="000000" w:sz="8"/>
          <w:right w:val="none" w:color="FFFFFF" w:sz="0"/>
          <w:insideH w:val="single" w:color="BBBBBB" w:sz="2"/>
          <w:insideV w:val="none" w:color="FFFFFF" w:sz="0"/>
        </w:tblBorders>
      </w:tblPr>
      <w:tblGrid>
        <w:gridCol w:w="3026"/>
        <w:gridCol w:w="3000"/>
        <w:gridCol w:w="3000"/>
      </w:tblGrid>
      <w:tr>
        <w:trPr>
          <w:tblHeader/>
        </w:trPr>
        <w:tc>
          <w:tcPr>
            <w:tcW w:type="dxa" w:w="3026"/>
            <w:shd w:fill="E8E8E8" w:color="auto" w:val="clear"/>
            <w:tcMar>
              <w:top w:type="dxa" w:w="60"/>
              <w:left w:type="dxa" w:w="90"/>
              <w:bottom w:type="dxa" w:w="60"/>
              <w:right w:type="dxa" w:w="90"/>
            </w:tcMar>
          </w:tcPr>
          <w:p>
            <w:pPr>
              <w:spacing w:after="0" w:line="240"/>
              <w:jc w:val="left"/>
            </w:pPr>
            <w:r>
              <w:rPr>
                <w:b/>
                <w:bCs/>
                <w:sz w:val="18"/>
                <w:szCs w:val="18"/>
              </w:rPr>
              <w:t xml:space="preserve">Time block (local)</w:t>
            </w:r>
          </w:p>
        </w:tc>
        <w:tc>
          <w:tcPr>
            <w:tcW w:type="dxa" w:w="3000"/>
            <w:shd w:fill="E8E8E8" w:color="auto" w:val="clear"/>
            <w:tcMar>
              <w:top w:type="dxa" w:w="60"/>
              <w:left w:type="dxa" w:w="90"/>
              <w:bottom w:type="dxa" w:w="60"/>
              <w:right w:type="dxa" w:w="90"/>
            </w:tcMar>
          </w:tcPr>
          <w:p>
            <w:pPr>
              <w:spacing w:after="0" w:line="240"/>
              <w:jc w:val="right"/>
            </w:pPr>
            <w:r>
              <w:rPr>
                <w:b/>
                <w:bCs/>
                <w:sz w:val="18"/>
                <w:szCs w:val="18"/>
              </w:rPr>
              <w:t xml:space="preserve">Cooling (above 18 °C)</w:t>
            </w:r>
          </w:p>
        </w:tc>
        <w:tc>
          <w:tcPr>
            <w:tcW w:type="dxa" w:w="3000"/>
            <w:shd w:fill="E8E8E8" w:color="auto" w:val="clear"/>
            <w:tcMar>
              <w:top w:type="dxa" w:w="60"/>
              <w:left w:type="dxa" w:w="90"/>
              <w:bottom w:type="dxa" w:w="60"/>
              <w:right w:type="dxa" w:w="90"/>
            </w:tcMar>
          </w:tcPr>
          <w:p>
            <w:pPr>
              <w:spacing w:after="0" w:line="240"/>
              <w:jc w:val="right"/>
            </w:pPr>
            <w:r>
              <w:rPr>
                <w:b/>
                <w:bCs/>
                <w:sz w:val="18"/>
                <w:szCs w:val="18"/>
              </w:rPr>
              <w:t xml:space="preserve">Heating (below 18 °C)</w:t>
            </w:r>
          </w:p>
        </w:tc>
      </w:tr>
      <w:tr>
        <w:tc>
          <w:tcPr>
            <w:tcW w:type="dxa" w:w="3026"/>
            <w:tcMar>
              <w:top w:type="dxa" w:w="60"/>
              <w:left w:type="dxa" w:w="90"/>
              <w:bottom w:type="dxa" w:w="60"/>
              <w:right w:type="dxa" w:w="90"/>
            </w:tcMar>
          </w:tcPr>
          <w:p>
            <w:pPr>
              <w:spacing w:after="0" w:line="240"/>
              <w:jc w:val="left"/>
            </w:pPr>
            <w:r>
              <w:rPr>
                <w:b w:val="false"/>
                <w:bCs w:val="false"/>
                <w:sz w:val="18"/>
                <w:szCs w:val="18"/>
              </w:rPr>
              <w:t xml:space="preserve">Night (0–7h)</w:t>
            </w:r>
          </w:p>
        </w:tc>
        <w:tc>
          <w:tcPr>
            <w:tcW w:type="dxa" w:w="3000"/>
            <w:tcMar>
              <w:top w:type="dxa" w:w="60"/>
              <w:left w:type="dxa" w:w="90"/>
              <w:bottom w:type="dxa" w:w="60"/>
              <w:right w:type="dxa" w:w="90"/>
            </w:tcMar>
          </w:tcPr>
          <w:p>
            <w:pPr>
              <w:spacing w:after="0" w:line="240"/>
              <w:jc w:val="right"/>
            </w:pPr>
            <w:r>
              <w:rPr>
                <w:b w:val="false"/>
                <w:bCs w:val="false"/>
                <w:sz w:val="18"/>
                <w:szCs w:val="18"/>
              </w:rPr>
              <w:t xml:space="preserve">201.8</w:t>
            </w:r>
          </w:p>
        </w:tc>
        <w:tc>
          <w:tcPr>
            <w:tcW w:type="dxa" w:w="3000"/>
            <w:tcMar>
              <w:top w:type="dxa" w:w="60"/>
              <w:left w:type="dxa" w:w="90"/>
              <w:bottom w:type="dxa" w:w="60"/>
              <w:right w:type="dxa" w:w="90"/>
            </w:tcMar>
          </w:tcPr>
          <w:p>
            <w:pPr>
              <w:spacing w:after="0" w:line="240"/>
              <w:jc w:val="right"/>
            </w:pPr>
            <w:r>
              <w:rPr>
                <w:b w:val="false"/>
                <w:bCs w:val="false"/>
                <w:sz w:val="18"/>
                <w:szCs w:val="18"/>
              </w:rPr>
              <w:t xml:space="preserve">3.2</w:t>
            </w:r>
          </w:p>
        </w:tc>
      </w:tr>
      <w:tr>
        <w:tc>
          <w:tcPr>
            <w:tcW w:type="dxa" w:w="3026"/>
            <w:tcMar>
              <w:top w:type="dxa" w:w="60"/>
              <w:left w:type="dxa" w:w="90"/>
              <w:bottom w:type="dxa" w:w="60"/>
              <w:right w:type="dxa" w:w="90"/>
            </w:tcMar>
          </w:tcPr>
          <w:p>
            <w:pPr>
              <w:spacing w:after="0" w:line="240"/>
              <w:jc w:val="left"/>
            </w:pPr>
            <w:r>
              <w:rPr>
                <w:b w:val="false"/>
                <w:bCs w:val="false"/>
                <w:sz w:val="18"/>
                <w:szCs w:val="18"/>
              </w:rPr>
              <w:t xml:space="preserve">Morning (8–13h)</w:t>
            </w:r>
          </w:p>
        </w:tc>
        <w:tc>
          <w:tcPr>
            <w:tcW w:type="dxa" w:w="3000"/>
            <w:tcMar>
              <w:top w:type="dxa" w:w="60"/>
              <w:left w:type="dxa" w:w="90"/>
              <w:bottom w:type="dxa" w:w="60"/>
              <w:right w:type="dxa" w:w="90"/>
            </w:tcMar>
          </w:tcPr>
          <w:p>
            <w:pPr>
              <w:spacing w:after="0" w:line="240"/>
              <w:jc w:val="right"/>
            </w:pPr>
            <w:r>
              <w:rPr>
                <w:b w:val="false"/>
                <w:bCs w:val="false"/>
                <w:sz w:val="18"/>
                <w:szCs w:val="18"/>
              </w:rPr>
              <w:t xml:space="preserve">176.2</w:t>
            </w:r>
          </w:p>
        </w:tc>
        <w:tc>
          <w:tcPr>
            <w:tcW w:type="dxa" w:w="3000"/>
            <w:tcMar>
              <w:top w:type="dxa" w:w="60"/>
              <w:left w:type="dxa" w:w="90"/>
              <w:bottom w:type="dxa" w:w="60"/>
              <w:right w:type="dxa" w:w="90"/>
            </w:tcMar>
          </w:tcPr>
          <w:p>
            <w:pPr>
              <w:spacing w:after="0" w:line="240"/>
              <w:jc w:val="right"/>
            </w:pPr>
            <w:r>
              <w:rPr>
                <w:b w:val="false"/>
                <w:bCs w:val="false"/>
                <w:sz w:val="18"/>
                <w:szCs w:val="18"/>
              </w:rPr>
              <w:t xml:space="preserve">133.5</w:t>
            </w:r>
          </w:p>
        </w:tc>
      </w:tr>
      <w:tr>
        <w:tc>
          <w:tcPr>
            <w:tcW w:type="dxa" w:w="3026"/>
            <w:shd w:fill="F2F2F2" w:color="auto" w:val="clear"/>
            <w:tcMar>
              <w:top w:type="dxa" w:w="60"/>
              <w:left w:type="dxa" w:w="90"/>
              <w:bottom w:type="dxa" w:w="60"/>
              <w:right w:type="dxa" w:w="90"/>
            </w:tcMar>
          </w:tcPr>
          <w:p>
            <w:pPr>
              <w:spacing w:after="0" w:line="240"/>
              <w:jc w:val="left"/>
            </w:pPr>
            <w:r>
              <w:rPr>
                <w:b/>
                <w:bCs/>
                <w:sz w:val="18"/>
                <w:szCs w:val="18"/>
              </w:rPr>
              <w:t xml:space="preserve">Afternoon (14–19h)</w:t>
            </w:r>
          </w:p>
        </w:tc>
        <w:tc>
          <w:tcPr>
            <w:tcW w:type="dxa" w:w="3000"/>
            <w:shd w:fill="F2F2F2" w:color="auto" w:val="clear"/>
            <w:tcMar>
              <w:top w:type="dxa" w:w="60"/>
              <w:left w:type="dxa" w:w="90"/>
              <w:bottom w:type="dxa" w:w="60"/>
              <w:right w:type="dxa" w:w="90"/>
            </w:tcMar>
          </w:tcPr>
          <w:p>
            <w:pPr>
              <w:spacing w:after="0" w:line="240"/>
              <w:jc w:val="right"/>
            </w:pPr>
            <w:r>
              <w:rPr>
                <w:b/>
                <w:bCs/>
                <w:sz w:val="18"/>
                <w:szCs w:val="18"/>
              </w:rPr>
              <w:t xml:space="preserve">205.8</w:t>
            </w:r>
          </w:p>
        </w:tc>
        <w:tc>
          <w:tcPr>
            <w:tcW w:type="dxa" w:w="3000"/>
            <w:shd w:fill="F2F2F2" w:color="auto" w:val="clear"/>
            <w:tcMar>
              <w:top w:type="dxa" w:w="60"/>
              <w:left w:type="dxa" w:w="90"/>
              <w:bottom w:type="dxa" w:w="60"/>
              <w:right w:type="dxa" w:w="90"/>
            </w:tcMar>
          </w:tcPr>
          <w:p>
            <w:pPr>
              <w:spacing w:after="0" w:line="240"/>
              <w:jc w:val="right"/>
            </w:pPr>
            <w:r>
              <w:rPr>
                <w:b/>
                <w:bCs/>
                <w:sz w:val="18"/>
                <w:szCs w:val="18"/>
              </w:rPr>
              <w:t xml:space="preserve">326.0</w:t>
            </w:r>
          </w:p>
        </w:tc>
      </w:tr>
      <w:tr>
        <w:tc>
          <w:tcPr>
            <w:tcW w:type="dxa" w:w="3026"/>
            <w:tcMar>
              <w:top w:type="dxa" w:w="60"/>
              <w:left w:type="dxa" w:w="90"/>
              <w:bottom w:type="dxa" w:w="60"/>
              <w:right w:type="dxa" w:w="90"/>
            </w:tcMar>
          </w:tcPr>
          <w:p>
            <w:pPr>
              <w:spacing w:after="0" w:line="240"/>
              <w:jc w:val="left"/>
            </w:pPr>
            <w:r>
              <w:rPr>
                <w:b w:val="false"/>
                <w:bCs w:val="false"/>
                <w:sz w:val="18"/>
                <w:szCs w:val="18"/>
              </w:rPr>
              <w:t xml:space="preserve">Evening (20–23h)</w:t>
            </w:r>
          </w:p>
        </w:tc>
        <w:tc>
          <w:tcPr>
            <w:tcW w:type="dxa" w:w="3000"/>
            <w:tcMar>
              <w:top w:type="dxa" w:w="60"/>
              <w:left w:type="dxa" w:w="90"/>
              <w:bottom w:type="dxa" w:w="60"/>
              <w:right w:type="dxa" w:w="90"/>
            </w:tcMar>
          </w:tcPr>
          <w:p>
            <w:pPr>
              <w:spacing w:after="0" w:line="240"/>
              <w:jc w:val="right"/>
            </w:pPr>
            <w:r>
              <w:rPr>
                <w:b w:val="false"/>
                <w:bCs w:val="false"/>
                <w:sz w:val="18"/>
                <w:szCs w:val="18"/>
              </w:rPr>
              <w:t xml:space="preserve">119.0</w:t>
            </w:r>
          </w:p>
        </w:tc>
        <w:tc>
          <w:tcPr>
            <w:tcW w:type="dxa" w:w="3000"/>
            <w:tcMar>
              <w:top w:type="dxa" w:w="60"/>
              <w:left w:type="dxa" w:w="90"/>
              <w:bottom w:type="dxa" w:w="60"/>
              <w:right w:type="dxa" w:w="90"/>
            </w:tcMar>
          </w:tcPr>
          <w:p>
            <w:pPr>
              <w:spacing w:after="0" w:line="240"/>
              <w:jc w:val="right"/>
            </w:pPr>
            <w:r>
              <w:rPr>
                <w:b w:val="false"/>
                <w:bCs w:val="false"/>
                <w:sz w:val="18"/>
                <w:szCs w:val="18"/>
              </w:rPr>
              <w:t xml:space="preserve">158.8</w:t>
            </w:r>
          </w:p>
        </w:tc>
      </w:tr>
    </w:tbl>
    <w:p>
      <w:pPr>
        <w:spacing w:after="200"/>
      </w:pPr>
    </w:p>
    <w:p>
      <w:pPr>
        <w:spacing w:after="140" w:line="276"/>
        <w:jc w:val="both"/>
      </w:pPr>
      <w:r>
        <w:t xml:space="preserve">The cooling response is substantial at all hours, including overnight (201.8 MW per °C) — consistent with air conditioning left running through hot nights, which is behaviourally plausible and matters for baseload rather than only peak provision. The heating response, by contrast, is essentially absent overnight (3.2 MW per °C) and peaks in the afternoon (326.0 MW per °C), consistent with heating being driven by occupancy: buildings that are empty or whose occupants are asleep are not heated electrically to the same degree.</w:t>
      </w:r>
    </w:p>
    <w:p>
      <w:pPr>
        <w:spacing w:after="60" w:before="160"/>
        <w:jc w:val="center"/>
      </w:pPr>
      <w:r>
        <w:drawing>
          <wp:inline distT="0" distB="0" distL="0" distR="0">
            <wp:extent cx="4762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600325"/>
                    </a:xfrm>
                    <a:prstGeom prst="rect">
                      <a:avLst/>
                    </a:prstGeom>
                  </pic:spPr>
                </pic:pic>
              </a:graphicData>
            </a:graphic>
          </wp:inline>
        </w:drawing>
      </w:r>
    </w:p>
    <w:p>
      <w:pPr>
        <w:spacing w:after="220" w:before="80"/>
        <w:jc w:val="center"/>
      </w:pPr>
      <w:r>
        <w:rPr>
          <w:b/>
          <w:bCs/>
          <w:i w:val="false"/>
          <w:iCs w:val="false"/>
          <w:sz w:val="18"/>
          <w:szCs w:val="18"/>
        </w:rPr>
        <w:t xml:space="preserve">Figure 13.</w:t>
      </w:r>
      <w:r>
        <w:rPr>
          <w:i w:val="false"/>
          <w:iCs w:val="false"/>
          <w:sz w:val="18"/>
          <w:szCs w:val="18"/>
        </w:rPr>
        <w:t xml:space="preserve"> Cooling and heating sensitivity of demand by time of day.</w:t>
      </w:r>
    </w:p>
    <w:p>
      <w:pPr>
        <w:pStyle w:val="Heading2"/>
        <w:spacing w:after="140" w:before="280"/>
      </w:pPr>
      <w:r>
        <w:t xml:space="preserve">3.10 Warming scenario effects</w:t>
      </w:r>
    </w:p>
    <w:p>
      <w:pPr>
        <w:spacing w:after="140" w:line="276"/>
        <w:jc w:val="both"/>
      </w:pPr>
      <w:r>
        <w:t xml:space="preserve">Table 8 gives the primary results: mean change in predicted demand under each warming scenario, with 95% confidence intervals from 300 model refits on day-resampled training data (Section 2.13).</w:t>
      </w:r>
    </w:p>
    <w:p>
      <w:pPr>
        <w:spacing w:after="90" w:before="200"/>
        <w:jc w:val="left"/>
      </w:pPr>
      <w:r>
        <w:rPr>
          <w:b/>
          <w:bCs/>
          <w:sz w:val="18"/>
          <w:szCs w:val="18"/>
        </w:rPr>
        <w:t xml:space="preserve">Table 8.</w:t>
      </w:r>
      <w:r>
        <w:rPr>
          <w:sz w:val="18"/>
          <w:szCs w:val="18"/>
        </w:rPr>
        <w:t xml:space="preserve"> Change in predicted demand under uniform warming, primary model (linear + time-of-day interactions). Intervals are 95% bootstrap intervals over 300 refits.</w:t>
      </w:r>
    </w:p>
    <w:tbl>
      <w:tblPr>
        <w:tblW w:type="dxa" w:w="9026"/>
        <w:tblBorders>
          <w:top w:val="single" w:color="000000" w:sz="8"/>
          <w:left w:val="none" w:color="FFFFFF" w:sz="0"/>
          <w:bottom w:val="single" w:color="000000" w:sz="8"/>
          <w:right w:val="none" w:color="FFFFFF" w:sz="0"/>
          <w:insideH w:val="single" w:color="BBBBBB" w:sz="2"/>
          <w:insideV w:val="none" w:color="FFFFFF" w:sz="0"/>
        </w:tblBorders>
      </w:tblPr>
      <w:tblGrid>
        <w:gridCol w:w="1200"/>
        <w:gridCol w:w="1300"/>
        <w:gridCol w:w="1650"/>
        <w:gridCol w:w="1650"/>
        <w:gridCol w:w="1650"/>
        <w:gridCol w:w="1576"/>
      </w:tblGrid>
      <w:tr>
        <w:trPr>
          <w:tblHeader/>
        </w:trPr>
        <w:tc>
          <w:tcPr>
            <w:tcW w:type="dxa" w:w="1200"/>
            <w:shd w:fill="E8E8E8" w:color="auto" w:val="clear"/>
            <w:tcMar>
              <w:top w:type="dxa" w:w="60"/>
              <w:left w:type="dxa" w:w="90"/>
              <w:bottom w:type="dxa" w:w="60"/>
              <w:right w:type="dxa" w:w="90"/>
            </w:tcMar>
          </w:tcPr>
          <w:p>
            <w:pPr>
              <w:spacing w:after="0" w:line="240"/>
              <w:jc w:val="left"/>
            </w:pPr>
            <w:r>
              <w:rPr>
                <w:b/>
                <w:bCs/>
                <w:sz w:val="18"/>
                <w:szCs w:val="18"/>
              </w:rPr>
              <w:t xml:space="preserve">Scope</w:t>
            </w:r>
          </w:p>
        </w:tc>
        <w:tc>
          <w:tcPr>
            <w:tcW w:type="dxa" w:w="1300"/>
            <w:shd w:fill="E8E8E8" w:color="auto" w:val="clear"/>
            <w:tcMar>
              <w:top w:type="dxa" w:w="60"/>
              <w:left w:type="dxa" w:w="90"/>
              <w:bottom w:type="dxa" w:w="60"/>
              <w:right w:type="dxa" w:w="90"/>
            </w:tcMar>
          </w:tcPr>
          <w:p>
            <w:pPr>
              <w:spacing w:after="0" w:line="240"/>
              <w:jc w:val="center"/>
            </w:pPr>
            <w:r>
              <w:rPr>
                <w:b/>
                <w:bCs/>
                <w:sz w:val="18"/>
                <w:szCs w:val="18"/>
              </w:rPr>
              <w:t xml:space="preserve">Scenario</w:t>
            </w:r>
          </w:p>
        </w:tc>
        <w:tc>
          <w:tcPr>
            <w:tcW w:type="dxa" w:w="1650"/>
            <w:shd w:fill="E8E8E8" w:color="auto" w:val="clear"/>
            <w:tcMar>
              <w:top w:type="dxa" w:w="60"/>
              <w:left w:type="dxa" w:w="90"/>
              <w:bottom w:type="dxa" w:w="60"/>
              <w:right w:type="dxa" w:w="90"/>
            </w:tcMar>
          </w:tcPr>
          <w:p>
            <w:pPr>
              <w:spacing w:after="0" w:line="240"/>
              <w:jc w:val="right"/>
            </w:pPr>
            <w:r>
              <w:rPr>
                <w:b/>
                <w:bCs/>
                <w:sz w:val="18"/>
                <w:szCs w:val="18"/>
              </w:rPr>
              <w:t xml:space="preserve">Mean Δ (MW)</w:t>
            </w:r>
          </w:p>
        </w:tc>
        <w:tc>
          <w:tcPr>
            <w:tcW w:type="dxa" w:w="1650"/>
            <w:shd w:fill="E8E8E8" w:color="auto" w:val="clear"/>
            <w:tcMar>
              <w:top w:type="dxa" w:w="60"/>
              <w:left w:type="dxa" w:w="90"/>
              <w:bottom w:type="dxa" w:w="60"/>
              <w:right w:type="dxa" w:w="90"/>
            </w:tcMar>
          </w:tcPr>
          <w:p>
            <w:pPr>
              <w:spacing w:after="0" w:line="240"/>
              <w:jc w:val="right"/>
            </w:pPr>
            <w:r>
              <w:rPr>
                <w:b/>
                <w:bCs/>
                <w:sz w:val="18"/>
                <w:szCs w:val="18"/>
              </w:rPr>
              <w:t xml:space="preserve">95% CI lower</w:t>
            </w:r>
          </w:p>
        </w:tc>
        <w:tc>
          <w:tcPr>
            <w:tcW w:type="dxa" w:w="1650"/>
            <w:shd w:fill="E8E8E8" w:color="auto" w:val="clear"/>
            <w:tcMar>
              <w:top w:type="dxa" w:w="60"/>
              <w:left w:type="dxa" w:w="90"/>
              <w:bottom w:type="dxa" w:w="60"/>
              <w:right w:type="dxa" w:w="90"/>
            </w:tcMar>
          </w:tcPr>
          <w:p>
            <w:pPr>
              <w:spacing w:after="0" w:line="240"/>
              <w:jc w:val="right"/>
            </w:pPr>
            <w:r>
              <w:rPr>
                <w:b/>
                <w:bCs/>
                <w:sz w:val="18"/>
                <w:szCs w:val="18"/>
              </w:rPr>
              <w:t xml:space="preserve">95% CI upper</w:t>
            </w:r>
          </w:p>
        </w:tc>
        <w:tc>
          <w:tcPr>
            <w:tcW w:type="dxa" w:w="1576"/>
            <w:shd w:fill="E8E8E8" w:color="auto" w:val="clear"/>
            <w:tcMar>
              <w:top w:type="dxa" w:w="60"/>
              <w:left w:type="dxa" w:w="90"/>
              <w:bottom w:type="dxa" w:w="60"/>
              <w:right w:type="dxa" w:w="90"/>
            </w:tcMar>
          </w:tcPr>
          <w:p>
            <w:pPr>
              <w:spacing w:after="0" w:line="240"/>
              <w:jc w:val="center"/>
            </w:pPr>
            <w:r>
              <w:rPr>
                <w:b/>
                <w:bCs/>
                <w:sz w:val="18"/>
                <w:szCs w:val="18"/>
              </w:rPr>
              <w:t xml:space="preserve">CI excludes 0?</w:t>
            </w:r>
          </w:p>
        </w:tc>
      </w:tr>
      <w:tr>
        <w:tc>
          <w:tcPr>
            <w:tcW w:type="dxa" w:w="1200"/>
            <w:tcMar>
              <w:top w:type="dxa" w:w="60"/>
              <w:left w:type="dxa" w:w="90"/>
              <w:bottom w:type="dxa" w:w="60"/>
              <w:right w:type="dxa" w:w="90"/>
            </w:tcMar>
          </w:tcPr>
          <w:p>
            <w:pPr>
              <w:spacing w:after="0" w:line="240"/>
              <w:jc w:val="left"/>
            </w:pPr>
            <w:r>
              <w:rPr>
                <w:b w:val="false"/>
                <w:bCs w:val="false"/>
                <w:sz w:val="18"/>
                <w:szCs w:val="18"/>
              </w:rPr>
              <w:t xml:space="preserve">Annual</w:t>
            </w:r>
          </w:p>
        </w:tc>
        <w:tc>
          <w:tcPr>
            <w:tcW w:type="dxa" w:w="1300"/>
            <w:tcMar>
              <w:top w:type="dxa" w:w="60"/>
              <w:left w:type="dxa" w:w="90"/>
              <w:bottom w:type="dxa" w:w="60"/>
              <w:right w:type="dxa" w:w="90"/>
            </w:tcMar>
          </w:tcPr>
          <w:p>
            <w:pPr>
              <w:spacing w:after="0" w:line="240"/>
              <w:jc w:val="center"/>
            </w:pPr>
            <w:r>
              <w:rPr>
                <w:b w:val="false"/>
                <w:bCs w:val="false"/>
                <w:sz w:val="18"/>
                <w:szCs w:val="18"/>
              </w:rPr>
              <w:t xml:space="preserve">+1 °C</w:t>
            </w:r>
          </w:p>
        </w:tc>
        <w:tc>
          <w:tcPr>
            <w:tcW w:type="dxa" w:w="1650"/>
            <w:tcMar>
              <w:top w:type="dxa" w:w="60"/>
              <w:left w:type="dxa" w:w="90"/>
              <w:bottom w:type="dxa" w:w="60"/>
              <w:right w:type="dxa" w:w="90"/>
            </w:tcMar>
          </w:tcPr>
          <w:p>
            <w:pPr>
              <w:spacing w:after="0" w:line="240"/>
              <w:jc w:val="right"/>
            </w:pPr>
            <w:r>
              <w:rPr>
                <w:b w:val="false"/>
                <w:bCs w:val="false"/>
                <w:sz w:val="18"/>
                <w:szCs w:val="18"/>
              </w:rPr>
              <w:t xml:space="preserve">+0.19</w:t>
            </w:r>
          </w:p>
        </w:tc>
        <w:tc>
          <w:tcPr>
            <w:tcW w:type="dxa" w:w="1650"/>
            <w:tcMar>
              <w:top w:type="dxa" w:w="60"/>
              <w:left w:type="dxa" w:w="90"/>
              <w:bottom w:type="dxa" w:w="60"/>
              <w:right w:type="dxa" w:w="90"/>
            </w:tcMar>
          </w:tcPr>
          <w:p>
            <w:pPr>
              <w:spacing w:after="0" w:line="240"/>
              <w:jc w:val="right"/>
            </w:pPr>
            <w:r>
              <w:rPr>
                <w:b w:val="false"/>
                <w:bCs w:val="false"/>
                <w:sz w:val="18"/>
                <w:szCs w:val="18"/>
              </w:rPr>
              <w:t xml:space="preserve">−49.77</w:t>
            </w:r>
          </w:p>
        </w:tc>
        <w:tc>
          <w:tcPr>
            <w:tcW w:type="dxa" w:w="1650"/>
            <w:tcMar>
              <w:top w:type="dxa" w:w="60"/>
              <w:left w:type="dxa" w:w="90"/>
              <w:bottom w:type="dxa" w:w="60"/>
              <w:right w:type="dxa" w:w="90"/>
            </w:tcMar>
          </w:tcPr>
          <w:p>
            <w:pPr>
              <w:spacing w:after="0" w:line="240"/>
              <w:jc w:val="right"/>
            </w:pPr>
            <w:r>
              <w:rPr>
                <w:b w:val="false"/>
                <w:bCs w:val="false"/>
                <w:sz w:val="18"/>
                <w:szCs w:val="18"/>
              </w:rPr>
              <w:t xml:space="preserve">+47.35</w:t>
            </w:r>
          </w:p>
        </w:tc>
        <w:tc>
          <w:tcPr>
            <w:tcW w:type="dxa" w:w="1576"/>
            <w:tcMar>
              <w:top w:type="dxa" w:w="60"/>
              <w:left w:type="dxa" w:w="90"/>
              <w:bottom w:type="dxa" w:w="60"/>
              <w:right w:type="dxa" w:w="90"/>
            </w:tcMar>
          </w:tcPr>
          <w:p>
            <w:pPr>
              <w:spacing w:after="0" w:line="240"/>
              <w:jc w:val="center"/>
            </w:pPr>
            <w:r>
              <w:rPr>
                <w:b w:val="false"/>
                <w:bCs w:val="false"/>
                <w:sz w:val="18"/>
                <w:szCs w:val="18"/>
              </w:rPr>
              <w:t xml:space="preserve">No</w:t>
            </w:r>
          </w:p>
        </w:tc>
      </w:tr>
      <w:tr>
        <w:tc>
          <w:tcPr>
            <w:tcW w:type="dxa" w:w="1200"/>
            <w:tcMar>
              <w:top w:type="dxa" w:w="60"/>
              <w:left w:type="dxa" w:w="90"/>
              <w:bottom w:type="dxa" w:w="60"/>
              <w:right w:type="dxa" w:w="90"/>
            </w:tcMar>
          </w:tcPr>
          <w:p>
            <w:pPr>
              <w:spacing w:after="0" w:line="240"/>
              <w:jc w:val="left"/>
            </w:pPr>
            <w:r>
              <w:rPr>
                <w:b w:val="false"/>
                <w:bCs w:val="false"/>
                <w:sz w:val="18"/>
                <w:szCs w:val="18"/>
              </w:rPr>
              <w:t xml:space="preserve">Annual</w:t>
            </w:r>
          </w:p>
        </w:tc>
        <w:tc>
          <w:tcPr>
            <w:tcW w:type="dxa" w:w="1300"/>
            <w:tcMar>
              <w:top w:type="dxa" w:w="60"/>
              <w:left w:type="dxa" w:w="90"/>
              <w:bottom w:type="dxa" w:w="60"/>
              <w:right w:type="dxa" w:w="90"/>
            </w:tcMar>
          </w:tcPr>
          <w:p>
            <w:pPr>
              <w:spacing w:after="0" w:line="240"/>
              <w:jc w:val="center"/>
            </w:pPr>
            <w:r>
              <w:rPr>
                <w:b w:val="false"/>
                <w:bCs w:val="false"/>
                <w:sz w:val="18"/>
                <w:szCs w:val="18"/>
              </w:rPr>
              <w:t xml:space="preserve">+2 °C</w:t>
            </w:r>
          </w:p>
        </w:tc>
        <w:tc>
          <w:tcPr>
            <w:tcW w:type="dxa" w:w="1650"/>
            <w:tcMar>
              <w:top w:type="dxa" w:w="60"/>
              <w:left w:type="dxa" w:w="90"/>
              <w:bottom w:type="dxa" w:w="60"/>
              <w:right w:type="dxa" w:w="90"/>
            </w:tcMar>
          </w:tcPr>
          <w:p>
            <w:pPr>
              <w:spacing w:after="0" w:line="240"/>
              <w:jc w:val="right"/>
            </w:pPr>
            <w:r>
              <w:rPr>
                <w:b w:val="false"/>
                <w:bCs w:val="false"/>
                <w:sz w:val="18"/>
                <w:szCs w:val="18"/>
              </w:rPr>
              <w:t xml:space="preserve">+10.72</w:t>
            </w:r>
          </w:p>
        </w:tc>
        <w:tc>
          <w:tcPr>
            <w:tcW w:type="dxa" w:w="1650"/>
            <w:tcMar>
              <w:top w:type="dxa" w:w="60"/>
              <w:left w:type="dxa" w:w="90"/>
              <w:bottom w:type="dxa" w:w="60"/>
              <w:right w:type="dxa" w:w="90"/>
            </w:tcMar>
          </w:tcPr>
          <w:p>
            <w:pPr>
              <w:spacing w:after="0" w:line="240"/>
              <w:jc w:val="right"/>
            </w:pPr>
            <w:r>
              <w:rPr>
                <w:b w:val="false"/>
                <w:bCs w:val="false"/>
                <w:sz w:val="18"/>
                <w:szCs w:val="18"/>
              </w:rPr>
              <w:t xml:space="preserve">−88.66</w:t>
            </w:r>
          </w:p>
        </w:tc>
        <w:tc>
          <w:tcPr>
            <w:tcW w:type="dxa" w:w="1650"/>
            <w:tcMar>
              <w:top w:type="dxa" w:w="60"/>
              <w:left w:type="dxa" w:w="90"/>
              <w:bottom w:type="dxa" w:w="60"/>
              <w:right w:type="dxa" w:w="90"/>
            </w:tcMar>
          </w:tcPr>
          <w:p>
            <w:pPr>
              <w:spacing w:after="0" w:line="240"/>
              <w:jc w:val="right"/>
            </w:pPr>
            <w:r>
              <w:rPr>
                <w:b w:val="false"/>
                <w:bCs w:val="false"/>
                <w:sz w:val="18"/>
                <w:szCs w:val="18"/>
              </w:rPr>
              <w:t xml:space="preserve">+104.34</w:t>
            </w:r>
          </w:p>
        </w:tc>
        <w:tc>
          <w:tcPr>
            <w:tcW w:type="dxa" w:w="1576"/>
            <w:tcMar>
              <w:top w:type="dxa" w:w="60"/>
              <w:left w:type="dxa" w:w="90"/>
              <w:bottom w:type="dxa" w:w="60"/>
              <w:right w:type="dxa" w:w="90"/>
            </w:tcMar>
          </w:tcPr>
          <w:p>
            <w:pPr>
              <w:spacing w:after="0" w:line="240"/>
              <w:jc w:val="center"/>
            </w:pPr>
            <w:r>
              <w:rPr>
                <w:b w:val="false"/>
                <w:bCs w:val="false"/>
                <w:sz w:val="18"/>
                <w:szCs w:val="18"/>
              </w:rPr>
              <w:t xml:space="preserve">No</w:t>
            </w:r>
          </w:p>
        </w:tc>
      </w:tr>
      <w:tr>
        <w:tc>
          <w:tcPr>
            <w:tcW w:type="dxa" w:w="1200"/>
            <w:tcMar>
              <w:top w:type="dxa" w:w="60"/>
              <w:left w:type="dxa" w:w="90"/>
              <w:bottom w:type="dxa" w:w="60"/>
              <w:right w:type="dxa" w:w="90"/>
            </w:tcMar>
          </w:tcPr>
          <w:p>
            <w:pPr>
              <w:spacing w:after="0" w:line="240"/>
              <w:jc w:val="left"/>
            </w:pPr>
            <w:r>
              <w:rPr>
                <w:b w:val="false"/>
                <w:bCs w:val="false"/>
                <w:sz w:val="18"/>
                <w:szCs w:val="18"/>
              </w:rPr>
              <w:t xml:space="preserve">Annual</w:t>
            </w:r>
          </w:p>
        </w:tc>
        <w:tc>
          <w:tcPr>
            <w:tcW w:type="dxa" w:w="1300"/>
            <w:tcMar>
              <w:top w:type="dxa" w:w="60"/>
              <w:left w:type="dxa" w:w="90"/>
              <w:bottom w:type="dxa" w:w="60"/>
              <w:right w:type="dxa" w:w="90"/>
            </w:tcMar>
          </w:tcPr>
          <w:p>
            <w:pPr>
              <w:spacing w:after="0" w:line="240"/>
              <w:jc w:val="center"/>
            </w:pPr>
            <w:r>
              <w:rPr>
                <w:b w:val="false"/>
                <w:bCs w:val="false"/>
                <w:sz w:val="18"/>
                <w:szCs w:val="18"/>
              </w:rPr>
              <w:t xml:space="preserve">+3 °C</w:t>
            </w:r>
          </w:p>
        </w:tc>
        <w:tc>
          <w:tcPr>
            <w:tcW w:type="dxa" w:w="1650"/>
            <w:tcMar>
              <w:top w:type="dxa" w:w="60"/>
              <w:left w:type="dxa" w:w="90"/>
              <w:bottom w:type="dxa" w:w="60"/>
              <w:right w:type="dxa" w:w="90"/>
            </w:tcMar>
          </w:tcPr>
          <w:p>
            <w:pPr>
              <w:spacing w:after="0" w:line="240"/>
              <w:jc w:val="right"/>
            </w:pPr>
            <w:r>
              <w:rPr>
                <w:b w:val="false"/>
                <w:bCs w:val="false"/>
                <w:sz w:val="18"/>
                <w:szCs w:val="18"/>
              </w:rPr>
              <w:t xml:space="preserve">+32.20</w:t>
            </w:r>
          </w:p>
        </w:tc>
        <w:tc>
          <w:tcPr>
            <w:tcW w:type="dxa" w:w="1650"/>
            <w:tcMar>
              <w:top w:type="dxa" w:w="60"/>
              <w:left w:type="dxa" w:w="90"/>
              <w:bottom w:type="dxa" w:w="60"/>
              <w:right w:type="dxa" w:w="90"/>
            </w:tcMar>
          </w:tcPr>
          <w:p>
            <w:pPr>
              <w:spacing w:after="0" w:line="240"/>
              <w:jc w:val="right"/>
            </w:pPr>
            <w:r>
              <w:rPr>
                <w:b w:val="false"/>
                <w:bCs w:val="false"/>
                <w:sz w:val="18"/>
                <w:szCs w:val="18"/>
              </w:rPr>
              <w:t xml:space="preserve">−116.06</w:t>
            </w:r>
          </w:p>
        </w:tc>
        <w:tc>
          <w:tcPr>
            <w:tcW w:type="dxa" w:w="1650"/>
            <w:tcMar>
              <w:top w:type="dxa" w:w="60"/>
              <w:left w:type="dxa" w:w="90"/>
              <w:bottom w:type="dxa" w:w="60"/>
              <w:right w:type="dxa" w:w="90"/>
            </w:tcMar>
          </w:tcPr>
          <w:p>
            <w:pPr>
              <w:spacing w:after="0" w:line="240"/>
              <w:jc w:val="right"/>
            </w:pPr>
            <w:r>
              <w:rPr>
                <w:b w:val="false"/>
                <w:bCs w:val="false"/>
                <w:sz w:val="18"/>
                <w:szCs w:val="18"/>
              </w:rPr>
              <w:t xml:space="preserve">+174.60</w:t>
            </w:r>
          </w:p>
        </w:tc>
        <w:tc>
          <w:tcPr>
            <w:tcW w:type="dxa" w:w="1576"/>
            <w:tcMar>
              <w:top w:type="dxa" w:w="60"/>
              <w:left w:type="dxa" w:w="90"/>
              <w:bottom w:type="dxa" w:w="60"/>
              <w:right w:type="dxa" w:w="90"/>
            </w:tcMar>
          </w:tcPr>
          <w:p>
            <w:pPr>
              <w:spacing w:after="0" w:line="240"/>
              <w:jc w:val="center"/>
            </w:pPr>
            <w:r>
              <w:rPr>
                <w:b w:val="false"/>
                <w:bCs w:val="false"/>
                <w:sz w:val="18"/>
                <w:szCs w:val="18"/>
              </w:rPr>
              <w:t xml:space="preserve">No</w:t>
            </w:r>
          </w:p>
        </w:tc>
      </w:tr>
      <w:tr>
        <w:tc>
          <w:tcPr>
            <w:tcW w:type="dxa" w:w="1200"/>
            <w:shd w:fill="F2F2F2" w:color="auto" w:val="clear"/>
            <w:tcMar>
              <w:top w:type="dxa" w:w="60"/>
              <w:left w:type="dxa" w:w="90"/>
              <w:bottom w:type="dxa" w:w="60"/>
              <w:right w:type="dxa" w:w="90"/>
            </w:tcMar>
          </w:tcPr>
          <w:p>
            <w:pPr>
              <w:spacing w:after="0" w:line="240"/>
              <w:jc w:val="left"/>
            </w:pPr>
            <w:r>
              <w:rPr>
                <w:b w:val="false"/>
                <w:bCs w:val="false"/>
                <w:sz w:val="18"/>
                <w:szCs w:val="18"/>
              </w:rPr>
              <w:t xml:space="preserve">Winter</w:t>
            </w:r>
          </w:p>
        </w:tc>
        <w:tc>
          <w:tcPr>
            <w:tcW w:type="dxa" w:w="1300"/>
            <w:shd w:fill="F2F2F2" w:color="auto" w:val="clear"/>
            <w:tcMar>
              <w:top w:type="dxa" w:w="60"/>
              <w:left w:type="dxa" w:w="90"/>
              <w:bottom w:type="dxa" w:w="60"/>
              <w:right w:type="dxa" w:w="90"/>
            </w:tcMar>
          </w:tcPr>
          <w:p>
            <w:pPr>
              <w:spacing w:after="0" w:line="240"/>
              <w:jc w:val="center"/>
            </w:pPr>
            <w:r>
              <w:rPr>
                <w:b w:val="false"/>
                <w:bCs w:val="false"/>
                <w:sz w:val="18"/>
                <w:szCs w:val="18"/>
              </w:rPr>
              <w:t xml:space="preserve">+1 °C</w:t>
            </w:r>
          </w:p>
        </w:tc>
        <w:tc>
          <w:tcPr>
            <w:tcW w:type="dxa" w:w="1650"/>
            <w:shd w:fill="F2F2F2" w:color="auto" w:val="clear"/>
            <w:tcMar>
              <w:top w:type="dxa" w:w="60"/>
              <w:left w:type="dxa" w:w="90"/>
              <w:bottom w:type="dxa" w:w="60"/>
              <w:right w:type="dxa" w:w="90"/>
            </w:tcMar>
          </w:tcPr>
          <w:p>
            <w:pPr>
              <w:spacing w:after="0" w:line="240"/>
              <w:jc w:val="right"/>
            </w:pPr>
            <w:r>
              <w:rPr>
                <w:b w:val="false"/>
                <w:bCs w:val="false"/>
                <w:sz w:val="18"/>
                <w:szCs w:val="18"/>
              </w:rPr>
              <w:t xml:space="preserve">−140.00</w:t>
            </w:r>
          </w:p>
        </w:tc>
        <w:tc>
          <w:tcPr>
            <w:tcW w:type="dxa" w:w="1650"/>
            <w:shd w:fill="F2F2F2" w:color="auto" w:val="clear"/>
            <w:tcMar>
              <w:top w:type="dxa" w:w="60"/>
              <w:left w:type="dxa" w:w="90"/>
              <w:bottom w:type="dxa" w:w="60"/>
              <w:right w:type="dxa" w:w="90"/>
            </w:tcMar>
          </w:tcPr>
          <w:p>
            <w:pPr>
              <w:spacing w:after="0" w:line="240"/>
              <w:jc w:val="right"/>
            </w:pPr>
            <w:r>
              <w:rPr>
                <w:b w:val="false"/>
                <w:bCs w:val="false"/>
                <w:sz w:val="18"/>
                <w:szCs w:val="18"/>
              </w:rPr>
              <w:t xml:space="preserve">−201.81</w:t>
            </w:r>
          </w:p>
        </w:tc>
        <w:tc>
          <w:tcPr>
            <w:tcW w:type="dxa" w:w="1650"/>
            <w:shd w:fill="F2F2F2" w:color="auto" w:val="clear"/>
            <w:tcMar>
              <w:top w:type="dxa" w:w="60"/>
              <w:left w:type="dxa" w:w="90"/>
              <w:bottom w:type="dxa" w:w="60"/>
              <w:right w:type="dxa" w:w="90"/>
            </w:tcMar>
          </w:tcPr>
          <w:p>
            <w:pPr>
              <w:spacing w:after="0" w:line="240"/>
              <w:jc w:val="right"/>
            </w:pPr>
            <w:r>
              <w:rPr>
                <w:b w:val="false"/>
                <w:bCs w:val="false"/>
                <w:sz w:val="18"/>
                <w:szCs w:val="18"/>
              </w:rPr>
              <w:t xml:space="preserve">−83.27</w:t>
            </w:r>
          </w:p>
        </w:tc>
        <w:tc>
          <w:tcPr>
            <w:tcW w:type="dxa" w:w="1576"/>
            <w:shd w:fill="F2F2F2" w:color="auto" w:val="clear"/>
            <w:tcMar>
              <w:top w:type="dxa" w:w="60"/>
              <w:left w:type="dxa" w:w="90"/>
              <w:bottom w:type="dxa" w:w="60"/>
              <w:right w:type="dxa" w:w="90"/>
            </w:tcMar>
          </w:tcPr>
          <w:p>
            <w:pPr>
              <w:spacing w:after="0" w:line="240"/>
              <w:jc w:val="center"/>
            </w:pPr>
            <w:r>
              <w:rPr>
                <w:b w:val="false"/>
                <w:bCs w:val="false"/>
                <w:sz w:val="18"/>
                <w:szCs w:val="18"/>
              </w:rPr>
              <w:t xml:space="preserve">Yes</w:t>
            </w:r>
          </w:p>
        </w:tc>
      </w:tr>
      <w:tr>
        <w:tc>
          <w:tcPr>
            <w:tcW w:type="dxa" w:w="1200"/>
            <w:shd w:fill="F2F2F2" w:color="auto" w:val="clear"/>
            <w:tcMar>
              <w:top w:type="dxa" w:w="60"/>
              <w:left w:type="dxa" w:w="90"/>
              <w:bottom w:type="dxa" w:w="60"/>
              <w:right w:type="dxa" w:w="90"/>
            </w:tcMar>
          </w:tcPr>
          <w:p>
            <w:pPr>
              <w:spacing w:after="0" w:line="240"/>
              <w:jc w:val="left"/>
            </w:pPr>
            <w:r>
              <w:rPr>
                <w:b w:val="false"/>
                <w:bCs w:val="false"/>
                <w:sz w:val="18"/>
                <w:szCs w:val="18"/>
              </w:rPr>
              <w:t xml:space="preserve">Winter</w:t>
            </w:r>
          </w:p>
        </w:tc>
        <w:tc>
          <w:tcPr>
            <w:tcW w:type="dxa" w:w="1300"/>
            <w:shd w:fill="F2F2F2" w:color="auto" w:val="clear"/>
            <w:tcMar>
              <w:top w:type="dxa" w:w="60"/>
              <w:left w:type="dxa" w:w="90"/>
              <w:bottom w:type="dxa" w:w="60"/>
              <w:right w:type="dxa" w:w="90"/>
            </w:tcMar>
          </w:tcPr>
          <w:p>
            <w:pPr>
              <w:spacing w:after="0" w:line="240"/>
              <w:jc w:val="center"/>
            </w:pPr>
            <w:r>
              <w:rPr>
                <w:b w:val="false"/>
                <w:bCs w:val="false"/>
                <w:sz w:val="18"/>
                <w:szCs w:val="18"/>
              </w:rPr>
              <w:t xml:space="preserve">+2 °C</w:t>
            </w:r>
          </w:p>
        </w:tc>
        <w:tc>
          <w:tcPr>
            <w:tcW w:type="dxa" w:w="1650"/>
            <w:shd w:fill="F2F2F2" w:color="auto" w:val="clear"/>
            <w:tcMar>
              <w:top w:type="dxa" w:w="60"/>
              <w:left w:type="dxa" w:w="90"/>
              <w:bottom w:type="dxa" w:w="60"/>
              <w:right w:type="dxa" w:w="90"/>
            </w:tcMar>
          </w:tcPr>
          <w:p>
            <w:pPr>
              <w:spacing w:after="0" w:line="240"/>
              <w:jc w:val="right"/>
            </w:pPr>
            <w:r>
              <w:rPr>
                <w:b w:val="false"/>
                <w:bCs w:val="false"/>
                <w:sz w:val="18"/>
                <w:szCs w:val="18"/>
              </w:rPr>
              <w:t xml:space="preserve">−275.73</w:t>
            </w:r>
          </w:p>
        </w:tc>
        <w:tc>
          <w:tcPr>
            <w:tcW w:type="dxa" w:w="1650"/>
            <w:shd w:fill="F2F2F2" w:color="auto" w:val="clear"/>
            <w:tcMar>
              <w:top w:type="dxa" w:w="60"/>
              <w:left w:type="dxa" w:w="90"/>
              <w:bottom w:type="dxa" w:w="60"/>
              <w:right w:type="dxa" w:w="90"/>
            </w:tcMar>
          </w:tcPr>
          <w:p>
            <w:pPr>
              <w:spacing w:after="0" w:line="240"/>
              <w:jc w:val="right"/>
            </w:pPr>
            <w:r>
              <w:rPr>
                <w:b w:val="false"/>
                <w:bCs w:val="false"/>
                <w:sz w:val="18"/>
                <w:szCs w:val="18"/>
              </w:rPr>
              <w:t xml:space="preserve">−398.75</w:t>
            </w:r>
          </w:p>
        </w:tc>
        <w:tc>
          <w:tcPr>
            <w:tcW w:type="dxa" w:w="1650"/>
            <w:shd w:fill="F2F2F2" w:color="auto" w:val="clear"/>
            <w:tcMar>
              <w:top w:type="dxa" w:w="60"/>
              <w:left w:type="dxa" w:w="90"/>
              <w:bottom w:type="dxa" w:w="60"/>
              <w:right w:type="dxa" w:w="90"/>
            </w:tcMar>
          </w:tcPr>
          <w:p>
            <w:pPr>
              <w:spacing w:after="0" w:line="240"/>
              <w:jc w:val="right"/>
            </w:pPr>
            <w:r>
              <w:rPr>
                <w:b w:val="false"/>
                <w:bCs w:val="false"/>
                <w:sz w:val="18"/>
                <w:szCs w:val="18"/>
              </w:rPr>
              <w:t xml:space="preserve">−162.99</w:t>
            </w:r>
          </w:p>
        </w:tc>
        <w:tc>
          <w:tcPr>
            <w:tcW w:type="dxa" w:w="1576"/>
            <w:shd w:fill="F2F2F2" w:color="auto" w:val="clear"/>
            <w:tcMar>
              <w:top w:type="dxa" w:w="60"/>
              <w:left w:type="dxa" w:w="90"/>
              <w:bottom w:type="dxa" w:w="60"/>
              <w:right w:type="dxa" w:w="90"/>
            </w:tcMar>
          </w:tcPr>
          <w:p>
            <w:pPr>
              <w:spacing w:after="0" w:line="240"/>
              <w:jc w:val="center"/>
            </w:pPr>
            <w:r>
              <w:rPr>
                <w:b w:val="false"/>
                <w:bCs w:val="false"/>
                <w:sz w:val="18"/>
                <w:szCs w:val="18"/>
              </w:rPr>
              <w:t xml:space="preserve">Yes</w:t>
            </w:r>
          </w:p>
        </w:tc>
      </w:tr>
      <w:tr>
        <w:tc>
          <w:tcPr>
            <w:tcW w:type="dxa" w:w="1200"/>
            <w:shd w:fill="F2F2F2" w:color="auto" w:val="clear"/>
            <w:tcMar>
              <w:top w:type="dxa" w:w="60"/>
              <w:left w:type="dxa" w:w="90"/>
              <w:bottom w:type="dxa" w:w="60"/>
              <w:right w:type="dxa" w:w="90"/>
            </w:tcMar>
          </w:tcPr>
          <w:p>
            <w:pPr>
              <w:spacing w:after="0" w:line="240"/>
              <w:jc w:val="left"/>
            </w:pPr>
            <w:r>
              <w:rPr>
                <w:b w:val="false"/>
                <w:bCs w:val="false"/>
                <w:sz w:val="18"/>
                <w:szCs w:val="18"/>
              </w:rPr>
              <w:t xml:space="preserve">Winter</w:t>
            </w:r>
          </w:p>
        </w:tc>
        <w:tc>
          <w:tcPr>
            <w:tcW w:type="dxa" w:w="1300"/>
            <w:shd w:fill="F2F2F2" w:color="auto" w:val="clear"/>
            <w:tcMar>
              <w:top w:type="dxa" w:w="60"/>
              <w:left w:type="dxa" w:w="90"/>
              <w:bottom w:type="dxa" w:w="60"/>
              <w:right w:type="dxa" w:w="90"/>
            </w:tcMar>
          </w:tcPr>
          <w:p>
            <w:pPr>
              <w:spacing w:after="0" w:line="240"/>
              <w:jc w:val="center"/>
            </w:pPr>
            <w:r>
              <w:rPr>
                <w:b w:val="false"/>
                <w:bCs w:val="false"/>
                <w:sz w:val="18"/>
                <w:szCs w:val="18"/>
              </w:rPr>
              <w:t xml:space="preserve">+3 °C</w:t>
            </w:r>
          </w:p>
        </w:tc>
        <w:tc>
          <w:tcPr>
            <w:tcW w:type="dxa" w:w="1650"/>
            <w:shd w:fill="F2F2F2" w:color="auto" w:val="clear"/>
            <w:tcMar>
              <w:top w:type="dxa" w:w="60"/>
              <w:left w:type="dxa" w:w="90"/>
              <w:bottom w:type="dxa" w:w="60"/>
              <w:right w:type="dxa" w:w="90"/>
            </w:tcMar>
          </w:tcPr>
          <w:p>
            <w:pPr>
              <w:spacing w:after="0" w:line="240"/>
              <w:jc w:val="right"/>
            </w:pPr>
            <w:r>
              <w:rPr>
                <w:b w:val="false"/>
                <w:bCs w:val="false"/>
                <w:sz w:val="18"/>
                <w:szCs w:val="18"/>
              </w:rPr>
              <w:t xml:space="preserve">−404.48</w:t>
            </w:r>
          </w:p>
        </w:tc>
        <w:tc>
          <w:tcPr>
            <w:tcW w:type="dxa" w:w="1650"/>
            <w:shd w:fill="F2F2F2" w:color="auto" w:val="clear"/>
            <w:tcMar>
              <w:top w:type="dxa" w:w="60"/>
              <w:left w:type="dxa" w:w="90"/>
              <w:bottom w:type="dxa" w:w="60"/>
              <w:right w:type="dxa" w:w="90"/>
            </w:tcMar>
          </w:tcPr>
          <w:p>
            <w:pPr>
              <w:spacing w:after="0" w:line="240"/>
              <w:jc w:val="right"/>
            </w:pPr>
            <w:r>
              <w:rPr>
                <w:b w:val="false"/>
                <w:bCs w:val="false"/>
                <w:sz w:val="18"/>
                <w:szCs w:val="18"/>
              </w:rPr>
              <w:t xml:space="preserve">−587.75</w:t>
            </w:r>
          </w:p>
        </w:tc>
        <w:tc>
          <w:tcPr>
            <w:tcW w:type="dxa" w:w="1650"/>
            <w:shd w:fill="F2F2F2" w:color="auto" w:val="clear"/>
            <w:tcMar>
              <w:top w:type="dxa" w:w="60"/>
              <w:left w:type="dxa" w:w="90"/>
              <w:bottom w:type="dxa" w:w="60"/>
              <w:right w:type="dxa" w:w="90"/>
            </w:tcMar>
          </w:tcPr>
          <w:p>
            <w:pPr>
              <w:spacing w:after="0" w:line="240"/>
              <w:jc w:val="right"/>
            </w:pPr>
            <w:r>
              <w:rPr>
                <w:b w:val="false"/>
                <w:bCs w:val="false"/>
                <w:sz w:val="18"/>
                <w:szCs w:val="18"/>
              </w:rPr>
              <w:t xml:space="preserve">−236.83</w:t>
            </w:r>
          </w:p>
        </w:tc>
        <w:tc>
          <w:tcPr>
            <w:tcW w:type="dxa" w:w="1576"/>
            <w:shd w:fill="F2F2F2" w:color="auto" w:val="clear"/>
            <w:tcMar>
              <w:top w:type="dxa" w:w="60"/>
              <w:left w:type="dxa" w:w="90"/>
              <w:bottom w:type="dxa" w:w="60"/>
              <w:right w:type="dxa" w:w="90"/>
            </w:tcMar>
          </w:tcPr>
          <w:p>
            <w:pPr>
              <w:spacing w:after="0" w:line="240"/>
              <w:jc w:val="center"/>
            </w:pPr>
            <w:r>
              <w:rPr>
                <w:b w:val="false"/>
                <w:bCs w:val="false"/>
                <w:sz w:val="18"/>
                <w:szCs w:val="18"/>
              </w:rPr>
              <w:t xml:space="preserve">Yes</w:t>
            </w:r>
          </w:p>
        </w:tc>
      </w:tr>
      <w:tr>
        <w:tc>
          <w:tcPr>
            <w:tcW w:type="dxa" w:w="1200"/>
            <w:tcMar>
              <w:top w:type="dxa" w:w="60"/>
              <w:left w:type="dxa" w:w="90"/>
              <w:bottom w:type="dxa" w:w="60"/>
              <w:right w:type="dxa" w:w="90"/>
            </w:tcMar>
          </w:tcPr>
          <w:p>
            <w:pPr>
              <w:spacing w:after="0" w:line="240"/>
              <w:jc w:val="left"/>
            </w:pPr>
            <w:r>
              <w:rPr>
                <w:b w:val="false"/>
                <w:bCs w:val="false"/>
                <w:sz w:val="18"/>
                <w:szCs w:val="18"/>
              </w:rPr>
              <w:t xml:space="preserve">Spring</w:t>
            </w:r>
          </w:p>
        </w:tc>
        <w:tc>
          <w:tcPr>
            <w:tcW w:type="dxa" w:w="1300"/>
            <w:tcMar>
              <w:top w:type="dxa" w:w="60"/>
              <w:left w:type="dxa" w:w="90"/>
              <w:bottom w:type="dxa" w:w="60"/>
              <w:right w:type="dxa" w:w="90"/>
            </w:tcMar>
          </w:tcPr>
          <w:p>
            <w:pPr>
              <w:spacing w:after="0" w:line="240"/>
              <w:jc w:val="center"/>
            </w:pPr>
            <w:r>
              <w:rPr>
                <w:b w:val="false"/>
                <w:bCs w:val="false"/>
                <w:sz w:val="18"/>
                <w:szCs w:val="18"/>
              </w:rPr>
              <w:t xml:space="preserve">+1 °C</w:t>
            </w:r>
          </w:p>
        </w:tc>
        <w:tc>
          <w:tcPr>
            <w:tcW w:type="dxa" w:w="1650"/>
            <w:tcMar>
              <w:top w:type="dxa" w:w="60"/>
              <w:left w:type="dxa" w:w="90"/>
              <w:bottom w:type="dxa" w:w="60"/>
              <w:right w:type="dxa" w:w="90"/>
            </w:tcMar>
          </w:tcPr>
          <w:p>
            <w:pPr>
              <w:spacing w:after="0" w:line="240"/>
              <w:jc w:val="right"/>
            </w:pPr>
            <w:r>
              <w:rPr>
                <w:b w:val="false"/>
                <w:bCs w:val="false"/>
                <w:sz w:val="18"/>
                <w:szCs w:val="18"/>
              </w:rPr>
              <w:t xml:space="preserve">−47.44</w:t>
            </w:r>
          </w:p>
        </w:tc>
        <w:tc>
          <w:tcPr>
            <w:tcW w:type="dxa" w:w="1650"/>
            <w:tcMar>
              <w:top w:type="dxa" w:w="60"/>
              <w:left w:type="dxa" w:w="90"/>
              <w:bottom w:type="dxa" w:w="60"/>
              <w:right w:type="dxa" w:w="90"/>
            </w:tcMar>
          </w:tcPr>
          <w:p>
            <w:pPr>
              <w:spacing w:after="0" w:line="240"/>
              <w:jc w:val="right"/>
            </w:pPr>
            <w:r>
              <w:rPr>
                <w:b w:val="false"/>
                <w:bCs w:val="false"/>
                <w:sz w:val="18"/>
                <w:szCs w:val="18"/>
              </w:rPr>
              <w:t xml:space="preserve">−101.16</w:t>
            </w:r>
          </w:p>
        </w:tc>
        <w:tc>
          <w:tcPr>
            <w:tcW w:type="dxa" w:w="1650"/>
            <w:tcMar>
              <w:top w:type="dxa" w:w="60"/>
              <w:left w:type="dxa" w:w="90"/>
              <w:bottom w:type="dxa" w:w="60"/>
              <w:right w:type="dxa" w:w="90"/>
            </w:tcMar>
          </w:tcPr>
          <w:p>
            <w:pPr>
              <w:spacing w:after="0" w:line="240"/>
              <w:jc w:val="right"/>
            </w:pPr>
            <w:r>
              <w:rPr>
                <w:b w:val="false"/>
                <w:bCs w:val="false"/>
                <w:sz w:val="18"/>
                <w:szCs w:val="18"/>
              </w:rPr>
              <w:t xml:space="preserve">+3.22</w:t>
            </w:r>
          </w:p>
        </w:tc>
        <w:tc>
          <w:tcPr>
            <w:tcW w:type="dxa" w:w="1576"/>
            <w:tcMar>
              <w:top w:type="dxa" w:w="60"/>
              <w:left w:type="dxa" w:w="90"/>
              <w:bottom w:type="dxa" w:w="60"/>
              <w:right w:type="dxa" w:w="90"/>
            </w:tcMar>
          </w:tcPr>
          <w:p>
            <w:pPr>
              <w:spacing w:after="0" w:line="240"/>
              <w:jc w:val="center"/>
            </w:pPr>
            <w:r>
              <w:rPr>
                <w:b w:val="false"/>
                <w:bCs w:val="false"/>
                <w:sz w:val="18"/>
                <w:szCs w:val="18"/>
              </w:rPr>
              <w:t xml:space="preserve">No</w:t>
            </w:r>
          </w:p>
        </w:tc>
      </w:tr>
      <w:tr>
        <w:tc>
          <w:tcPr>
            <w:tcW w:type="dxa" w:w="1200"/>
            <w:tcMar>
              <w:top w:type="dxa" w:w="60"/>
              <w:left w:type="dxa" w:w="90"/>
              <w:bottom w:type="dxa" w:w="60"/>
              <w:right w:type="dxa" w:w="90"/>
            </w:tcMar>
          </w:tcPr>
          <w:p>
            <w:pPr>
              <w:spacing w:after="0" w:line="240"/>
              <w:jc w:val="left"/>
            </w:pPr>
            <w:r>
              <w:rPr>
                <w:b w:val="false"/>
                <w:bCs w:val="false"/>
                <w:sz w:val="18"/>
                <w:szCs w:val="18"/>
              </w:rPr>
              <w:t xml:space="preserve">Spring</w:t>
            </w:r>
          </w:p>
        </w:tc>
        <w:tc>
          <w:tcPr>
            <w:tcW w:type="dxa" w:w="1300"/>
            <w:tcMar>
              <w:top w:type="dxa" w:w="60"/>
              <w:left w:type="dxa" w:w="90"/>
              <w:bottom w:type="dxa" w:w="60"/>
              <w:right w:type="dxa" w:w="90"/>
            </w:tcMar>
          </w:tcPr>
          <w:p>
            <w:pPr>
              <w:spacing w:after="0" w:line="240"/>
              <w:jc w:val="center"/>
            </w:pPr>
            <w:r>
              <w:rPr>
                <w:b w:val="false"/>
                <w:bCs w:val="false"/>
                <w:sz w:val="18"/>
                <w:szCs w:val="18"/>
              </w:rPr>
              <w:t xml:space="preserve">+2 °C</w:t>
            </w:r>
          </w:p>
        </w:tc>
        <w:tc>
          <w:tcPr>
            <w:tcW w:type="dxa" w:w="1650"/>
            <w:tcMar>
              <w:top w:type="dxa" w:w="60"/>
              <w:left w:type="dxa" w:w="90"/>
              <w:bottom w:type="dxa" w:w="60"/>
              <w:right w:type="dxa" w:w="90"/>
            </w:tcMar>
          </w:tcPr>
          <w:p>
            <w:pPr>
              <w:spacing w:after="0" w:line="240"/>
              <w:jc w:val="right"/>
            </w:pPr>
            <w:r>
              <w:rPr>
                <w:b w:val="false"/>
                <w:bCs w:val="false"/>
                <w:sz w:val="18"/>
                <w:szCs w:val="18"/>
              </w:rPr>
              <w:t xml:space="preserve">−78.11</w:t>
            </w:r>
          </w:p>
        </w:tc>
        <w:tc>
          <w:tcPr>
            <w:tcW w:type="dxa" w:w="1650"/>
            <w:tcMar>
              <w:top w:type="dxa" w:w="60"/>
              <w:left w:type="dxa" w:w="90"/>
              <w:bottom w:type="dxa" w:w="60"/>
              <w:right w:type="dxa" w:w="90"/>
            </w:tcMar>
          </w:tcPr>
          <w:p>
            <w:pPr>
              <w:spacing w:after="0" w:line="240"/>
              <w:jc w:val="right"/>
            </w:pPr>
            <w:r>
              <w:rPr>
                <w:b w:val="false"/>
                <w:bCs w:val="false"/>
                <w:sz w:val="18"/>
                <w:szCs w:val="18"/>
              </w:rPr>
              <w:t xml:space="preserve">−185.49</w:t>
            </w:r>
          </w:p>
        </w:tc>
        <w:tc>
          <w:tcPr>
            <w:tcW w:type="dxa" w:w="1650"/>
            <w:tcMar>
              <w:top w:type="dxa" w:w="60"/>
              <w:left w:type="dxa" w:w="90"/>
              <w:bottom w:type="dxa" w:w="60"/>
              <w:right w:type="dxa" w:w="90"/>
            </w:tcMar>
          </w:tcPr>
          <w:p>
            <w:pPr>
              <w:spacing w:after="0" w:line="240"/>
              <w:jc w:val="right"/>
            </w:pPr>
            <w:r>
              <w:rPr>
                <w:b w:val="false"/>
                <w:bCs w:val="false"/>
                <w:sz w:val="18"/>
                <w:szCs w:val="18"/>
              </w:rPr>
              <w:t xml:space="preserve">+22.91</w:t>
            </w:r>
          </w:p>
        </w:tc>
        <w:tc>
          <w:tcPr>
            <w:tcW w:type="dxa" w:w="1576"/>
            <w:tcMar>
              <w:top w:type="dxa" w:w="60"/>
              <w:left w:type="dxa" w:w="90"/>
              <w:bottom w:type="dxa" w:w="60"/>
              <w:right w:type="dxa" w:w="90"/>
            </w:tcMar>
          </w:tcPr>
          <w:p>
            <w:pPr>
              <w:spacing w:after="0" w:line="240"/>
              <w:jc w:val="center"/>
            </w:pPr>
            <w:r>
              <w:rPr>
                <w:b w:val="false"/>
                <w:bCs w:val="false"/>
                <w:sz w:val="18"/>
                <w:szCs w:val="18"/>
              </w:rPr>
              <w:t xml:space="preserve">No</w:t>
            </w:r>
          </w:p>
        </w:tc>
      </w:tr>
      <w:tr>
        <w:tc>
          <w:tcPr>
            <w:tcW w:type="dxa" w:w="1200"/>
            <w:tcMar>
              <w:top w:type="dxa" w:w="60"/>
              <w:left w:type="dxa" w:w="90"/>
              <w:bottom w:type="dxa" w:w="60"/>
              <w:right w:type="dxa" w:w="90"/>
            </w:tcMar>
          </w:tcPr>
          <w:p>
            <w:pPr>
              <w:spacing w:after="0" w:line="240"/>
              <w:jc w:val="left"/>
            </w:pPr>
            <w:r>
              <w:rPr>
                <w:b w:val="false"/>
                <w:bCs w:val="false"/>
                <w:sz w:val="18"/>
                <w:szCs w:val="18"/>
              </w:rPr>
              <w:t xml:space="preserve">Spring</w:t>
            </w:r>
          </w:p>
        </w:tc>
        <w:tc>
          <w:tcPr>
            <w:tcW w:type="dxa" w:w="1300"/>
            <w:tcMar>
              <w:top w:type="dxa" w:w="60"/>
              <w:left w:type="dxa" w:w="90"/>
              <w:bottom w:type="dxa" w:w="60"/>
              <w:right w:type="dxa" w:w="90"/>
            </w:tcMar>
          </w:tcPr>
          <w:p>
            <w:pPr>
              <w:spacing w:after="0" w:line="240"/>
              <w:jc w:val="center"/>
            </w:pPr>
            <w:r>
              <w:rPr>
                <w:b w:val="false"/>
                <w:bCs w:val="false"/>
                <w:sz w:val="18"/>
                <w:szCs w:val="18"/>
              </w:rPr>
              <w:t xml:space="preserve">+3 °C</w:t>
            </w:r>
          </w:p>
        </w:tc>
        <w:tc>
          <w:tcPr>
            <w:tcW w:type="dxa" w:w="1650"/>
            <w:tcMar>
              <w:top w:type="dxa" w:w="60"/>
              <w:left w:type="dxa" w:w="90"/>
              <w:bottom w:type="dxa" w:w="60"/>
              <w:right w:type="dxa" w:w="90"/>
            </w:tcMar>
          </w:tcPr>
          <w:p>
            <w:pPr>
              <w:spacing w:after="0" w:line="240"/>
              <w:jc w:val="right"/>
            </w:pPr>
            <w:r>
              <w:rPr>
                <w:b w:val="false"/>
                <w:bCs w:val="false"/>
                <w:sz w:val="18"/>
                <w:szCs w:val="18"/>
              </w:rPr>
              <w:t xml:space="preserve">−90.82</w:t>
            </w:r>
          </w:p>
        </w:tc>
        <w:tc>
          <w:tcPr>
            <w:tcW w:type="dxa" w:w="1650"/>
            <w:tcMar>
              <w:top w:type="dxa" w:w="60"/>
              <w:left w:type="dxa" w:w="90"/>
              <w:bottom w:type="dxa" w:w="60"/>
              <w:right w:type="dxa" w:w="90"/>
            </w:tcMar>
          </w:tcPr>
          <w:p>
            <w:pPr>
              <w:spacing w:after="0" w:line="240"/>
              <w:jc w:val="right"/>
            </w:pPr>
            <w:r>
              <w:rPr>
                <w:b w:val="false"/>
                <w:bCs w:val="false"/>
                <w:sz w:val="18"/>
                <w:szCs w:val="18"/>
              </w:rPr>
              <w:t xml:space="preserve">−250.45</w:t>
            </w:r>
          </w:p>
        </w:tc>
        <w:tc>
          <w:tcPr>
            <w:tcW w:type="dxa" w:w="1650"/>
            <w:tcMar>
              <w:top w:type="dxa" w:w="60"/>
              <w:left w:type="dxa" w:w="90"/>
              <w:bottom w:type="dxa" w:w="60"/>
              <w:right w:type="dxa" w:w="90"/>
            </w:tcMar>
          </w:tcPr>
          <w:p>
            <w:pPr>
              <w:spacing w:after="0" w:line="240"/>
              <w:jc w:val="right"/>
            </w:pPr>
            <w:r>
              <w:rPr>
                <w:b w:val="false"/>
                <w:bCs w:val="false"/>
                <w:sz w:val="18"/>
                <w:szCs w:val="18"/>
              </w:rPr>
              <w:t xml:space="preserve">+60.13</w:t>
            </w:r>
          </w:p>
        </w:tc>
        <w:tc>
          <w:tcPr>
            <w:tcW w:type="dxa" w:w="1576"/>
            <w:tcMar>
              <w:top w:type="dxa" w:w="60"/>
              <w:left w:type="dxa" w:w="90"/>
              <w:bottom w:type="dxa" w:w="60"/>
              <w:right w:type="dxa" w:w="90"/>
            </w:tcMar>
          </w:tcPr>
          <w:p>
            <w:pPr>
              <w:spacing w:after="0" w:line="240"/>
              <w:jc w:val="center"/>
            </w:pPr>
            <w:r>
              <w:rPr>
                <w:b w:val="false"/>
                <w:bCs w:val="false"/>
                <w:sz w:val="18"/>
                <w:szCs w:val="18"/>
              </w:rPr>
              <w:t xml:space="preserve">No</w:t>
            </w:r>
          </w:p>
        </w:tc>
      </w:tr>
      <w:tr>
        <w:tc>
          <w:tcPr>
            <w:tcW w:type="dxa" w:w="1200"/>
            <w:shd w:fill="F2F2F2" w:color="auto" w:val="clear"/>
            <w:tcMar>
              <w:top w:type="dxa" w:w="60"/>
              <w:left w:type="dxa" w:w="90"/>
              <w:bottom w:type="dxa" w:w="60"/>
              <w:right w:type="dxa" w:w="90"/>
            </w:tcMar>
          </w:tcPr>
          <w:p>
            <w:pPr>
              <w:spacing w:after="0" w:line="240"/>
              <w:jc w:val="left"/>
            </w:pPr>
            <w:r>
              <w:rPr>
                <w:b w:val="false"/>
                <w:bCs w:val="false"/>
                <w:sz w:val="18"/>
                <w:szCs w:val="18"/>
              </w:rPr>
              <w:t xml:space="preserve">Summer</w:t>
            </w:r>
          </w:p>
        </w:tc>
        <w:tc>
          <w:tcPr>
            <w:tcW w:type="dxa" w:w="1300"/>
            <w:shd w:fill="F2F2F2" w:color="auto" w:val="clear"/>
            <w:tcMar>
              <w:top w:type="dxa" w:w="60"/>
              <w:left w:type="dxa" w:w="90"/>
              <w:bottom w:type="dxa" w:w="60"/>
              <w:right w:type="dxa" w:w="90"/>
            </w:tcMar>
          </w:tcPr>
          <w:p>
            <w:pPr>
              <w:spacing w:after="0" w:line="240"/>
              <w:jc w:val="center"/>
            </w:pPr>
            <w:r>
              <w:rPr>
                <w:b w:val="false"/>
                <w:bCs w:val="false"/>
                <w:sz w:val="18"/>
                <w:szCs w:val="18"/>
              </w:rPr>
              <w:t xml:space="preserve">+1 °C</w:t>
            </w:r>
          </w:p>
        </w:tc>
        <w:tc>
          <w:tcPr>
            <w:tcW w:type="dxa" w:w="1650"/>
            <w:shd w:fill="F2F2F2" w:color="auto" w:val="clear"/>
            <w:tcMar>
              <w:top w:type="dxa" w:w="60"/>
              <w:left w:type="dxa" w:w="90"/>
              <w:bottom w:type="dxa" w:w="60"/>
              <w:right w:type="dxa" w:w="90"/>
            </w:tcMar>
          </w:tcPr>
          <w:p>
            <w:pPr>
              <w:spacing w:after="0" w:line="240"/>
              <w:jc w:val="right"/>
            </w:pPr>
            <w:r>
              <w:rPr>
                <w:b w:val="false"/>
                <w:bCs w:val="false"/>
                <w:sz w:val="18"/>
                <w:szCs w:val="18"/>
              </w:rPr>
              <w:t xml:space="preserve">+165.79</w:t>
            </w:r>
          </w:p>
        </w:tc>
        <w:tc>
          <w:tcPr>
            <w:tcW w:type="dxa" w:w="1650"/>
            <w:shd w:fill="F2F2F2" w:color="auto" w:val="clear"/>
            <w:tcMar>
              <w:top w:type="dxa" w:w="60"/>
              <w:left w:type="dxa" w:w="90"/>
              <w:bottom w:type="dxa" w:w="60"/>
              <w:right w:type="dxa" w:w="90"/>
            </w:tcMar>
          </w:tcPr>
          <w:p>
            <w:pPr>
              <w:spacing w:after="0" w:line="240"/>
              <w:jc w:val="right"/>
            </w:pPr>
            <w:r>
              <w:rPr>
                <w:b w:val="false"/>
                <w:bCs w:val="false"/>
                <w:sz w:val="18"/>
                <w:szCs w:val="18"/>
              </w:rPr>
              <w:t xml:space="preserve">+111.10</w:t>
            </w:r>
          </w:p>
        </w:tc>
        <w:tc>
          <w:tcPr>
            <w:tcW w:type="dxa" w:w="1650"/>
            <w:shd w:fill="F2F2F2" w:color="auto" w:val="clear"/>
            <w:tcMar>
              <w:top w:type="dxa" w:w="60"/>
              <w:left w:type="dxa" w:w="90"/>
              <w:bottom w:type="dxa" w:w="60"/>
              <w:right w:type="dxa" w:w="90"/>
            </w:tcMar>
          </w:tcPr>
          <w:p>
            <w:pPr>
              <w:spacing w:after="0" w:line="240"/>
              <w:jc w:val="right"/>
            </w:pPr>
            <w:r>
              <w:rPr>
                <w:b w:val="false"/>
                <w:bCs w:val="false"/>
                <w:sz w:val="18"/>
                <w:szCs w:val="18"/>
              </w:rPr>
              <w:t xml:space="preserve">+216.14</w:t>
            </w:r>
          </w:p>
        </w:tc>
        <w:tc>
          <w:tcPr>
            <w:tcW w:type="dxa" w:w="1576"/>
            <w:shd w:fill="F2F2F2" w:color="auto" w:val="clear"/>
            <w:tcMar>
              <w:top w:type="dxa" w:w="60"/>
              <w:left w:type="dxa" w:w="90"/>
              <w:bottom w:type="dxa" w:w="60"/>
              <w:right w:type="dxa" w:w="90"/>
            </w:tcMar>
          </w:tcPr>
          <w:p>
            <w:pPr>
              <w:spacing w:after="0" w:line="240"/>
              <w:jc w:val="center"/>
            </w:pPr>
            <w:r>
              <w:rPr>
                <w:b w:val="false"/>
                <w:bCs w:val="false"/>
                <w:sz w:val="18"/>
                <w:szCs w:val="18"/>
              </w:rPr>
              <w:t xml:space="preserve">Yes</w:t>
            </w:r>
          </w:p>
        </w:tc>
      </w:tr>
      <w:tr>
        <w:tc>
          <w:tcPr>
            <w:tcW w:type="dxa" w:w="1200"/>
            <w:shd w:fill="F2F2F2" w:color="auto" w:val="clear"/>
            <w:tcMar>
              <w:top w:type="dxa" w:w="60"/>
              <w:left w:type="dxa" w:w="90"/>
              <w:bottom w:type="dxa" w:w="60"/>
              <w:right w:type="dxa" w:w="90"/>
            </w:tcMar>
          </w:tcPr>
          <w:p>
            <w:pPr>
              <w:spacing w:after="0" w:line="240"/>
              <w:jc w:val="left"/>
            </w:pPr>
            <w:r>
              <w:rPr>
                <w:b w:val="false"/>
                <w:bCs w:val="false"/>
                <w:sz w:val="18"/>
                <w:szCs w:val="18"/>
              </w:rPr>
              <w:t xml:space="preserve">Summer</w:t>
            </w:r>
          </w:p>
        </w:tc>
        <w:tc>
          <w:tcPr>
            <w:tcW w:type="dxa" w:w="1300"/>
            <w:shd w:fill="F2F2F2" w:color="auto" w:val="clear"/>
            <w:tcMar>
              <w:top w:type="dxa" w:w="60"/>
              <w:left w:type="dxa" w:w="90"/>
              <w:bottom w:type="dxa" w:w="60"/>
              <w:right w:type="dxa" w:w="90"/>
            </w:tcMar>
          </w:tcPr>
          <w:p>
            <w:pPr>
              <w:spacing w:after="0" w:line="240"/>
              <w:jc w:val="center"/>
            </w:pPr>
            <w:r>
              <w:rPr>
                <w:b w:val="false"/>
                <w:bCs w:val="false"/>
                <w:sz w:val="18"/>
                <w:szCs w:val="18"/>
              </w:rPr>
              <w:t xml:space="preserve">+2 °C</w:t>
            </w:r>
          </w:p>
        </w:tc>
        <w:tc>
          <w:tcPr>
            <w:tcW w:type="dxa" w:w="1650"/>
            <w:shd w:fill="F2F2F2" w:color="auto" w:val="clear"/>
            <w:tcMar>
              <w:top w:type="dxa" w:w="60"/>
              <w:left w:type="dxa" w:w="90"/>
              <w:bottom w:type="dxa" w:w="60"/>
              <w:right w:type="dxa" w:w="90"/>
            </w:tcMar>
          </w:tcPr>
          <w:p>
            <w:pPr>
              <w:spacing w:after="0" w:line="240"/>
              <w:jc w:val="right"/>
            </w:pPr>
            <w:r>
              <w:rPr>
                <w:b w:val="false"/>
                <w:bCs w:val="false"/>
                <w:sz w:val="18"/>
                <w:szCs w:val="18"/>
              </w:rPr>
              <w:t xml:space="preserve">+336.87</w:t>
            </w:r>
          </w:p>
        </w:tc>
        <w:tc>
          <w:tcPr>
            <w:tcW w:type="dxa" w:w="1650"/>
            <w:shd w:fill="F2F2F2" w:color="auto" w:val="clear"/>
            <w:tcMar>
              <w:top w:type="dxa" w:w="60"/>
              <w:left w:type="dxa" w:w="90"/>
              <w:bottom w:type="dxa" w:w="60"/>
              <w:right w:type="dxa" w:w="90"/>
            </w:tcMar>
          </w:tcPr>
          <w:p>
            <w:pPr>
              <w:spacing w:after="0" w:line="240"/>
              <w:jc w:val="right"/>
            </w:pPr>
            <w:r>
              <w:rPr>
                <w:b w:val="false"/>
                <w:bCs w:val="false"/>
                <w:sz w:val="18"/>
                <w:szCs w:val="18"/>
              </w:rPr>
              <w:t xml:space="preserve">+226.99</w:t>
            </w:r>
          </w:p>
        </w:tc>
        <w:tc>
          <w:tcPr>
            <w:tcW w:type="dxa" w:w="1650"/>
            <w:shd w:fill="F2F2F2" w:color="auto" w:val="clear"/>
            <w:tcMar>
              <w:top w:type="dxa" w:w="60"/>
              <w:left w:type="dxa" w:w="90"/>
              <w:bottom w:type="dxa" w:w="60"/>
              <w:right w:type="dxa" w:w="90"/>
            </w:tcMar>
          </w:tcPr>
          <w:p>
            <w:pPr>
              <w:spacing w:after="0" w:line="240"/>
              <w:jc w:val="right"/>
            </w:pPr>
            <w:r>
              <w:rPr>
                <w:b w:val="false"/>
                <w:bCs w:val="false"/>
                <w:sz w:val="18"/>
                <w:szCs w:val="18"/>
              </w:rPr>
              <w:t xml:space="preserve">+437.78</w:t>
            </w:r>
          </w:p>
        </w:tc>
        <w:tc>
          <w:tcPr>
            <w:tcW w:type="dxa" w:w="1576"/>
            <w:shd w:fill="F2F2F2" w:color="auto" w:val="clear"/>
            <w:tcMar>
              <w:top w:type="dxa" w:w="60"/>
              <w:left w:type="dxa" w:w="90"/>
              <w:bottom w:type="dxa" w:w="60"/>
              <w:right w:type="dxa" w:w="90"/>
            </w:tcMar>
          </w:tcPr>
          <w:p>
            <w:pPr>
              <w:spacing w:after="0" w:line="240"/>
              <w:jc w:val="center"/>
            </w:pPr>
            <w:r>
              <w:rPr>
                <w:b w:val="false"/>
                <w:bCs w:val="false"/>
                <w:sz w:val="18"/>
                <w:szCs w:val="18"/>
              </w:rPr>
              <w:t xml:space="preserve">Yes</w:t>
            </w:r>
          </w:p>
        </w:tc>
      </w:tr>
      <w:tr>
        <w:tc>
          <w:tcPr>
            <w:tcW w:type="dxa" w:w="1200"/>
            <w:shd w:fill="F2F2F2" w:color="auto" w:val="clear"/>
            <w:tcMar>
              <w:top w:type="dxa" w:w="60"/>
              <w:left w:type="dxa" w:w="90"/>
              <w:bottom w:type="dxa" w:w="60"/>
              <w:right w:type="dxa" w:w="90"/>
            </w:tcMar>
          </w:tcPr>
          <w:p>
            <w:pPr>
              <w:spacing w:after="0" w:line="240"/>
              <w:jc w:val="left"/>
            </w:pPr>
            <w:r>
              <w:rPr>
                <w:b w:val="false"/>
                <w:bCs w:val="false"/>
                <w:sz w:val="18"/>
                <w:szCs w:val="18"/>
              </w:rPr>
              <w:t xml:space="preserve">Summer</w:t>
            </w:r>
          </w:p>
        </w:tc>
        <w:tc>
          <w:tcPr>
            <w:tcW w:type="dxa" w:w="1300"/>
            <w:shd w:fill="F2F2F2" w:color="auto" w:val="clear"/>
            <w:tcMar>
              <w:top w:type="dxa" w:w="60"/>
              <w:left w:type="dxa" w:w="90"/>
              <w:bottom w:type="dxa" w:w="60"/>
              <w:right w:type="dxa" w:w="90"/>
            </w:tcMar>
          </w:tcPr>
          <w:p>
            <w:pPr>
              <w:spacing w:after="0" w:line="240"/>
              <w:jc w:val="center"/>
            </w:pPr>
            <w:r>
              <w:rPr>
                <w:b w:val="false"/>
                <w:bCs w:val="false"/>
                <w:sz w:val="18"/>
                <w:szCs w:val="18"/>
              </w:rPr>
              <w:t xml:space="preserve">+3 °C</w:t>
            </w:r>
          </w:p>
        </w:tc>
        <w:tc>
          <w:tcPr>
            <w:tcW w:type="dxa" w:w="1650"/>
            <w:shd w:fill="F2F2F2" w:color="auto" w:val="clear"/>
            <w:tcMar>
              <w:top w:type="dxa" w:w="60"/>
              <w:left w:type="dxa" w:w="90"/>
              <w:bottom w:type="dxa" w:w="60"/>
              <w:right w:type="dxa" w:w="90"/>
            </w:tcMar>
          </w:tcPr>
          <w:p>
            <w:pPr>
              <w:spacing w:after="0" w:line="240"/>
              <w:jc w:val="right"/>
            </w:pPr>
            <w:r>
              <w:rPr>
                <w:b w:val="false"/>
                <w:bCs w:val="false"/>
                <w:sz w:val="18"/>
                <w:szCs w:val="18"/>
              </w:rPr>
              <w:t xml:space="preserve">+512.34</w:t>
            </w:r>
          </w:p>
        </w:tc>
        <w:tc>
          <w:tcPr>
            <w:tcW w:type="dxa" w:w="1650"/>
            <w:shd w:fill="F2F2F2" w:color="auto" w:val="clear"/>
            <w:tcMar>
              <w:top w:type="dxa" w:w="60"/>
              <w:left w:type="dxa" w:w="90"/>
              <w:bottom w:type="dxa" w:w="60"/>
              <w:right w:type="dxa" w:w="90"/>
            </w:tcMar>
          </w:tcPr>
          <w:p>
            <w:pPr>
              <w:spacing w:after="0" w:line="240"/>
              <w:jc w:val="right"/>
            </w:pPr>
            <w:r>
              <w:rPr>
                <w:b w:val="false"/>
                <w:bCs w:val="false"/>
                <w:sz w:val="18"/>
                <w:szCs w:val="18"/>
              </w:rPr>
              <w:t xml:space="preserve">+346.78</w:t>
            </w:r>
          </w:p>
        </w:tc>
        <w:tc>
          <w:tcPr>
            <w:tcW w:type="dxa" w:w="1650"/>
            <w:shd w:fill="F2F2F2" w:color="auto" w:val="clear"/>
            <w:tcMar>
              <w:top w:type="dxa" w:w="60"/>
              <w:left w:type="dxa" w:w="90"/>
              <w:bottom w:type="dxa" w:w="60"/>
              <w:right w:type="dxa" w:w="90"/>
            </w:tcMar>
          </w:tcPr>
          <w:p>
            <w:pPr>
              <w:spacing w:after="0" w:line="240"/>
              <w:jc w:val="right"/>
            </w:pPr>
            <w:r>
              <w:rPr>
                <w:b w:val="false"/>
                <w:bCs w:val="false"/>
                <w:sz w:val="18"/>
                <w:szCs w:val="18"/>
              </w:rPr>
              <w:t xml:space="preserve">+664.01</w:t>
            </w:r>
          </w:p>
        </w:tc>
        <w:tc>
          <w:tcPr>
            <w:tcW w:type="dxa" w:w="1576"/>
            <w:shd w:fill="F2F2F2" w:color="auto" w:val="clear"/>
            <w:tcMar>
              <w:top w:type="dxa" w:w="60"/>
              <w:left w:type="dxa" w:w="90"/>
              <w:bottom w:type="dxa" w:w="60"/>
              <w:right w:type="dxa" w:w="90"/>
            </w:tcMar>
          </w:tcPr>
          <w:p>
            <w:pPr>
              <w:spacing w:after="0" w:line="240"/>
              <w:jc w:val="center"/>
            </w:pPr>
            <w:r>
              <w:rPr>
                <w:b w:val="false"/>
                <w:bCs w:val="false"/>
                <w:sz w:val="18"/>
                <w:szCs w:val="18"/>
              </w:rPr>
              <w:t xml:space="preserve">Yes</w:t>
            </w:r>
          </w:p>
        </w:tc>
      </w:tr>
      <w:tr>
        <w:tc>
          <w:tcPr>
            <w:tcW w:type="dxa" w:w="1200"/>
            <w:tcMar>
              <w:top w:type="dxa" w:w="60"/>
              <w:left w:type="dxa" w:w="90"/>
              <w:bottom w:type="dxa" w:w="60"/>
              <w:right w:type="dxa" w:w="90"/>
            </w:tcMar>
          </w:tcPr>
          <w:p>
            <w:pPr>
              <w:spacing w:after="0" w:line="240"/>
              <w:jc w:val="left"/>
            </w:pPr>
            <w:r>
              <w:rPr>
                <w:b w:val="false"/>
                <w:bCs w:val="false"/>
                <w:sz w:val="18"/>
                <w:szCs w:val="18"/>
              </w:rPr>
              <w:t xml:space="preserve">Autumn</w:t>
            </w:r>
          </w:p>
        </w:tc>
        <w:tc>
          <w:tcPr>
            <w:tcW w:type="dxa" w:w="1300"/>
            <w:tcMar>
              <w:top w:type="dxa" w:w="60"/>
              <w:left w:type="dxa" w:w="90"/>
              <w:bottom w:type="dxa" w:w="60"/>
              <w:right w:type="dxa" w:w="90"/>
            </w:tcMar>
          </w:tcPr>
          <w:p>
            <w:pPr>
              <w:spacing w:after="0" w:line="240"/>
              <w:jc w:val="center"/>
            </w:pPr>
            <w:r>
              <w:rPr>
                <w:b w:val="false"/>
                <w:bCs w:val="false"/>
                <w:sz w:val="18"/>
                <w:szCs w:val="18"/>
              </w:rPr>
              <w:t xml:space="preserve">+1 °C</w:t>
            </w:r>
          </w:p>
        </w:tc>
        <w:tc>
          <w:tcPr>
            <w:tcW w:type="dxa" w:w="1650"/>
            <w:tcMar>
              <w:top w:type="dxa" w:w="60"/>
              <w:left w:type="dxa" w:w="90"/>
              <w:bottom w:type="dxa" w:w="60"/>
              <w:right w:type="dxa" w:w="90"/>
            </w:tcMar>
          </w:tcPr>
          <w:p>
            <w:pPr>
              <w:spacing w:after="0" w:line="240"/>
              <w:jc w:val="right"/>
            </w:pPr>
            <w:r>
              <w:rPr>
                <w:b w:val="false"/>
                <w:bCs w:val="false"/>
                <w:sz w:val="18"/>
                <w:szCs w:val="18"/>
              </w:rPr>
              <w:t xml:space="preserve">+19.66</w:t>
            </w:r>
          </w:p>
        </w:tc>
        <w:tc>
          <w:tcPr>
            <w:tcW w:type="dxa" w:w="1650"/>
            <w:tcMar>
              <w:top w:type="dxa" w:w="60"/>
              <w:left w:type="dxa" w:w="90"/>
              <w:bottom w:type="dxa" w:w="60"/>
              <w:right w:type="dxa" w:w="90"/>
            </w:tcMar>
          </w:tcPr>
          <w:p>
            <w:pPr>
              <w:spacing w:after="0" w:line="240"/>
              <w:jc w:val="right"/>
            </w:pPr>
            <w:r>
              <w:rPr>
                <w:b w:val="false"/>
                <w:bCs w:val="false"/>
                <w:sz w:val="18"/>
                <w:szCs w:val="18"/>
              </w:rPr>
              <w:t xml:space="preserve">−29.58</w:t>
            </w:r>
          </w:p>
        </w:tc>
        <w:tc>
          <w:tcPr>
            <w:tcW w:type="dxa" w:w="1650"/>
            <w:tcMar>
              <w:top w:type="dxa" w:w="60"/>
              <w:left w:type="dxa" w:w="90"/>
              <w:bottom w:type="dxa" w:w="60"/>
              <w:right w:type="dxa" w:w="90"/>
            </w:tcMar>
          </w:tcPr>
          <w:p>
            <w:pPr>
              <w:spacing w:after="0" w:line="240"/>
              <w:jc w:val="right"/>
            </w:pPr>
            <w:r>
              <w:rPr>
                <w:b w:val="false"/>
                <w:bCs w:val="false"/>
                <w:sz w:val="18"/>
                <w:szCs w:val="18"/>
              </w:rPr>
              <w:t xml:space="preserve">+67.82</w:t>
            </w:r>
          </w:p>
        </w:tc>
        <w:tc>
          <w:tcPr>
            <w:tcW w:type="dxa" w:w="1576"/>
            <w:tcMar>
              <w:top w:type="dxa" w:w="60"/>
              <w:left w:type="dxa" w:w="90"/>
              <w:bottom w:type="dxa" w:w="60"/>
              <w:right w:type="dxa" w:w="90"/>
            </w:tcMar>
          </w:tcPr>
          <w:p>
            <w:pPr>
              <w:spacing w:after="0" w:line="240"/>
              <w:jc w:val="center"/>
            </w:pPr>
            <w:r>
              <w:rPr>
                <w:b w:val="false"/>
                <w:bCs w:val="false"/>
                <w:sz w:val="18"/>
                <w:szCs w:val="18"/>
              </w:rPr>
              <w:t xml:space="preserve">No</w:t>
            </w:r>
          </w:p>
        </w:tc>
      </w:tr>
      <w:tr>
        <w:tc>
          <w:tcPr>
            <w:tcW w:type="dxa" w:w="1200"/>
            <w:tcMar>
              <w:top w:type="dxa" w:w="60"/>
              <w:left w:type="dxa" w:w="90"/>
              <w:bottom w:type="dxa" w:w="60"/>
              <w:right w:type="dxa" w:w="90"/>
            </w:tcMar>
          </w:tcPr>
          <w:p>
            <w:pPr>
              <w:spacing w:after="0" w:line="240"/>
              <w:jc w:val="left"/>
            </w:pPr>
            <w:r>
              <w:rPr>
                <w:b w:val="false"/>
                <w:bCs w:val="false"/>
                <w:sz w:val="18"/>
                <w:szCs w:val="18"/>
              </w:rPr>
              <w:t xml:space="preserve">Autumn</w:t>
            </w:r>
          </w:p>
        </w:tc>
        <w:tc>
          <w:tcPr>
            <w:tcW w:type="dxa" w:w="1300"/>
            <w:tcMar>
              <w:top w:type="dxa" w:w="60"/>
              <w:left w:type="dxa" w:w="90"/>
              <w:bottom w:type="dxa" w:w="60"/>
              <w:right w:type="dxa" w:w="90"/>
            </w:tcMar>
          </w:tcPr>
          <w:p>
            <w:pPr>
              <w:spacing w:after="0" w:line="240"/>
              <w:jc w:val="center"/>
            </w:pPr>
            <w:r>
              <w:rPr>
                <w:b w:val="false"/>
                <w:bCs w:val="false"/>
                <w:sz w:val="18"/>
                <w:szCs w:val="18"/>
              </w:rPr>
              <w:t xml:space="preserve">+2 °C</w:t>
            </w:r>
          </w:p>
        </w:tc>
        <w:tc>
          <w:tcPr>
            <w:tcW w:type="dxa" w:w="1650"/>
            <w:tcMar>
              <w:top w:type="dxa" w:w="60"/>
              <w:left w:type="dxa" w:w="90"/>
              <w:bottom w:type="dxa" w:w="60"/>
              <w:right w:type="dxa" w:w="90"/>
            </w:tcMar>
          </w:tcPr>
          <w:p>
            <w:pPr>
              <w:spacing w:after="0" w:line="240"/>
              <w:jc w:val="right"/>
            </w:pPr>
            <w:r>
              <w:rPr>
                <w:b w:val="false"/>
                <w:bCs w:val="false"/>
                <w:sz w:val="18"/>
                <w:szCs w:val="18"/>
              </w:rPr>
              <w:t xml:space="preserve">+54.22</w:t>
            </w:r>
          </w:p>
        </w:tc>
        <w:tc>
          <w:tcPr>
            <w:tcW w:type="dxa" w:w="1650"/>
            <w:tcMar>
              <w:top w:type="dxa" w:w="60"/>
              <w:left w:type="dxa" w:w="90"/>
              <w:bottom w:type="dxa" w:w="60"/>
              <w:right w:type="dxa" w:w="90"/>
            </w:tcMar>
          </w:tcPr>
          <w:p>
            <w:pPr>
              <w:spacing w:after="0" w:line="240"/>
              <w:jc w:val="right"/>
            </w:pPr>
            <w:r>
              <w:rPr>
                <w:b w:val="false"/>
                <w:bCs w:val="false"/>
                <w:sz w:val="18"/>
                <w:szCs w:val="18"/>
              </w:rPr>
              <w:t xml:space="preserve">−44.36</w:t>
            </w:r>
          </w:p>
        </w:tc>
        <w:tc>
          <w:tcPr>
            <w:tcW w:type="dxa" w:w="1650"/>
            <w:tcMar>
              <w:top w:type="dxa" w:w="60"/>
              <w:left w:type="dxa" w:w="90"/>
              <w:bottom w:type="dxa" w:w="60"/>
              <w:right w:type="dxa" w:w="90"/>
            </w:tcMar>
          </w:tcPr>
          <w:p>
            <w:pPr>
              <w:spacing w:after="0" w:line="240"/>
              <w:jc w:val="right"/>
            </w:pPr>
            <w:r>
              <w:rPr>
                <w:b w:val="false"/>
                <w:bCs w:val="false"/>
                <w:sz w:val="18"/>
                <w:szCs w:val="18"/>
              </w:rPr>
              <w:t xml:space="preserve">+151.13</w:t>
            </w:r>
          </w:p>
        </w:tc>
        <w:tc>
          <w:tcPr>
            <w:tcW w:type="dxa" w:w="1576"/>
            <w:tcMar>
              <w:top w:type="dxa" w:w="60"/>
              <w:left w:type="dxa" w:w="90"/>
              <w:bottom w:type="dxa" w:w="60"/>
              <w:right w:type="dxa" w:w="90"/>
            </w:tcMar>
          </w:tcPr>
          <w:p>
            <w:pPr>
              <w:spacing w:after="0" w:line="240"/>
              <w:jc w:val="center"/>
            </w:pPr>
            <w:r>
              <w:rPr>
                <w:b w:val="false"/>
                <w:bCs w:val="false"/>
                <w:sz w:val="18"/>
                <w:szCs w:val="18"/>
              </w:rPr>
              <w:t xml:space="preserve">No</w:t>
            </w:r>
          </w:p>
        </w:tc>
      </w:tr>
      <w:tr>
        <w:tc>
          <w:tcPr>
            <w:tcW w:type="dxa" w:w="1200"/>
            <w:tcMar>
              <w:top w:type="dxa" w:w="60"/>
              <w:left w:type="dxa" w:w="90"/>
              <w:bottom w:type="dxa" w:w="60"/>
              <w:right w:type="dxa" w:w="90"/>
            </w:tcMar>
          </w:tcPr>
          <w:p>
            <w:pPr>
              <w:spacing w:after="0" w:line="240"/>
              <w:jc w:val="left"/>
            </w:pPr>
            <w:r>
              <w:rPr>
                <w:b w:val="false"/>
                <w:bCs w:val="false"/>
                <w:sz w:val="18"/>
                <w:szCs w:val="18"/>
              </w:rPr>
              <w:t xml:space="preserve">Autumn</w:t>
            </w:r>
          </w:p>
        </w:tc>
        <w:tc>
          <w:tcPr>
            <w:tcW w:type="dxa" w:w="1300"/>
            <w:tcMar>
              <w:top w:type="dxa" w:w="60"/>
              <w:left w:type="dxa" w:w="90"/>
              <w:bottom w:type="dxa" w:w="60"/>
              <w:right w:type="dxa" w:w="90"/>
            </w:tcMar>
          </w:tcPr>
          <w:p>
            <w:pPr>
              <w:spacing w:after="0" w:line="240"/>
              <w:jc w:val="center"/>
            </w:pPr>
            <w:r>
              <w:rPr>
                <w:b w:val="false"/>
                <w:bCs w:val="false"/>
                <w:sz w:val="18"/>
                <w:szCs w:val="18"/>
              </w:rPr>
              <w:t xml:space="preserve">+3 °C</w:t>
            </w:r>
          </w:p>
        </w:tc>
        <w:tc>
          <w:tcPr>
            <w:tcW w:type="dxa" w:w="1650"/>
            <w:tcMar>
              <w:top w:type="dxa" w:w="60"/>
              <w:left w:type="dxa" w:w="90"/>
              <w:bottom w:type="dxa" w:w="60"/>
              <w:right w:type="dxa" w:w="90"/>
            </w:tcMar>
          </w:tcPr>
          <w:p>
            <w:pPr>
              <w:spacing w:after="0" w:line="240"/>
              <w:jc w:val="right"/>
            </w:pPr>
            <w:r>
              <w:rPr>
                <w:b w:val="false"/>
                <w:bCs w:val="false"/>
                <w:sz w:val="18"/>
                <w:szCs w:val="18"/>
              </w:rPr>
              <w:t xml:space="preserve">+103.21</w:t>
            </w:r>
          </w:p>
        </w:tc>
        <w:tc>
          <w:tcPr>
            <w:tcW w:type="dxa" w:w="1650"/>
            <w:tcMar>
              <w:top w:type="dxa" w:w="60"/>
              <w:left w:type="dxa" w:w="90"/>
              <w:bottom w:type="dxa" w:w="60"/>
              <w:right w:type="dxa" w:w="90"/>
            </w:tcMar>
          </w:tcPr>
          <w:p>
            <w:pPr>
              <w:spacing w:after="0" w:line="240"/>
              <w:jc w:val="right"/>
            </w:pPr>
            <w:r>
              <w:rPr>
                <w:b w:val="false"/>
                <w:bCs w:val="false"/>
                <w:sz w:val="18"/>
                <w:szCs w:val="18"/>
              </w:rPr>
              <w:t xml:space="preserve">−43.71</w:t>
            </w:r>
          </w:p>
        </w:tc>
        <w:tc>
          <w:tcPr>
            <w:tcW w:type="dxa" w:w="1650"/>
            <w:tcMar>
              <w:top w:type="dxa" w:w="60"/>
              <w:left w:type="dxa" w:w="90"/>
              <w:bottom w:type="dxa" w:w="60"/>
              <w:right w:type="dxa" w:w="90"/>
            </w:tcMar>
          </w:tcPr>
          <w:p>
            <w:pPr>
              <w:spacing w:after="0" w:line="240"/>
              <w:jc w:val="right"/>
            </w:pPr>
            <w:r>
              <w:rPr>
                <w:b w:val="false"/>
                <w:bCs w:val="false"/>
                <w:sz w:val="18"/>
                <w:szCs w:val="18"/>
              </w:rPr>
              <w:t xml:space="preserve">+251.13</w:t>
            </w:r>
          </w:p>
        </w:tc>
        <w:tc>
          <w:tcPr>
            <w:tcW w:type="dxa" w:w="1576"/>
            <w:tcMar>
              <w:top w:type="dxa" w:w="60"/>
              <w:left w:type="dxa" w:w="90"/>
              <w:bottom w:type="dxa" w:w="60"/>
              <w:right w:type="dxa" w:w="90"/>
            </w:tcMar>
          </w:tcPr>
          <w:p>
            <w:pPr>
              <w:spacing w:after="0" w:line="240"/>
              <w:jc w:val="center"/>
            </w:pPr>
            <w:r>
              <w:rPr>
                <w:b w:val="false"/>
                <w:bCs w:val="false"/>
                <w:sz w:val="18"/>
                <w:szCs w:val="18"/>
              </w:rPr>
              <w:t xml:space="preserve">No</w:t>
            </w:r>
          </w:p>
        </w:tc>
      </w:tr>
    </w:tbl>
    <w:p>
      <w:pPr>
        <w:spacing w:after="200"/>
      </w:pPr>
    </w:p>
    <w:p>
      <w:pPr>
        <w:spacing w:after="60" w:before="160"/>
        <w:jc w:val="center"/>
      </w:pPr>
      <w:r>
        <w:drawing>
          <wp:inline distT="0" distB="0" distL="0" distR="0">
            <wp:extent cx="5715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076450"/>
                    </a:xfrm>
                    <a:prstGeom prst="rect">
                      <a:avLst/>
                    </a:prstGeom>
                  </pic:spPr>
                </pic:pic>
              </a:graphicData>
            </a:graphic>
          </wp:inline>
        </w:drawing>
      </w:r>
    </w:p>
    <w:p>
      <w:pPr>
        <w:spacing w:after="220" w:before="80"/>
        <w:jc w:val="center"/>
      </w:pPr>
      <w:r>
        <w:rPr>
          <w:b/>
          <w:bCs/>
          <w:i w:val="false"/>
          <w:iCs w:val="false"/>
          <w:sz w:val="18"/>
          <w:szCs w:val="18"/>
        </w:rPr>
        <w:t xml:space="preserve">Figure 14.</w:t>
      </w:r>
      <w:r>
        <w:rPr>
          <w:i w:val="false"/>
          <w:iCs w:val="false"/>
          <w:sz w:val="18"/>
          <w:szCs w:val="18"/>
        </w:rPr>
        <w:t xml:space="preserve"> Seasonal demand response to warming with 95% confidence intervals (left) and as a percentage of each season's baseline demand (right). Colour encodes the statistical classification.</w:t>
      </w:r>
    </w:p>
    <w:p>
      <w:pPr>
        <w:spacing w:after="140" w:line="276"/>
        <w:jc w:val="both"/>
      </w:pPr>
      <w:r>
        <w:t xml:space="preserve">The pattern is consistent across all three warming levels and roughly linear in the warming increment: summer demand rises, winter demand falls, spring and autumn move too little to distinguish from zero, and the annual mean change is small and statistically indistinguishable from zero at every warming level.</w:t>
      </w:r>
    </w:p>
    <w:p>
      <w:pPr>
        <w:spacing w:after="140" w:line="276"/>
        <w:jc w:val="both"/>
      </w:pPr>
      <w:r>
        <w:t xml:space="preserve">In percentage terms the effects are modest but not negligible: under +3 °C, summer demand rises 1.77% and winter demand falls 1.38% relative to their respective seasonal baselines.</w:t>
      </w:r>
    </w:p>
    <w:p>
      <w:pPr>
        <w:pStyle w:val="Heading2"/>
        <w:spacing w:after="140" w:before="280"/>
      </w:pPr>
      <w:r>
        <w:t xml:space="preserve">3.11 Scenario classification</w:t>
      </w:r>
    </w:p>
    <w:p>
      <w:pPr>
        <w:spacing w:after="140" w:line="276"/>
        <w:jc w:val="both"/>
      </w:pPr>
      <w:r>
        <w:t xml:space="preserve">Applying the confidence-interval decision rule gives the classification grid in Table 9.</w:t>
      </w:r>
    </w:p>
    <w:p>
      <w:pPr>
        <w:spacing w:after="90" w:before="200"/>
        <w:jc w:val="left"/>
      </w:pPr>
      <w:r>
        <w:rPr>
          <w:b/>
          <w:bCs/>
          <w:sz w:val="18"/>
          <w:szCs w:val="18"/>
        </w:rPr>
        <w:t xml:space="preserve">Table 9.</w:t>
      </w:r>
      <w:r>
        <w:rPr>
          <w:sz w:val="18"/>
          <w:szCs w:val="18"/>
        </w:rPr>
        <w:t xml:space="preserve"> Classification of each season/scenario combination.</w:t>
      </w:r>
    </w:p>
    <w:tbl>
      <w:tblPr>
        <w:tblW w:type="dxa" w:w="9026"/>
        <w:tblBorders>
          <w:top w:val="single" w:color="000000" w:sz="8"/>
          <w:left w:val="none" w:color="FFFFFF" w:sz="0"/>
          <w:bottom w:val="single" w:color="000000" w:sz="8"/>
          <w:right w:val="none" w:color="FFFFFF" w:sz="0"/>
          <w:insideH w:val="single" w:color="BBBBBB" w:sz="2"/>
          <w:insideV w:val="none" w:color="FFFFFF" w:sz="0"/>
        </w:tblBorders>
      </w:tblPr>
      <w:tblGrid>
        <w:gridCol w:w="1400"/>
        <w:gridCol w:w="2542"/>
        <w:gridCol w:w="2542"/>
        <w:gridCol w:w="2542"/>
      </w:tblGrid>
      <w:tr>
        <w:trPr>
          <w:tblHeader/>
        </w:trPr>
        <w:tc>
          <w:tcPr>
            <w:tcW w:type="dxa" w:w="1400"/>
            <w:shd w:fill="E8E8E8" w:color="auto" w:val="clear"/>
            <w:tcMar>
              <w:top w:type="dxa" w:w="60"/>
              <w:left w:type="dxa" w:w="90"/>
              <w:bottom w:type="dxa" w:w="60"/>
              <w:right w:type="dxa" w:w="90"/>
            </w:tcMar>
          </w:tcPr>
          <w:p>
            <w:pPr>
              <w:spacing w:after="0" w:line="240"/>
              <w:jc w:val="left"/>
            </w:pPr>
            <w:r>
              <w:rPr>
                <w:b/>
                <w:bCs/>
                <w:sz w:val="18"/>
                <w:szCs w:val="18"/>
              </w:rPr>
              <w:t xml:space="preserve">Season</w:t>
            </w:r>
          </w:p>
        </w:tc>
        <w:tc>
          <w:tcPr>
            <w:tcW w:type="dxa" w:w="2542"/>
            <w:shd w:fill="E8E8E8" w:color="auto" w:val="clear"/>
            <w:tcMar>
              <w:top w:type="dxa" w:w="60"/>
              <w:left w:type="dxa" w:w="90"/>
              <w:bottom w:type="dxa" w:w="60"/>
              <w:right w:type="dxa" w:w="90"/>
            </w:tcMar>
          </w:tcPr>
          <w:p>
            <w:pPr>
              <w:spacing w:after="0" w:line="240"/>
              <w:jc w:val="left"/>
            </w:pPr>
            <w:r>
              <w:rPr>
                <w:b/>
                <w:bCs/>
                <w:sz w:val="18"/>
                <w:szCs w:val="18"/>
              </w:rPr>
              <w:t xml:space="preserve">+1 °C</w:t>
            </w:r>
          </w:p>
        </w:tc>
        <w:tc>
          <w:tcPr>
            <w:tcW w:type="dxa" w:w="2542"/>
            <w:shd w:fill="E8E8E8" w:color="auto" w:val="clear"/>
            <w:tcMar>
              <w:top w:type="dxa" w:w="60"/>
              <w:left w:type="dxa" w:w="90"/>
              <w:bottom w:type="dxa" w:w="60"/>
              <w:right w:type="dxa" w:w="90"/>
            </w:tcMar>
          </w:tcPr>
          <w:p>
            <w:pPr>
              <w:spacing w:after="0" w:line="240"/>
              <w:jc w:val="left"/>
            </w:pPr>
            <w:r>
              <w:rPr>
                <w:b/>
                <w:bCs/>
                <w:sz w:val="18"/>
                <w:szCs w:val="18"/>
              </w:rPr>
              <w:t xml:space="preserve">+2 °C</w:t>
            </w:r>
          </w:p>
        </w:tc>
        <w:tc>
          <w:tcPr>
            <w:tcW w:type="dxa" w:w="2542"/>
            <w:shd w:fill="E8E8E8" w:color="auto" w:val="clear"/>
            <w:tcMar>
              <w:top w:type="dxa" w:w="60"/>
              <w:left w:type="dxa" w:w="90"/>
              <w:bottom w:type="dxa" w:w="60"/>
              <w:right w:type="dxa" w:w="90"/>
            </w:tcMar>
          </w:tcPr>
          <w:p>
            <w:pPr>
              <w:spacing w:after="0" w:line="240"/>
              <w:jc w:val="left"/>
            </w:pPr>
            <w:r>
              <w:rPr>
                <w:b/>
                <w:bCs/>
                <w:sz w:val="18"/>
                <w:szCs w:val="18"/>
              </w:rPr>
              <w:t xml:space="preserve">+3 °C</w:t>
            </w:r>
          </w:p>
        </w:tc>
      </w:tr>
      <w:tr>
        <w:tc>
          <w:tcPr>
            <w:tcW w:type="dxa" w:w="1400"/>
            <w:tcMar>
              <w:top w:type="dxa" w:w="60"/>
              <w:left w:type="dxa" w:w="90"/>
              <w:bottom w:type="dxa" w:w="60"/>
              <w:right w:type="dxa" w:w="90"/>
            </w:tcMar>
          </w:tcPr>
          <w:p>
            <w:pPr>
              <w:spacing w:after="0" w:line="240"/>
              <w:jc w:val="left"/>
            </w:pPr>
            <w:r>
              <w:rPr>
                <w:b w:val="false"/>
                <w:bCs w:val="false"/>
                <w:sz w:val="18"/>
                <w:szCs w:val="18"/>
              </w:rPr>
              <w:t xml:space="preserve">Winter</w:t>
            </w:r>
          </w:p>
        </w:tc>
        <w:tc>
          <w:tcPr>
            <w:tcW w:type="dxa" w:w="2542"/>
            <w:tcMar>
              <w:top w:type="dxa" w:w="60"/>
              <w:left w:type="dxa" w:w="90"/>
              <w:bottom w:type="dxa" w:w="60"/>
              <w:right w:type="dxa" w:w="90"/>
            </w:tcMar>
          </w:tcPr>
          <w:p>
            <w:pPr>
              <w:spacing w:after="0" w:line="240"/>
              <w:jc w:val="left"/>
            </w:pPr>
            <w:r>
              <w:rPr>
                <w:b w:val="false"/>
                <w:bCs w:val="false"/>
                <w:sz w:val="18"/>
                <w:szCs w:val="18"/>
              </w:rPr>
              <w:t xml:space="preserve">Lower demand</w:t>
            </w:r>
          </w:p>
        </w:tc>
        <w:tc>
          <w:tcPr>
            <w:tcW w:type="dxa" w:w="2542"/>
            <w:tcMar>
              <w:top w:type="dxa" w:w="60"/>
              <w:left w:type="dxa" w:w="90"/>
              <w:bottom w:type="dxa" w:w="60"/>
              <w:right w:type="dxa" w:w="90"/>
            </w:tcMar>
          </w:tcPr>
          <w:p>
            <w:pPr>
              <w:spacing w:after="0" w:line="240"/>
              <w:jc w:val="left"/>
            </w:pPr>
            <w:r>
              <w:rPr>
                <w:b w:val="false"/>
                <w:bCs w:val="false"/>
                <w:sz w:val="18"/>
                <w:szCs w:val="18"/>
              </w:rPr>
              <w:t xml:space="preserve">Lower demand</w:t>
            </w:r>
          </w:p>
        </w:tc>
        <w:tc>
          <w:tcPr>
            <w:tcW w:type="dxa" w:w="2542"/>
            <w:tcMar>
              <w:top w:type="dxa" w:w="60"/>
              <w:left w:type="dxa" w:w="90"/>
              <w:bottom w:type="dxa" w:w="60"/>
              <w:right w:type="dxa" w:w="90"/>
            </w:tcMar>
          </w:tcPr>
          <w:p>
            <w:pPr>
              <w:spacing w:after="0" w:line="240"/>
              <w:jc w:val="left"/>
            </w:pPr>
            <w:r>
              <w:rPr>
                <w:b w:val="false"/>
                <w:bCs w:val="false"/>
                <w:sz w:val="18"/>
                <w:szCs w:val="18"/>
              </w:rPr>
              <w:t xml:space="preserve">Lower demand</w:t>
            </w:r>
          </w:p>
        </w:tc>
      </w:tr>
      <w:tr>
        <w:tc>
          <w:tcPr>
            <w:tcW w:type="dxa" w:w="1400"/>
            <w:tcMar>
              <w:top w:type="dxa" w:w="60"/>
              <w:left w:type="dxa" w:w="90"/>
              <w:bottom w:type="dxa" w:w="60"/>
              <w:right w:type="dxa" w:w="90"/>
            </w:tcMar>
          </w:tcPr>
          <w:p>
            <w:pPr>
              <w:spacing w:after="0" w:line="240"/>
              <w:jc w:val="left"/>
            </w:pPr>
            <w:r>
              <w:rPr>
                <w:b w:val="false"/>
                <w:bCs w:val="false"/>
                <w:sz w:val="18"/>
                <w:szCs w:val="18"/>
              </w:rPr>
              <w:t xml:space="preserve">Spring</w:t>
            </w:r>
          </w:p>
        </w:tc>
        <w:tc>
          <w:tcPr>
            <w:tcW w:type="dxa" w:w="2542"/>
            <w:tcMar>
              <w:top w:type="dxa" w:w="60"/>
              <w:left w:type="dxa" w:w="90"/>
              <w:bottom w:type="dxa" w:w="60"/>
              <w:right w:type="dxa" w:w="90"/>
            </w:tcMar>
          </w:tcPr>
          <w:p>
            <w:pPr>
              <w:spacing w:after="0" w:line="240"/>
              <w:jc w:val="left"/>
            </w:pPr>
            <w:r>
              <w:rPr>
                <w:b w:val="false"/>
                <w:bCs w:val="false"/>
                <w:sz w:val="18"/>
                <w:szCs w:val="18"/>
              </w:rPr>
              <w:t xml:space="preserve">No detectable change</w:t>
            </w:r>
          </w:p>
        </w:tc>
        <w:tc>
          <w:tcPr>
            <w:tcW w:type="dxa" w:w="2542"/>
            <w:tcMar>
              <w:top w:type="dxa" w:w="60"/>
              <w:left w:type="dxa" w:w="90"/>
              <w:bottom w:type="dxa" w:w="60"/>
              <w:right w:type="dxa" w:w="90"/>
            </w:tcMar>
          </w:tcPr>
          <w:p>
            <w:pPr>
              <w:spacing w:after="0" w:line="240"/>
              <w:jc w:val="left"/>
            </w:pPr>
            <w:r>
              <w:rPr>
                <w:b w:val="false"/>
                <w:bCs w:val="false"/>
                <w:sz w:val="18"/>
                <w:szCs w:val="18"/>
              </w:rPr>
              <w:t xml:space="preserve">No detectable change</w:t>
            </w:r>
          </w:p>
        </w:tc>
        <w:tc>
          <w:tcPr>
            <w:tcW w:type="dxa" w:w="2542"/>
            <w:tcMar>
              <w:top w:type="dxa" w:w="60"/>
              <w:left w:type="dxa" w:w="90"/>
              <w:bottom w:type="dxa" w:w="60"/>
              <w:right w:type="dxa" w:w="90"/>
            </w:tcMar>
          </w:tcPr>
          <w:p>
            <w:pPr>
              <w:spacing w:after="0" w:line="240"/>
              <w:jc w:val="left"/>
            </w:pPr>
            <w:r>
              <w:rPr>
                <w:b w:val="false"/>
                <w:bCs w:val="false"/>
                <w:sz w:val="18"/>
                <w:szCs w:val="18"/>
              </w:rPr>
              <w:t xml:space="preserve">No detectable change</w:t>
            </w:r>
          </w:p>
        </w:tc>
      </w:tr>
      <w:tr>
        <w:tc>
          <w:tcPr>
            <w:tcW w:type="dxa" w:w="1400"/>
            <w:tcMar>
              <w:top w:type="dxa" w:w="60"/>
              <w:left w:type="dxa" w:w="90"/>
              <w:bottom w:type="dxa" w:w="60"/>
              <w:right w:type="dxa" w:w="90"/>
            </w:tcMar>
          </w:tcPr>
          <w:p>
            <w:pPr>
              <w:spacing w:after="0" w:line="240"/>
              <w:jc w:val="left"/>
            </w:pPr>
            <w:r>
              <w:rPr>
                <w:b w:val="false"/>
                <w:bCs w:val="false"/>
                <w:sz w:val="18"/>
                <w:szCs w:val="18"/>
              </w:rPr>
              <w:t xml:space="preserve">Summer</w:t>
            </w:r>
          </w:p>
        </w:tc>
        <w:tc>
          <w:tcPr>
            <w:tcW w:type="dxa" w:w="2542"/>
            <w:tcMar>
              <w:top w:type="dxa" w:w="60"/>
              <w:left w:type="dxa" w:w="90"/>
              <w:bottom w:type="dxa" w:w="60"/>
              <w:right w:type="dxa" w:w="90"/>
            </w:tcMar>
          </w:tcPr>
          <w:p>
            <w:pPr>
              <w:spacing w:after="0" w:line="240"/>
              <w:jc w:val="left"/>
            </w:pPr>
            <w:r>
              <w:rPr>
                <w:b w:val="false"/>
                <w:bCs w:val="false"/>
                <w:sz w:val="18"/>
                <w:szCs w:val="18"/>
              </w:rPr>
              <w:t xml:space="preserve">Higher demand</w:t>
            </w:r>
          </w:p>
        </w:tc>
        <w:tc>
          <w:tcPr>
            <w:tcW w:type="dxa" w:w="2542"/>
            <w:tcMar>
              <w:top w:type="dxa" w:w="60"/>
              <w:left w:type="dxa" w:w="90"/>
              <w:bottom w:type="dxa" w:w="60"/>
              <w:right w:type="dxa" w:w="90"/>
            </w:tcMar>
          </w:tcPr>
          <w:p>
            <w:pPr>
              <w:spacing w:after="0" w:line="240"/>
              <w:jc w:val="left"/>
            </w:pPr>
            <w:r>
              <w:rPr>
                <w:b w:val="false"/>
                <w:bCs w:val="false"/>
                <w:sz w:val="18"/>
                <w:szCs w:val="18"/>
              </w:rPr>
              <w:t xml:space="preserve">Higher demand</w:t>
            </w:r>
          </w:p>
        </w:tc>
        <w:tc>
          <w:tcPr>
            <w:tcW w:type="dxa" w:w="2542"/>
            <w:tcMar>
              <w:top w:type="dxa" w:w="60"/>
              <w:left w:type="dxa" w:w="90"/>
              <w:bottom w:type="dxa" w:w="60"/>
              <w:right w:type="dxa" w:w="90"/>
            </w:tcMar>
          </w:tcPr>
          <w:p>
            <w:pPr>
              <w:spacing w:after="0" w:line="240"/>
              <w:jc w:val="left"/>
            </w:pPr>
            <w:r>
              <w:rPr>
                <w:b w:val="false"/>
                <w:bCs w:val="false"/>
                <w:sz w:val="18"/>
                <w:szCs w:val="18"/>
              </w:rPr>
              <w:t xml:space="preserve">Higher demand</w:t>
            </w:r>
          </w:p>
        </w:tc>
      </w:tr>
      <w:tr>
        <w:tc>
          <w:tcPr>
            <w:tcW w:type="dxa" w:w="1400"/>
            <w:tcMar>
              <w:top w:type="dxa" w:w="60"/>
              <w:left w:type="dxa" w:w="90"/>
              <w:bottom w:type="dxa" w:w="60"/>
              <w:right w:type="dxa" w:w="90"/>
            </w:tcMar>
          </w:tcPr>
          <w:p>
            <w:pPr>
              <w:spacing w:after="0" w:line="240"/>
              <w:jc w:val="left"/>
            </w:pPr>
            <w:r>
              <w:rPr>
                <w:b w:val="false"/>
                <w:bCs w:val="false"/>
                <w:sz w:val="18"/>
                <w:szCs w:val="18"/>
              </w:rPr>
              <w:t xml:space="preserve">Autumn</w:t>
            </w:r>
          </w:p>
        </w:tc>
        <w:tc>
          <w:tcPr>
            <w:tcW w:type="dxa" w:w="2542"/>
            <w:tcMar>
              <w:top w:type="dxa" w:w="60"/>
              <w:left w:type="dxa" w:w="90"/>
              <w:bottom w:type="dxa" w:w="60"/>
              <w:right w:type="dxa" w:w="90"/>
            </w:tcMar>
          </w:tcPr>
          <w:p>
            <w:pPr>
              <w:spacing w:after="0" w:line="240"/>
              <w:jc w:val="left"/>
            </w:pPr>
            <w:r>
              <w:rPr>
                <w:b w:val="false"/>
                <w:bCs w:val="false"/>
                <w:sz w:val="18"/>
                <w:szCs w:val="18"/>
              </w:rPr>
              <w:t xml:space="preserve">No detectable change</w:t>
            </w:r>
          </w:p>
        </w:tc>
        <w:tc>
          <w:tcPr>
            <w:tcW w:type="dxa" w:w="2542"/>
            <w:tcMar>
              <w:top w:type="dxa" w:w="60"/>
              <w:left w:type="dxa" w:w="90"/>
              <w:bottom w:type="dxa" w:w="60"/>
              <w:right w:type="dxa" w:w="90"/>
            </w:tcMar>
          </w:tcPr>
          <w:p>
            <w:pPr>
              <w:spacing w:after="0" w:line="240"/>
              <w:jc w:val="left"/>
            </w:pPr>
            <w:r>
              <w:rPr>
                <w:b w:val="false"/>
                <w:bCs w:val="false"/>
                <w:sz w:val="18"/>
                <w:szCs w:val="18"/>
              </w:rPr>
              <w:t xml:space="preserve">No detectable change</w:t>
            </w:r>
          </w:p>
        </w:tc>
        <w:tc>
          <w:tcPr>
            <w:tcW w:type="dxa" w:w="2542"/>
            <w:tcMar>
              <w:top w:type="dxa" w:w="60"/>
              <w:left w:type="dxa" w:w="90"/>
              <w:bottom w:type="dxa" w:w="60"/>
              <w:right w:type="dxa" w:w="90"/>
            </w:tcMar>
          </w:tcPr>
          <w:p>
            <w:pPr>
              <w:spacing w:after="0" w:line="240"/>
              <w:jc w:val="left"/>
            </w:pPr>
            <w:r>
              <w:rPr>
                <w:b w:val="false"/>
                <w:bCs w:val="false"/>
                <w:sz w:val="18"/>
                <w:szCs w:val="18"/>
              </w:rPr>
              <w:t xml:space="preserve">No detectable change</w:t>
            </w:r>
          </w:p>
        </w:tc>
      </w:tr>
    </w:tbl>
    <w:p>
      <w:pPr>
        <w:spacing w:after="200"/>
      </w:pPr>
    </w:p>
    <w:p>
      <w:pPr>
        <w:spacing w:after="140" w:line="276"/>
        <w:jc w:val="both"/>
      </w:pPr>
      <w:r>
        <w:t xml:space="preserve">Of the twelve season/scenario cells, three are classified as higher demand, three as lower demand, and six as no detectable change. The classification is entirely stable across warming levels, which is reassuring: the sign and detectability of the effect do not depend on which scenario is chosen, only its magnitude.</w:t>
      </w:r>
    </w:p>
    <w:p>
      <w:pPr>
        <w:pStyle w:val="Heading2"/>
        <w:spacing w:after="140" w:before="280"/>
      </w:pPr>
      <w:r>
        <w:t xml:space="preserve">3.12 The redistribution finding</w:t>
      </w:r>
    </w:p>
    <w:p>
      <w:pPr>
        <w:spacing w:after="140" w:line="276"/>
        <w:jc w:val="both"/>
      </w:pPr>
      <w:r>
        <w:t xml:space="preserve">Table 10 decomposes the annual null result.</w:t>
      </w:r>
    </w:p>
    <w:p>
      <w:pPr>
        <w:spacing w:after="90" w:before="200"/>
        <w:jc w:val="left"/>
      </w:pPr>
      <w:r>
        <w:rPr>
          <w:b/>
          <w:bCs/>
          <w:sz w:val="18"/>
          <w:szCs w:val="18"/>
        </w:rPr>
        <w:t xml:space="preserve">Table 10.</w:t>
      </w:r>
      <w:r>
        <w:rPr>
          <w:sz w:val="18"/>
          <w:szCs w:val="18"/>
        </w:rPr>
        <w:t xml:space="preserve"> Annual net change versus gross seasonal movement (MW).</w:t>
      </w:r>
    </w:p>
    <w:tbl>
      <w:tblPr>
        <w:tblW w:type="dxa" w:w="9026"/>
        <w:tblBorders>
          <w:top w:val="single" w:color="000000" w:sz="8"/>
          <w:left w:val="none" w:color="FFFFFF" w:sz="0"/>
          <w:bottom w:val="single" w:color="000000" w:sz="8"/>
          <w:right w:val="none" w:color="FFFFFF" w:sz="0"/>
          <w:insideH w:val="single" w:color="BBBBBB" w:sz="2"/>
          <w:insideV w:val="none" w:color="FFFFFF" w:sz="0"/>
        </w:tblBorders>
      </w:tblPr>
      <w:tblGrid>
        <w:gridCol w:w="1500"/>
        <w:gridCol w:w="1700"/>
        <w:gridCol w:w="1950"/>
        <w:gridCol w:w="1950"/>
        <w:gridCol w:w="1926"/>
      </w:tblGrid>
      <w:tr>
        <w:trPr>
          <w:tblHeader/>
        </w:trPr>
        <w:tc>
          <w:tcPr>
            <w:tcW w:type="dxa" w:w="1500"/>
            <w:shd w:fill="E8E8E8" w:color="auto" w:val="clear"/>
            <w:tcMar>
              <w:top w:type="dxa" w:w="60"/>
              <w:left w:type="dxa" w:w="90"/>
              <w:bottom w:type="dxa" w:w="60"/>
              <w:right w:type="dxa" w:w="90"/>
            </w:tcMar>
          </w:tcPr>
          <w:p>
            <w:pPr>
              <w:spacing w:after="0" w:line="240"/>
              <w:jc w:val="left"/>
            </w:pPr>
            <w:r>
              <w:rPr>
                <w:b/>
                <w:bCs/>
                <w:sz w:val="18"/>
                <w:szCs w:val="18"/>
              </w:rPr>
              <w:t xml:space="preserve">Scenario</w:t>
            </w:r>
          </w:p>
        </w:tc>
        <w:tc>
          <w:tcPr>
            <w:tcW w:type="dxa" w:w="1700"/>
            <w:shd w:fill="E8E8E8" w:color="auto" w:val="clear"/>
            <w:tcMar>
              <w:top w:type="dxa" w:w="60"/>
              <w:left w:type="dxa" w:w="90"/>
              <w:bottom w:type="dxa" w:w="60"/>
              <w:right w:type="dxa" w:w="90"/>
            </w:tcMar>
          </w:tcPr>
          <w:p>
            <w:pPr>
              <w:spacing w:after="0" w:line="240"/>
              <w:jc w:val="right"/>
            </w:pPr>
            <w:r>
              <w:rPr>
                <w:b/>
                <w:bCs/>
                <w:sz w:val="18"/>
                <w:szCs w:val="18"/>
              </w:rPr>
              <w:t xml:space="preserve">Annual net</w:t>
            </w:r>
          </w:p>
        </w:tc>
        <w:tc>
          <w:tcPr>
            <w:tcW w:type="dxa" w:w="1950"/>
            <w:shd w:fill="E8E8E8" w:color="auto" w:val="clear"/>
            <w:tcMar>
              <w:top w:type="dxa" w:w="60"/>
              <w:left w:type="dxa" w:w="90"/>
              <w:bottom w:type="dxa" w:w="60"/>
              <w:right w:type="dxa" w:w="90"/>
            </w:tcMar>
          </w:tcPr>
          <w:p>
            <w:pPr>
              <w:spacing w:after="0" w:line="240"/>
              <w:jc w:val="right"/>
            </w:pPr>
            <w:r>
              <w:rPr>
                <w:b/>
                <w:bCs/>
                <w:sz w:val="18"/>
                <w:szCs w:val="18"/>
              </w:rPr>
              <w:t xml:space="preserve">Seasonal increases</w:t>
            </w:r>
          </w:p>
        </w:tc>
        <w:tc>
          <w:tcPr>
            <w:tcW w:type="dxa" w:w="1950"/>
            <w:shd w:fill="E8E8E8" w:color="auto" w:val="clear"/>
            <w:tcMar>
              <w:top w:type="dxa" w:w="60"/>
              <w:left w:type="dxa" w:w="90"/>
              <w:bottom w:type="dxa" w:w="60"/>
              <w:right w:type="dxa" w:w="90"/>
            </w:tcMar>
          </w:tcPr>
          <w:p>
            <w:pPr>
              <w:spacing w:after="0" w:line="240"/>
              <w:jc w:val="right"/>
            </w:pPr>
            <w:r>
              <w:rPr>
                <w:b/>
                <w:bCs/>
                <w:sz w:val="18"/>
                <w:szCs w:val="18"/>
              </w:rPr>
              <w:t xml:space="preserve">Seasonal decreases</w:t>
            </w:r>
          </w:p>
        </w:tc>
        <w:tc>
          <w:tcPr>
            <w:tcW w:type="dxa" w:w="1926"/>
            <w:shd w:fill="E8E8E8" w:color="auto" w:val="clear"/>
            <w:tcMar>
              <w:top w:type="dxa" w:w="60"/>
              <w:left w:type="dxa" w:w="90"/>
              <w:bottom w:type="dxa" w:w="60"/>
              <w:right w:type="dxa" w:w="90"/>
            </w:tcMar>
          </w:tcPr>
          <w:p>
            <w:pPr>
              <w:spacing w:after="0" w:line="240"/>
              <w:jc w:val="right"/>
            </w:pPr>
            <w:r>
              <w:rPr>
                <w:b/>
                <w:bCs/>
                <w:sz w:val="18"/>
                <w:szCs w:val="18"/>
              </w:rPr>
              <w:t xml:space="preserve">Gross movement</w:t>
            </w:r>
          </w:p>
        </w:tc>
      </w:tr>
      <w:tr>
        <w:tc>
          <w:tcPr>
            <w:tcW w:type="dxa" w:w="1500"/>
            <w:tcMar>
              <w:top w:type="dxa" w:w="60"/>
              <w:left w:type="dxa" w:w="90"/>
              <w:bottom w:type="dxa" w:w="60"/>
              <w:right w:type="dxa" w:w="90"/>
            </w:tcMar>
          </w:tcPr>
          <w:p>
            <w:pPr>
              <w:spacing w:after="0" w:line="240"/>
              <w:jc w:val="left"/>
            </w:pPr>
            <w:r>
              <w:rPr>
                <w:b w:val="false"/>
                <w:bCs w:val="false"/>
                <w:sz w:val="18"/>
                <w:szCs w:val="18"/>
              </w:rPr>
              <w:t xml:space="preserve">+1 °C</w:t>
            </w:r>
          </w:p>
        </w:tc>
        <w:tc>
          <w:tcPr>
            <w:tcW w:type="dxa" w:w="1700"/>
            <w:tcMar>
              <w:top w:type="dxa" w:w="60"/>
              <w:left w:type="dxa" w:w="90"/>
              <w:bottom w:type="dxa" w:w="60"/>
              <w:right w:type="dxa" w:w="90"/>
            </w:tcMar>
          </w:tcPr>
          <w:p>
            <w:pPr>
              <w:spacing w:after="0" w:line="240"/>
              <w:jc w:val="right"/>
            </w:pPr>
            <w:r>
              <w:rPr>
                <w:b w:val="false"/>
                <w:bCs w:val="false"/>
                <w:sz w:val="18"/>
                <w:szCs w:val="18"/>
              </w:rPr>
              <w:t xml:space="preserve">+0.2</w:t>
            </w:r>
          </w:p>
        </w:tc>
        <w:tc>
          <w:tcPr>
            <w:tcW w:type="dxa" w:w="1950"/>
            <w:tcMar>
              <w:top w:type="dxa" w:w="60"/>
              <w:left w:type="dxa" w:w="90"/>
              <w:bottom w:type="dxa" w:w="60"/>
              <w:right w:type="dxa" w:w="90"/>
            </w:tcMar>
          </w:tcPr>
          <w:p>
            <w:pPr>
              <w:spacing w:after="0" w:line="240"/>
              <w:jc w:val="right"/>
            </w:pPr>
            <w:r>
              <w:rPr>
                <w:b w:val="false"/>
                <w:bCs w:val="false"/>
                <w:sz w:val="18"/>
                <w:szCs w:val="18"/>
              </w:rPr>
              <w:t xml:space="preserve">+185.4</w:t>
            </w:r>
          </w:p>
        </w:tc>
        <w:tc>
          <w:tcPr>
            <w:tcW w:type="dxa" w:w="1950"/>
            <w:tcMar>
              <w:top w:type="dxa" w:w="60"/>
              <w:left w:type="dxa" w:w="90"/>
              <w:bottom w:type="dxa" w:w="60"/>
              <w:right w:type="dxa" w:w="90"/>
            </w:tcMar>
          </w:tcPr>
          <w:p>
            <w:pPr>
              <w:spacing w:after="0" w:line="240"/>
              <w:jc w:val="right"/>
            </w:pPr>
            <w:r>
              <w:rPr>
                <w:b w:val="false"/>
                <w:bCs w:val="false"/>
                <w:sz w:val="18"/>
                <w:szCs w:val="18"/>
              </w:rPr>
              <w:t xml:space="preserve">−187.4</w:t>
            </w:r>
          </w:p>
        </w:tc>
        <w:tc>
          <w:tcPr>
            <w:tcW w:type="dxa" w:w="1926"/>
            <w:tcMar>
              <w:top w:type="dxa" w:w="60"/>
              <w:left w:type="dxa" w:w="90"/>
              <w:bottom w:type="dxa" w:w="60"/>
              <w:right w:type="dxa" w:w="90"/>
            </w:tcMar>
          </w:tcPr>
          <w:p>
            <w:pPr>
              <w:spacing w:after="0" w:line="240"/>
              <w:jc w:val="right"/>
            </w:pPr>
            <w:r>
              <w:rPr>
                <w:b w:val="false"/>
                <w:bCs w:val="false"/>
                <w:sz w:val="18"/>
                <w:szCs w:val="18"/>
              </w:rPr>
              <w:t xml:space="preserve">372.9</w:t>
            </w:r>
          </w:p>
        </w:tc>
      </w:tr>
      <w:tr>
        <w:tc>
          <w:tcPr>
            <w:tcW w:type="dxa" w:w="1500"/>
            <w:tcMar>
              <w:top w:type="dxa" w:w="60"/>
              <w:left w:type="dxa" w:w="90"/>
              <w:bottom w:type="dxa" w:w="60"/>
              <w:right w:type="dxa" w:w="90"/>
            </w:tcMar>
          </w:tcPr>
          <w:p>
            <w:pPr>
              <w:spacing w:after="0" w:line="240"/>
              <w:jc w:val="left"/>
            </w:pPr>
            <w:r>
              <w:rPr>
                <w:b w:val="false"/>
                <w:bCs w:val="false"/>
                <w:sz w:val="18"/>
                <w:szCs w:val="18"/>
              </w:rPr>
              <w:t xml:space="preserve">+2 °C</w:t>
            </w:r>
          </w:p>
        </w:tc>
        <w:tc>
          <w:tcPr>
            <w:tcW w:type="dxa" w:w="1700"/>
            <w:tcMar>
              <w:top w:type="dxa" w:w="60"/>
              <w:left w:type="dxa" w:w="90"/>
              <w:bottom w:type="dxa" w:w="60"/>
              <w:right w:type="dxa" w:w="90"/>
            </w:tcMar>
          </w:tcPr>
          <w:p>
            <w:pPr>
              <w:spacing w:after="0" w:line="240"/>
              <w:jc w:val="right"/>
            </w:pPr>
            <w:r>
              <w:rPr>
                <w:b w:val="false"/>
                <w:bCs w:val="false"/>
                <w:sz w:val="18"/>
                <w:szCs w:val="18"/>
              </w:rPr>
              <w:t xml:space="preserve">+10.7</w:t>
            </w:r>
          </w:p>
        </w:tc>
        <w:tc>
          <w:tcPr>
            <w:tcW w:type="dxa" w:w="1950"/>
            <w:tcMar>
              <w:top w:type="dxa" w:w="60"/>
              <w:left w:type="dxa" w:w="90"/>
              <w:bottom w:type="dxa" w:w="60"/>
              <w:right w:type="dxa" w:w="90"/>
            </w:tcMar>
          </w:tcPr>
          <w:p>
            <w:pPr>
              <w:spacing w:after="0" w:line="240"/>
              <w:jc w:val="right"/>
            </w:pPr>
            <w:r>
              <w:rPr>
                <w:b w:val="false"/>
                <w:bCs w:val="false"/>
                <w:sz w:val="18"/>
                <w:szCs w:val="18"/>
              </w:rPr>
              <w:t xml:space="preserve">+391.1</w:t>
            </w:r>
          </w:p>
        </w:tc>
        <w:tc>
          <w:tcPr>
            <w:tcW w:type="dxa" w:w="1950"/>
            <w:tcMar>
              <w:top w:type="dxa" w:w="60"/>
              <w:left w:type="dxa" w:w="90"/>
              <w:bottom w:type="dxa" w:w="60"/>
              <w:right w:type="dxa" w:w="90"/>
            </w:tcMar>
          </w:tcPr>
          <w:p>
            <w:pPr>
              <w:spacing w:after="0" w:line="240"/>
              <w:jc w:val="right"/>
            </w:pPr>
            <w:r>
              <w:rPr>
                <w:b w:val="false"/>
                <w:bCs w:val="false"/>
                <w:sz w:val="18"/>
                <w:szCs w:val="18"/>
              </w:rPr>
              <w:t xml:space="preserve">−353.8</w:t>
            </w:r>
          </w:p>
        </w:tc>
        <w:tc>
          <w:tcPr>
            <w:tcW w:type="dxa" w:w="1926"/>
            <w:tcMar>
              <w:top w:type="dxa" w:w="60"/>
              <w:left w:type="dxa" w:w="90"/>
              <w:bottom w:type="dxa" w:w="60"/>
              <w:right w:type="dxa" w:w="90"/>
            </w:tcMar>
          </w:tcPr>
          <w:p>
            <w:pPr>
              <w:spacing w:after="0" w:line="240"/>
              <w:jc w:val="right"/>
            </w:pPr>
            <w:r>
              <w:rPr>
                <w:b w:val="false"/>
                <w:bCs w:val="false"/>
                <w:sz w:val="18"/>
                <w:szCs w:val="18"/>
              </w:rPr>
              <w:t xml:space="preserve">744.9</w:t>
            </w:r>
          </w:p>
        </w:tc>
      </w:tr>
      <w:tr>
        <w:tc>
          <w:tcPr>
            <w:tcW w:type="dxa" w:w="1500"/>
            <w:tcMar>
              <w:top w:type="dxa" w:w="60"/>
              <w:left w:type="dxa" w:w="90"/>
              <w:bottom w:type="dxa" w:w="60"/>
              <w:right w:type="dxa" w:w="90"/>
            </w:tcMar>
          </w:tcPr>
          <w:p>
            <w:pPr>
              <w:spacing w:after="0" w:line="240"/>
              <w:jc w:val="left"/>
            </w:pPr>
            <w:r>
              <w:rPr>
                <w:b w:val="false"/>
                <w:bCs w:val="false"/>
                <w:sz w:val="18"/>
                <w:szCs w:val="18"/>
              </w:rPr>
              <w:t xml:space="preserve">+3 °C</w:t>
            </w:r>
          </w:p>
        </w:tc>
        <w:tc>
          <w:tcPr>
            <w:tcW w:type="dxa" w:w="1700"/>
            <w:tcMar>
              <w:top w:type="dxa" w:w="60"/>
              <w:left w:type="dxa" w:w="90"/>
              <w:bottom w:type="dxa" w:w="60"/>
              <w:right w:type="dxa" w:w="90"/>
            </w:tcMar>
          </w:tcPr>
          <w:p>
            <w:pPr>
              <w:spacing w:after="0" w:line="240"/>
              <w:jc w:val="right"/>
            </w:pPr>
            <w:r>
              <w:rPr>
                <w:b w:val="false"/>
                <w:bCs w:val="false"/>
                <w:sz w:val="18"/>
                <w:szCs w:val="18"/>
              </w:rPr>
              <w:t xml:space="preserve">+32.2</w:t>
            </w:r>
          </w:p>
        </w:tc>
        <w:tc>
          <w:tcPr>
            <w:tcW w:type="dxa" w:w="1950"/>
            <w:tcMar>
              <w:top w:type="dxa" w:w="60"/>
              <w:left w:type="dxa" w:w="90"/>
              <w:bottom w:type="dxa" w:w="60"/>
              <w:right w:type="dxa" w:w="90"/>
            </w:tcMar>
          </w:tcPr>
          <w:p>
            <w:pPr>
              <w:spacing w:after="0" w:line="240"/>
              <w:jc w:val="right"/>
            </w:pPr>
            <w:r>
              <w:rPr>
                <w:b w:val="false"/>
                <w:bCs w:val="false"/>
                <w:sz w:val="18"/>
                <w:szCs w:val="18"/>
              </w:rPr>
              <w:t xml:space="preserve">+615.5</w:t>
            </w:r>
          </w:p>
        </w:tc>
        <w:tc>
          <w:tcPr>
            <w:tcW w:type="dxa" w:w="1950"/>
            <w:tcMar>
              <w:top w:type="dxa" w:w="60"/>
              <w:left w:type="dxa" w:w="90"/>
              <w:bottom w:type="dxa" w:w="60"/>
              <w:right w:type="dxa" w:w="90"/>
            </w:tcMar>
          </w:tcPr>
          <w:p>
            <w:pPr>
              <w:spacing w:after="0" w:line="240"/>
              <w:jc w:val="right"/>
            </w:pPr>
            <w:r>
              <w:rPr>
                <w:b w:val="false"/>
                <w:bCs w:val="false"/>
                <w:sz w:val="18"/>
                <w:szCs w:val="18"/>
              </w:rPr>
              <w:t xml:space="preserve">−495.3</w:t>
            </w:r>
          </w:p>
        </w:tc>
        <w:tc>
          <w:tcPr>
            <w:tcW w:type="dxa" w:w="1926"/>
            <w:tcMar>
              <w:top w:type="dxa" w:w="60"/>
              <w:left w:type="dxa" w:w="90"/>
              <w:bottom w:type="dxa" w:w="60"/>
              <w:right w:type="dxa" w:w="90"/>
            </w:tcMar>
          </w:tcPr>
          <w:p>
            <w:pPr>
              <w:spacing w:after="0" w:line="240"/>
              <w:jc w:val="right"/>
            </w:pPr>
            <w:r>
              <w:rPr>
                <w:b w:val="false"/>
                <w:bCs w:val="false"/>
                <w:sz w:val="18"/>
                <w:szCs w:val="18"/>
              </w:rPr>
              <w:t xml:space="preserve">1,110.8</w:t>
            </w:r>
          </w:p>
        </w:tc>
      </w:tr>
    </w:tbl>
    <w:p>
      <w:pPr>
        <w:spacing w:after="200"/>
      </w:pPr>
    </w:p>
    <w:p>
      <w:pPr>
        <w:spacing w:after="140" w:line="276"/>
        <w:jc w:val="both"/>
      </w:pPr>
      <w:r>
        <w:t xml:space="preserve">The annual mean and the seasonal means are not in conflict — their relationship </w:t>
      </w:r>
      <w:r>
        <w:rPr>
          <w:i/>
          <w:iCs/>
        </w:rPr>
        <w:t xml:space="preserve">is</w:t>
      </w:r>
      <w:r>
        <w:t xml:space="preserve"> the finding. Under +3 °C, 1,111 MW of demand moves between seasons while the annual total shifts by only 32 MW, a quantity the confidence interval cannot distinguish from zero. Warming changes </w:t>
      </w:r>
      <w:r>
        <w:rPr>
          <w:i/>
          <w:iCs/>
        </w:rPr>
        <w:t xml:space="preserve">when</w:t>
      </w:r>
      <w:r>
        <w:t xml:space="preserve"> Spain uses electricity far more than </w:t>
      </w:r>
      <w:r>
        <w:rPr>
          <w:i/>
          <w:iCs/>
        </w:rPr>
        <w:t xml:space="preserve">how much</w:t>
      </w:r>
      <w:r>
        <w:t xml:space="preserve"> it uses over a year.</w:t>
      </w:r>
    </w:p>
    <w:p>
      <w:pPr>
        <w:spacing w:after="140" w:line="276"/>
        <w:jc w:val="both"/>
      </w:pPr>
      <w:r>
        <w:t xml:space="preserve">This distinction matters because generation and network capacity are sized by peak demand, not by annual energy. A redistribution toward summer, concentrated in the hours when the cooling response is steepest, increases required firm capacity even when annual consumption is unchanged. An analysis that reported only the annual figure would have concluded, incorrectly, that warming is immaterial to the Spanish grid.</w:t>
      </w:r>
    </w:p>
    <w:p>
      <w:pPr>
        <w:pStyle w:val="Heading2"/>
        <w:spacing w:after="140" w:before="280"/>
      </w:pPr>
      <w:r>
        <w:t xml:space="preserve">3.13 Emission factors</w:t>
      </w:r>
    </w:p>
    <w:p>
      <w:pPr>
        <w:spacing w:after="140" w:line="276"/>
        <w:jc w:val="both"/>
      </w:pPr>
      <w:r>
        <w:t xml:space="preserve">Total direct fossil CO₂ over the full record is 236.7 Mt, implying an </w:t>
      </w:r>
      <w:r>
        <w:rPr>
          <w:i/>
          <w:iCs/>
        </w:rPr>
        <w:t xml:space="preserve">average</w:t>
      </w:r>
      <w:r>
        <w:t xml:space="preserve"> carbon intensity of </w:t>
      </w:r>
      <w:r>
        <w:rPr>
          <w:b/>
          <w:bCs/>
        </w:rPr>
        <w:t xml:space="preserve">0.236 kg CO₂/kWh</w:t>
      </w:r>
      <w:r>
        <w:t xml:space="preserve">. Three of the seven fossil generation columns (oil shale, peat, coal-derived gas) are present in the schema but identically zero throughout, and no hour in the record has zero fossil generation.</w:t>
      </w:r>
    </w:p>
    <w:p>
      <w:pPr>
        <w:spacing w:after="140" w:line="276"/>
        <w:jc w:val="both"/>
      </w:pPr>
      <w:r>
        <w:t xml:space="preserve">The first-difference regression, fitted on 35,005 consecutive hour pairs, gives a </w:t>
      </w:r>
      <w:r>
        <w:rPr>
          <w:i/>
          <w:iCs/>
        </w:rPr>
        <w:t xml:space="preserve">marginal</w:t>
      </w:r>
      <w:r>
        <w:t xml:space="preserve"> factor of </w:t>
      </w:r>
      <w:r>
        <w:rPr>
          <w:b/>
          <w:bCs/>
        </w:rPr>
        <w:t xml:space="preserve">0.206 kg CO₂/kWh</w:t>
      </w:r>
      <w:r>
        <w:t xml:space="preserve">. The fit through the origin and the fit with a free intercept agree to three decimal places, and the intercept is small (98 kg/h) relative to typical hourly CO₂ changes, indicating that emissions do not drift materially independently of demand. The R² of 0.348 is unremarkable and expected — individual hourly changes are noisy even when the average relationship is well identified.</w:t>
      </w:r>
    </w:p>
    <w:p>
      <w:pPr>
        <w:spacing w:after="140" w:line="276"/>
        <w:jc w:val="both"/>
      </w:pPr>
      <w:r>
        <w:t xml:space="preserve">The marginal factor is 13% below the average factor, which is informative in itself: the units that follow load in Spain are on average cleaner than the fleet as a whole, because hydro reservoirs participate heavily in load-following.</w:t>
      </w:r>
    </w:p>
    <w:p>
      <w:pPr>
        <w:spacing w:after="140" w:line="276"/>
        <w:jc w:val="both"/>
      </w:pPr>
      <w:r>
        <w:t xml:space="preserve">The source-by-source decomposition (Table 11, Figure 15) makes this concrete.</w:t>
      </w:r>
    </w:p>
    <w:p>
      <w:pPr>
        <w:spacing w:after="90" w:before="200"/>
        <w:jc w:val="left"/>
      </w:pPr>
      <w:r>
        <w:rPr>
          <w:b/>
          <w:bCs/>
          <w:sz w:val="18"/>
          <w:szCs w:val="18"/>
        </w:rPr>
        <w:t xml:space="preserve">Table 11.</w:t>
      </w:r>
      <w:r>
        <w:rPr>
          <w:sz w:val="18"/>
          <w:szCs w:val="18"/>
        </w:rPr>
        <w:t xml:space="preserve"> Marginal dispatch decomposition: MW response per MW of demand change, by generation source.</w:t>
      </w:r>
    </w:p>
    <w:tbl>
      <w:tblPr>
        <w:tblW w:type="dxa" w:w="9026"/>
        <w:tblBorders>
          <w:top w:val="single" w:color="000000" w:sz="8"/>
          <w:left w:val="none" w:color="FFFFFF" w:sz="0"/>
          <w:bottom w:val="single" w:color="000000" w:sz="8"/>
          <w:right w:val="none" w:color="FFFFFF" w:sz="0"/>
          <w:insideH w:val="single" w:color="BBBBBB" w:sz="2"/>
          <w:insideV w:val="none" w:color="FFFFFF" w:sz="0"/>
        </w:tblBorders>
      </w:tblPr>
      <w:tblGrid>
        <w:gridCol w:w="3200"/>
        <w:gridCol w:w="2000"/>
        <w:gridCol w:w="1900"/>
        <w:gridCol w:w="1926"/>
      </w:tblGrid>
      <w:tr>
        <w:trPr>
          <w:tblHeader/>
        </w:trPr>
        <w:tc>
          <w:tcPr>
            <w:tcW w:type="dxa" w:w="3200"/>
            <w:shd w:fill="E8E8E8" w:color="auto" w:val="clear"/>
            <w:tcMar>
              <w:top w:type="dxa" w:w="60"/>
              <w:left w:type="dxa" w:w="90"/>
              <w:bottom w:type="dxa" w:w="60"/>
              <w:right w:type="dxa" w:w="90"/>
            </w:tcMar>
          </w:tcPr>
          <w:p>
            <w:pPr>
              <w:spacing w:after="0" w:line="240"/>
              <w:jc w:val="left"/>
            </w:pPr>
            <w:r>
              <w:rPr>
                <w:b/>
                <w:bCs/>
                <w:sz w:val="18"/>
                <w:szCs w:val="18"/>
              </w:rPr>
              <w:t xml:space="preserve">Source</w:t>
            </w:r>
          </w:p>
        </w:tc>
        <w:tc>
          <w:tcPr>
            <w:tcW w:type="dxa" w:w="2000"/>
            <w:shd w:fill="E8E8E8" w:color="auto" w:val="clear"/>
            <w:tcMar>
              <w:top w:type="dxa" w:w="60"/>
              <w:left w:type="dxa" w:w="90"/>
              <w:bottom w:type="dxa" w:w="60"/>
              <w:right w:type="dxa" w:w="90"/>
            </w:tcMar>
          </w:tcPr>
          <w:p>
            <w:pPr>
              <w:spacing w:after="0" w:line="240"/>
              <w:jc w:val="right"/>
            </w:pPr>
            <w:r>
              <w:rPr>
                <w:b/>
                <w:bCs/>
                <w:sz w:val="18"/>
                <w:szCs w:val="18"/>
              </w:rPr>
              <w:t xml:space="preserve">MW per MW Δ demand</w:t>
            </w:r>
          </w:p>
        </w:tc>
        <w:tc>
          <w:tcPr>
            <w:tcW w:type="dxa" w:w="1900"/>
            <w:shd w:fill="E8E8E8" w:color="auto" w:val="clear"/>
            <w:tcMar>
              <w:top w:type="dxa" w:w="60"/>
              <w:left w:type="dxa" w:w="90"/>
              <w:bottom w:type="dxa" w:w="60"/>
              <w:right w:type="dxa" w:w="90"/>
            </w:tcMar>
          </w:tcPr>
          <w:p>
            <w:pPr>
              <w:spacing w:after="0" w:line="240"/>
              <w:jc w:val="right"/>
            </w:pPr>
            <w:r>
              <w:rPr>
                <w:b/>
                <w:bCs/>
                <w:sz w:val="18"/>
                <w:szCs w:val="18"/>
              </w:rPr>
              <w:t xml:space="preserve">Mean output (MW)</w:t>
            </w:r>
          </w:p>
        </w:tc>
        <w:tc>
          <w:tcPr>
            <w:tcW w:type="dxa" w:w="1926"/>
            <w:shd w:fill="E8E8E8" w:color="auto" w:val="clear"/>
            <w:tcMar>
              <w:top w:type="dxa" w:w="60"/>
              <w:left w:type="dxa" w:w="90"/>
              <w:bottom w:type="dxa" w:w="60"/>
              <w:right w:type="dxa" w:w="90"/>
            </w:tcMar>
          </w:tcPr>
          <w:p>
            <w:pPr>
              <w:spacing w:after="0" w:line="240"/>
              <w:jc w:val="right"/>
            </w:pPr>
            <w:r>
              <w:rPr>
                <w:b/>
                <w:bCs/>
                <w:sz w:val="18"/>
                <w:szCs w:val="18"/>
              </w:rPr>
              <w:t xml:space="preserve">Share of response (%)</w:t>
            </w:r>
          </w:p>
        </w:tc>
      </w:tr>
      <w:tr>
        <w:tc>
          <w:tcPr>
            <w:tcW w:type="dxa" w:w="3200"/>
            <w:tcMar>
              <w:top w:type="dxa" w:w="60"/>
              <w:left w:type="dxa" w:w="90"/>
              <w:bottom w:type="dxa" w:w="60"/>
              <w:right w:type="dxa" w:w="90"/>
            </w:tcMar>
          </w:tcPr>
          <w:p>
            <w:pPr>
              <w:spacing w:after="0" w:line="240"/>
              <w:jc w:val="left"/>
            </w:pPr>
            <w:r>
              <w:rPr>
                <w:b w:val="false"/>
                <w:bCs w:val="false"/>
                <w:sz w:val="18"/>
                <w:szCs w:val="18"/>
              </w:rPr>
              <w:t xml:space="preserve">Hydro water reservoir</w:t>
            </w:r>
          </w:p>
        </w:tc>
        <w:tc>
          <w:tcPr>
            <w:tcW w:type="dxa" w:w="2000"/>
            <w:tcMar>
              <w:top w:type="dxa" w:w="60"/>
              <w:left w:type="dxa" w:w="90"/>
              <w:bottom w:type="dxa" w:w="60"/>
              <w:right w:type="dxa" w:w="90"/>
            </w:tcMar>
          </w:tcPr>
          <w:p>
            <w:pPr>
              <w:spacing w:after="0" w:line="240"/>
              <w:jc w:val="right"/>
            </w:pPr>
            <w:r>
              <w:rPr>
                <w:b w:val="false"/>
                <w:bCs w:val="false"/>
                <w:sz w:val="18"/>
                <w:szCs w:val="18"/>
              </w:rPr>
              <w:t xml:space="preserve">0.295</w:t>
            </w:r>
          </w:p>
        </w:tc>
        <w:tc>
          <w:tcPr>
            <w:tcW w:type="dxa" w:w="1900"/>
            <w:tcMar>
              <w:top w:type="dxa" w:w="60"/>
              <w:left w:type="dxa" w:w="90"/>
              <w:bottom w:type="dxa" w:w="60"/>
              <w:right w:type="dxa" w:w="90"/>
            </w:tcMar>
          </w:tcPr>
          <w:p>
            <w:pPr>
              <w:spacing w:after="0" w:line="240"/>
              <w:jc w:val="right"/>
            </w:pPr>
            <w:r>
              <w:rPr>
                <w:b w:val="false"/>
                <w:bCs w:val="false"/>
                <w:sz w:val="18"/>
                <w:szCs w:val="18"/>
              </w:rPr>
              <w:t xml:space="preserve">2,604.5</w:t>
            </w:r>
          </w:p>
        </w:tc>
        <w:tc>
          <w:tcPr>
            <w:tcW w:type="dxa" w:w="1926"/>
            <w:tcMar>
              <w:top w:type="dxa" w:w="60"/>
              <w:left w:type="dxa" w:w="90"/>
              <w:bottom w:type="dxa" w:w="60"/>
              <w:right w:type="dxa" w:w="90"/>
            </w:tcMar>
          </w:tcPr>
          <w:p>
            <w:pPr>
              <w:spacing w:after="0" w:line="240"/>
              <w:jc w:val="right"/>
            </w:pPr>
            <w:r>
              <w:rPr>
                <w:b w:val="false"/>
                <w:bCs w:val="false"/>
                <w:sz w:val="18"/>
                <w:szCs w:val="18"/>
              </w:rPr>
              <w:t xml:space="preserve">47.7</w:t>
            </w:r>
          </w:p>
        </w:tc>
      </w:tr>
      <w:tr>
        <w:tc>
          <w:tcPr>
            <w:tcW w:type="dxa" w:w="3200"/>
            <w:tcMar>
              <w:top w:type="dxa" w:w="60"/>
              <w:left w:type="dxa" w:w="90"/>
              <w:bottom w:type="dxa" w:w="60"/>
              <w:right w:type="dxa" w:w="90"/>
            </w:tcMar>
          </w:tcPr>
          <w:p>
            <w:pPr>
              <w:spacing w:after="0" w:line="240"/>
              <w:jc w:val="left"/>
            </w:pPr>
            <w:r>
              <w:rPr>
                <w:b w:val="false"/>
                <w:bCs w:val="false"/>
                <w:sz w:val="18"/>
                <w:szCs w:val="18"/>
              </w:rPr>
              <w:t xml:space="preserve">Fossil gas</w:t>
            </w:r>
          </w:p>
        </w:tc>
        <w:tc>
          <w:tcPr>
            <w:tcW w:type="dxa" w:w="2000"/>
            <w:tcMar>
              <w:top w:type="dxa" w:w="60"/>
              <w:left w:type="dxa" w:w="90"/>
              <w:bottom w:type="dxa" w:w="60"/>
              <w:right w:type="dxa" w:w="90"/>
            </w:tcMar>
          </w:tcPr>
          <w:p>
            <w:pPr>
              <w:spacing w:after="0" w:line="240"/>
              <w:jc w:val="right"/>
            </w:pPr>
            <w:r>
              <w:rPr>
                <w:b w:val="false"/>
                <w:bCs w:val="false"/>
                <w:sz w:val="18"/>
                <w:szCs w:val="18"/>
              </w:rPr>
              <w:t xml:space="preserve">0.227</w:t>
            </w:r>
          </w:p>
        </w:tc>
        <w:tc>
          <w:tcPr>
            <w:tcW w:type="dxa" w:w="1900"/>
            <w:tcMar>
              <w:top w:type="dxa" w:w="60"/>
              <w:left w:type="dxa" w:w="90"/>
              <w:bottom w:type="dxa" w:w="60"/>
              <w:right w:type="dxa" w:w="90"/>
            </w:tcMar>
          </w:tcPr>
          <w:p>
            <w:pPr>
              <w:spacing w:after="0" w:line="240"/>
              <w:jc w:val="right"/>
            </w:pPr>
            <w:r>
              <w:rPr>
                <w:b w:val="false"/>
                <w:bCs w:val="false"/>
                <w:sz w:val="18"/>
                <w:szCs w:val="18"/>
              </w:rPr>
              <w:t xml:space="preserve">5,622.5</w:t>
            </w:r>
          </w:p>
        </w:tc>
        <w:tc>
          <w:tcPr>
            <w:tcW w:type="dxa" w:w="1926"/>
            <w:tcMar>
              <w:top w:type="dxa" w:w="60"/>
              <w:left w:type="dxa" w:w="90"/>
              <w:bottom w:type="dxa" w:w="60"/>
              <w:right w:type="dxa" w:w="90"/>
            </w:tcMar>
          </w:tcPr>
          <w:p>
            <w:pPr>
              <w:spacing w:after="0" w:line="240"/>
              <w:jc w:val="right"/>
            </w:pPr>
            <w:r>
              <w:rPr>
                <w:b w:val="false"/>
                <w:bCs w:val="false"/>
                <w:sz w:val="18"/>
                <w:szCs w:val="18"/>
              </w:rPr>
              <w:t xml:space="preserve">36.7</w:t>
            </w:r>
          </w:p>
        </w:tc>
      </w:tr>
      <w:tr>
        <w:tc>
          <w:tcPr>
            <w:tcW w:type="dxa" w:w="3200"/>
            <w:tcMar>
              <w:top w:type="dxa" w:w="60"/>
              <w:left w:type="dxa" w:w="90"/>
              <w:bottom w:type="dxa" w:w="60"/>
              <w:right w:type="dxa" w:w="90"/>
            </w:tcMar>
          </w:tcPr>
          <w:p>
            <w:pPr>
              <w:spacing w:after="0" w:line="240"/>
              <w:jc w:val="left"/>
            </w:pPr>
            <w:r>
              <w:rPr>
                <w:b w:val="false"/>
                <w:bCs w:val="false"/>
                <w:sz w:val="18"/>
                <w:szCs w:val="18"/>
              </w:rPr>
              <w:t xml:space="preserve">Fossil hard coal</w:t>
            </w:r>
          </w:p>
        </w:tc>
        <w:tc>
          <w:tcPr>
            <w:tcW w:type="dxa" w:w="2000"/>
            <w:tcMar>
              <w:top w:type="dxa" w:w="60"/>
              <w:left w:type="dxa" w:w="90"/>
              <w:bottom w:type="dxa" w:w="60"/>
              <w:right w:type="dxa" w:w="90"/>
            </w:tcMar>
          </w:tcPr>
          <w:p>
            <w:pPr>
              <w:spacing w:after="0" w:line="240"/>
              <w:jc w:val="right"/>
            </w:pPr>
            <w:r>
              <w:rPr>
                <w:b w:val="false"/>
                <w:bCs w:val="false"/>
                <w:sz w:val="18"/>
                <w:szCs w:val="18"/>
              </w:rPr>
              <w:t xml:space="preserve">0.111</w:t>
            </w:r>
          </w:p>
        </w:tc>
        <w:tc>
          <w:tcPr>
            <w:tcW w:type="dxa" w:w="1900"/>
            <w:tcMar>
              <w:top w:type="dxa" w:w="60"/>
              <w:left w:type="dxa" w:w="90"/>
              <w:bottom w:type="dxa" w:w="60"/>
              <w:right w:type="dxa" w:w="90"/>
            </w:tcMar>
          </w:tcPr>
          <w:p>
            <w:pPr>
              <w:spacing w:after="0" w:line="240"/>
              <w:jc w:val="right"/>
            </w:pPr>
            <w:r>
              <w:rPr>
                <w:b w:val="false"/>
                <w:bCs w:val="false"/>
                <w:sz w:val="18"/>
                <w:szCs w:val="18"/>
              </w:rPr>
              <w:t xml:space="preserve">4,256.0</w:t>
            </w:r>
          </w:p>
        </w:tc>
        <w:tc>
          <w:tcPr>
            <w:tcW w:type="dxa" w:w="1926"/>
            <w:tcMar>
              <w:top w:type="dxa" w:w="60"/>
              <w:left w:type="dxa" w:w="90"/>
              <w:bottom w:type="dxa" w:w="60"/>
              <w:right w:type="dxa" w:w="90"/>
            </w:tcMar>
          </w:tcPr>
          <w:p>
            <w:pPr>
              <w:spacing w:after="0" w:line="240"/>
              <w:jc w:val="right"/>
            </w:pPr>
            <w:r>
              <w:rPr>
                <w:b w:val="false"/>
                <w:bCs w:val="false"/>
                <w:sz w:val="18"/>
                <w:szCs w:val="18"/>
              </w:rPr>
              <w:t xml:space="preserve">17.9</w:t>
            </w:r>
          </w:p>
        </w:tc>
      </w:tr>
      <w:tr>
        <w:tc>
          <w:tcPr>
            <w:tcW w:type="dxa" w:w="3200"/>
            <w:tcMar>
              <w:top w:type="dxa" w:w="60"/>
              <w:left w:type="dxa" w:w="90"/>
              <w:bottom w:type="dxa" w:w="60"/>
              <w:right w:type="dxa" w:w="90"/>
            </w:tcMar>
          </w:tcPr>
          <w:p>
            <w:pPr>
              <w:spacing w:after="0" w:line="240"/>
              <w:jc w:val="left"/>
            </w:pPr>
            <w:r>
              <w:rPr>
                <w:b w:val="false"/>
                <w:bCs w:val="false"/>
                <w:sz w:val="18"/>
                <w:szCs w:val="18"/>
              </w:rPr>
              <w:t xml:space="preserve">Solar</w:t>
            </w:r>
          </w:p>
        </w:tc>
        <w:tc>
          <w:tcPr>
            <w:tcW w:type="dxa" w:w="2000"/>
            <w:tcMar>
              <w:top w:type="dxa" w:w="60"/>
              <w:left w:type="dxa" w:w="90"/>
              <w:bottom w:type="dxa" w:w="60"/>
              <w:right w:type="dxa" w:w="90"/>
            </w:tcMar>
          </w:tcPr>
          <w:p>
            <w:pPr>
              <w:spacing w:after="0" w:line="240"/>
              <w:jc w:val="right"/>
            </w:pPr>
            <w:r>
              <w:rPr>
                <w:b w:val="false"/>
                <w:bCs w:val="false"/>
                <w:sz w:val="18"/>
                <w:szCs w:val="18"/>
              </w:rPr>
              <w:t xml:space="preserve">0.069</w:t>
            </w:r>
          </w:p>
        </w:tc>
        <w:tc>
          <w:tcPr>
            <w:tcW w:type="dxa" w:w="1900"/>
            <w:tcMar>
              <w:top w:type="dxa" w:w="60"/>
              <w:left w:type="dxa" w:w="90"/>
              <w:bottom w:type="dxa" w:w="60"/>
              <w:right w:type="dxa" w:w="90"/>
            </w:tcMar>
          </w:tcPr>
          <w:p>
            <w:pPr>
              <w:spacing w:after="0" w:line="240"/>
              <w:jc w:val="right"/>
            </w:pPr>
            <w:r>
              <w:rPr>
                <w:b w:val="false"/>
                <w:bCs w:val="false"/>
                <w:sz w:val="18"/>
                <w:szCs w:val="18"/>
              </w:rPr>
              <w:t xml:space="preserve">1,432.7</w:t>
            </w:r>
          </w:p>
        </w:tc>
        <w:tc>
          <w:tcPr>
            <w:tcW w:type="dxa" w:w="1926"/>
            <w:tcMar>
              <w:top w:type="dxa" w:w="60"/>
              <w:left w:type="dxa" w:w="90"/>
              <w:bottom w:type="dxa" w:w="60"/>
              <w:right w:type="dxa" w:w="90"/>
            </w:tcMar>
          </w:tcPr>
          <w:p>
            <w:pPr>
              <w:spacing w:after="0" w:line="240"/>
              <w:jc w:val="right"/>
            </w:pPr>
            <w:r>
              <w:rPr>
                <w:b w:val="false"/>
                <w:bCs w:val="false"/>
                <w:sz w:val="18"/>
                <w:szCs w:val="18"/>
              </w:rPr>
              <w:t xml:space="preserve">11.1</w:t>
            </w:r>
          </w:p>
        </w:tc>
      </w:tr>
      <w:tr>
        <w:tc>
          <w:tcPr>
            <w:tcW w:type="dxa" w:w="3200"/>
            <w:tcMar>
              <w:top w:type="dxa" w:w="60"/>
              <w:left w:type="dxa" w:w="90"/>
              <w:bottom w:type="dxa" w:w="60"/>
              <w:right w:type="dxa" w:w="90"/>
            </w:tcMar>
          </w:tcPr>
          <w:p>
            <w:pPr>
              <w:spacing w:after="0" w:line="240"/>
              <w:jc w:val="left"/>
            </w:pPr>
            <w:r>
              <w:rPr>
                <w:b w:val="false"/>
                <w:bCs w:val="false"/>
                <w:sz w:val="18"/>
                <w:szCs w:val="18"/>
              </w:rPr>
              <w:t xml:space="preserve">Hydro run-of-river</w:t>
            </w:r>
          </w:p>
        </w:tc>
        <w:tc>
          <w:tcPr>
            <w:tcW w:type="dxa" w:w="2000"/>
            <w:tcMar>
              <w:top w:type="dxa" w:w="60"/>
              <w:left w:type="dxa" w:w="90"/>
              <w:bottom w:type="dxa" w:w="60"/>
              <w:right w:type="dxa" w:w="90"/>
            </w:tcMar>
          </w:tcPr>
          <w:p>
            <w:pPr>
              <w:spacing w:after="0" w:line="240"/>
              <w:jc w:val="right"/>
            </w:pPr>
            <w:r>
              <w:rPr>
                <w:b w:val="false"/>
                <w:bCs w:val="false"/>
                <w:sz w:val="18"/>
                <w:szCs w:val="18"/>
              </w:rPr>
              <w:t xml:space="preserve">0.013</w:t>
            </w:r>
          </w:p>
        </w:tc>
        <w:tc>
          <w:tcPr>
            <w:tcW w:type="dxa" w:w="1900"/>
            <w:tcMar>
              <w:top w:type="dxa" w:w="60"/>
              <w:left w:type="dxa" w:w="90"/>
              <w:bottom w:type="dxa" w:w="60"/>
              <w:right w:type="dxa" w:w="90"/>
            </w:tcMar>
          </w:tcPr>
          <w:p>
            <w:pPr>
              <w:spacing w:after="0" w:line="240"/>
              <w:jc w:val="right"/>
            </w:pPr>
            <w:r>
              <w:rPr>
                <w:b w:val="false"/>
                <w:bCs w:val="false"/>
                <w:sz w:val="18"/>
                <w:szCs w:val="18"/>
              </w:rPr>
              <w:t xml:space="preserve">972.1</w:t>
            </w:r>
          </w:p>
        </w:tc>
        <w:tc>
          <w:tcPr>
            <w:tcW w:type="dxa" w:w="1926"/>
            <w:tcMar>
              <w:top w:type="dxa" w:w="60"/>
              <w:left w:type="dxa" w:w="90"/>
              <w:bottom w:type="dxa" w:w="60"/>
              <w:right w:type="dxa" w:w="90"/>
            </w:tcMar>
          </w:tcPr>
          <w:p>
            <w:pPr>
              <w:spacing w:after="0" w:line="240"/>
              <w:jc w:val="right"/>
            </w:pPr>
            <w:r>
              <w:rPr>
                <w:b w:val="false"/>
                <w:bCs w:val="false"/>
                <w:sz w:val="18"/>
                <w:szCs w:val="18"/>
              </w:rPr>
              <w:t xml:space="preserve">2.2</w:t>
            </w:r>
          </w:p>
        </w:tc>
      </w:tr>
      <w:tr>
        <w:tc>
          <w:tcPr>
            <w:tcW w:type="dxa" w:w="3200"/>
            <w:tcMar>
              <w:top w:type="dxa" w:w="60"/>
              <w:left w:type="dxa" w:w="90"/>
              <w:bottom w:type="dxa" w:w="60"/>
              <w:right w:type="dxa" w:w="90"/>
            </w:tcMar>
          </w:tcPr>
          <w:p>
            <w:pPr>
              <w:spacing w:after="0" w:line="240"/>
              <w:jc w:val="left"/>
            </w:pPr>
            <w:r>
              <w:rPr>
                <w:b w:val="false"/>
                <w:bCs w:val="false"/>
                <w:sz w:val="18"/>
                <w:szCs w:val="18"/>
              </w:rPr>
              <w:t xml:space="preserve">Fossil brown coal</w:t>
            </w:r>
          </w:p>
        </w:tc>
        <w:tc>
          <w:tcPr>
            <w:tcW w:type="dxa" w:w="2000"/>
            <w:tcMar>
              <w:top w:type="dxa" w:w="60"/>
              <w:left w:type="dxa" w:w="90"/>
              <w:bottom w:type="dxa" w:w="60"/>
              <w:right w:type="dxa" w:w="90"/>
            </w:tcMar>
          </w:tcPr>
          <w:p>
            <w:pPr>
              <w:spacing w:after="0" w:line="240"/>
              <w:jc w:val="right"/>
            </w:pPr>
            <w:r>
              <w:rPr>
                <w:b w:val="false"/>
                <w:bCs w:val="false"/>
                <w:sz w:val="18"/>
                <w:szCs w:val="18"/>
              </w:rPr>
              <w:t xml:space="preserve">0.012</w:t>
            </w:r>
          </w:p>
        </w:tc>
        <w:tc>
          <w:tcPr>
            <w:tcW w:type="dxa" w:w="1900"/>
            <w:tcMar>
              <w:top w:type="dxa" w:w="60"/>
              <w:left w:type="dxa" w:w="90"/>
              <w:bottom w:type="dxa" w:w="60"/>
              <w:right w:type="dxa" w:w="90"/>
            </w:tcMar>
          </w:tcPr>
          <w:p>
            <w:pPr>
              <w:spacing w:after="0" w:line="240"/>
              <w:jc w:val="right"/>
            </w:pPr>
            <w:r>
              <w:rPr>
                <w:b w:val="false"/>
                <w:bCs w:val="false"/>
                <w:sz w:val="18"/>
                <w:szCs w:val="18"/>
              </w:rPr>
              <w:t xml:space="preserve">448.2</w:t>
            </w:r>
          </w:p>
        </w:tc>
        <w:tc>
          <w:tcPr>
            <w:tcW w:type="dxa" w:w="1926"/>
            <w:tcMar>
              <w:top w:type="dxa" w:w="60"/>
              <w:left w:type="dxa" w:w="90"/>
              <w:bottom w:type="dxa" w:w="60"/>
              <w:right w:type="dxa" w:w="90"/>
            </w:tcMar>
          </w:tcPr>
          <w:p>
            <w:pPr>
              <w:spacing w:after="0" w:line="240"/>
              <w:jc w:val="right"/>
            </w:pPr>
            <w:r>
              <w:rPr>
                <w:b w:val="false"/>
                <w:bCs w:val="false"/>
                <w:sz w:val="18"/>
                <w:szCs w:val="18"/>
              </w:rPr>
              <w:t xml:space="preserve">2.0</w:t>
            </w:r>
          </w:p>
        </w:tc>
      </w:tr>
      <w:tr>
        <w:tc>
          <w:tcPr>
            <w:tcW w:type="dxa" w:w="3200"/>
            <w:tcMar>
              <w:top w:type="dxa" w:w="60"/>
              <w:left w:type="dxa" w:w="90"/>
              <w:bottom w:type="dxa" w:w="60"/>
              <w:right w:type="dxa" w:w="90"/>
            </w:tcMar>
          </w:tcPr>
          <w:p>
            <w:pPr>
              <w:spacing w:after="0" w:line="240"/>
              <w:jc w:val="left"/>
            </w:pPr>
            <w:r>
              <w:rPr>
                <w:b w:val="false"/>
                <w:bCs w:val="false"/>
                <w:sz w:val="18"/>
                <w:szCs w:val="18"/>
              </w:rPr>
              <w:t xml:space="preserve">Nuclear</w:t>
            </w:r>
          </w:p>
        </w:tc>
        <w:tc>
          <w:tcPr>
            <w:tcW w:type="dxa" w:w="2000"/>
            <w:tcMar>
              <w:top w:type="dxa" w:w="60"/>
              <w:left w:type="dxa" w:w="90"/>
              <w:bottom w:type="dxa" w:w="60"/>
              <w:right w:type="dxa" w:w="90"/>
            </w:tcMar>
          </w:tcPr>
          <w:p>
            <w:pPr>
              <w:spacing w:after="0" w:line="240"/>
              <w:jc w:val="right"/>
            </w:pPr>
            <w:r>
              <w:rPr>
                <w:b w:val="false"/>
                <w:bCs w:val="false"/>
                <w:sz w:val="18"/>
                <w:szCs w:val="18"/>
              </w:rPr>
              <w:t xml:space="preserve">0.006</w:t>
            </w:r>
          </w:p>
        </w:tc>
        <w:tc>
          <w:tcPr>
            <w:tcW w:type="dxa" w:w="1900"/>
            <w:tcMar>
              <w:top w:type="dxa" w:w="60"/>
              <w:left w:type="dxa" w:w="90"/>
              <w:bottom w:type="dxa" w:w="60"/>
              <w:right w:type="dxa" w:w="90"/>
            </w:tcMar>
          </w:tcPr>
          <w:p>
            <w:pPr>
              <w:spacing w:after="0" w:line="240"/>
              <w:jc w:val="right"/>
            </w:pPr>
            <w:r>
              <w:rPr>
                <w:b w:val="false"/>
                <w:bCs w:val="false"/>
                <w:sz w:val="18"/>
                <w:szCs w:val="18"/>
              </w:rPr>
              <w:t xml:space="preserve">6,263.9</w:t>
            </w:r>
          </w:p>
        </w:tc>
        <w:tc>
          <w:tcPr>
            <w:tcW w:type="dxa" w:w="1926"/>
            <w:tcMar>
              <w:top w:type="dxa" w:w="60"/>
              <w:left w:type="dxa" w:w="90"/>
              <w:bottom w:type="dxa" w:w="60"/>
              <w:right w:type="dxa" w:w="90"/>
            </w:tcMar>
          </w:tcPr>
          <w:p>
            <w:pPr>
              <w:spacing w:after="0" w:line="240"/>
              <w:jc w:val="right"/>
            </w:pPr>
            <w:r>
              <w:rPr>
                <w:b w:val="false"/>
                <w:bCs w:val="false"/>
                <w:sz w:val="18"/>
                <w:szCs w:val="18"/>
              </w:rPr>
              <w:t xml:space="preserve">1.0</w:t>
            </w:r>
          </w:p>
        </w:tc>
      </w:tr>
      <w:tr>
        <w:tc>
          <w:tcPr>
            <w:tcW w:type="dxa" w:w="3200"/>
            <w:tcMar>
              <w:top w:type="dxa" w:w="60"/>
              <w:left w:type="dxa" w:w="90"/>
              <w:bottom w:type="dxa" w:w="60"/>
              <w:right w:type="dxa" w:w="90"/>
            </w:tcMar>
          </w:tcPr>
          <w:p>
            <w:pPr>
              <w:spacing w:after="0" w:line="240"/>
              <w:jc w:val="left"/>
            </w:pPr>
            <w:r>
              <w:rPr>
                <w:b w:val="false"/>
                <w:bCs w:val="false"/>
                <w:sz w:val="18"/>
                <w:szCs w:val="18"/>
              </w:rPr>
              <w:t xml:space="preserve">Fossil oil</w:t>
            </w:r>
          </w:p>
        </w:tc>
        <w:tc>
          <w:tcPr>
            <w:tcW w:type="dxa" w:w="2000"/>
            <w:tcMar>
              <w:top w:type="dxa" w:w="60"/>
              <w:left w:type="dxa" w:w="90"/>
              <w:bottom w:type="dxa" w:w="60"/>
              <w:right w:type="dxa" w:w="90"/>
            </w:tcMar>
          </w:tcPr>
          <w:p>
            <w:pPr>
              <w:spacing w:after="0" w:line="240"/>
              <w:jc w:val="right"/>
            </w:pPr>
            <w:r>
              <w:rPr>
                <w:b w:val="false"/>
                <w:bCs w:val="false"/>
                <w:sz w:val="18"/>
                <w:szCs w:val="18"/>
              </w:rPr>
              <w:t xml:space="preserve">0.003</w:t>
            </w:r>
          </w:p>
        </w:tc>
        <w:tc>
          <w:tcPr>
            <w:tcW w:type="dxa" w:w="1900"/>
            <w:tcMar>
              <w:top w:type="dxa" w:w="60"/>
              <w:left w:type="dxa" w:w="90"/>
              <w:bottom w:type="dxa" w:w="60"/>
              <w:right w:type="dxa" w:w="90"/>
            </w:tcMar>
          </w:tcPr>
          <w:p>
            <w:pPr>
              <w:spacing w:after="0" w:line="240"/>
              <w:jc w:val="right"/>
            </w:pPr>
            <w:r>
              <w:rPr>
                <w:b w:val="false"/>
                <w:bCs w:val="false"/>
                <w:sz w:val="18"/>
                <w:szCs w:val="18"/>
              </w:rPr>
              <w:t xml:space="preserve">298.3</w:t>
            </w:r>
          </w:p>
        </w:tc>
        <w:tc>
          <w:tcPr>
            <w:tcW w:type="dxa" w:w="1926"/>
            <w:tcMar>
              <w:top w:type="dxa" w:w="60"/>
              <w:left w:type="dxa" w:w="90"/>
              <w:bottom w:type="dxa" w:w="60"/>
              <w:right w:type="dxa" w:w="90"/>
            </w:tcMar>
          </w:tcPr>
          <w:p>
            <w:pPr>
              <w:spacing w:after="0" w:line="240"/>
              <w:jc w:val="right"/>
            </w:pPr>
            <w:r>
              <w:rPr>
                <w:b w:val="false"/>
                <w:bCs w:val="false"/>
                <w:sz w:val="18"/>
                <w:szCs w:val="18"/>
              </w:rPr>
              <w:t xml:space="preserve">0.5</w:t>
            </w:r>
          </w:p>
        </w:tc>
      </w:tr>
      <w:tr>
        <w:tc>
          <w:tcPr>
            <w:tcW w:type="dxa" w:w="3200"/>
            <w:tcMar>
              <w:top w:type="dxa" w:w="60"/>
              <w:left w:type="dxa" w:w="90"/>
              <w:bottom w:type="dxa" w:w="60"/>
              <w:right w:type="dxa" w:w="90"/>
            </w:tcMar>
          </w:tcPr>
          <w:p>
            <w:pPr>
              <w:spacing w:after="0" w:line="240"/>
              <w:jc w:val="left"/>
            </w:pPr>
            <w:r>
              <w:rPr>
                <w:b w:val="false"/>
                <w:bCs w:val="false"/>
                <w:sz w:val="18"/>
                <w:szCs w:val="18"/>
              </w:rPr>
              <w:t xml:space="preserve">Wind onshore</w:t>
            </w:r>
          </w:p>
        </w:tc>
        <w:tc>
          <w:tcPr>
            <w:tcW w:type="dxa" w:w="2000"/>
            <w:tcMar>
              <w:top w:type="dxa" w:w="60"/>
              <w:left w:type="dxa" w:w="90"/>
              <w:bottom w:type="dxa" w:w="60"/>
              <w:right w:type="dxa" w:w="90"/>
            </w:tcMar>
          </w:tcPr>
          <w:p>
            <w:pPr>
              <w:spacing w:after="0" w:line="240"/>
              <w:jc w:val="right"/>
            </w:pPr>
            <w:r>
              <w:rPr>
                <w:b w:val="false"/>
                <w:bCs w:val="false"/>
                <w:sz w:val="18"/>
                <w:szCs w:val="18"/>
              </w:rPr>
              <w:t xml:space="preserve">−0.008</w:t>
            </w:r>
          </w:p>
        </w:tc>
        <w:tc>
          <w:tcPr>
            <w:tcW w:type="dxa" w:w="1900"/>
            <w:tcMar>
              <w:top w:type="dxa" w:w="60"/>
              <w:left w:type="dxa" w:w="90"/>
              <w:bottom w:type="dxa" w:w="60"/>
              <w:right w:type="dxa" w:w="90"/>
            </w:tcMar>
          </w:tcPr>
          <w:p>
            <w:pPr>
              <w:spacing w:after="0" w:line="240"/>
              <w:jc w:val="right"/>
            </w:pPr>
            <w:r>
              <w:rPr>
                <w:b w:val="false"/>
                <w:bCs w:val="false"/>
                <w:sz w:val="18"/>
                <w:szCs w:val="18"/>
              </w:rPr>
              <w:t xml:space="preserve">5,466.0</w:t>
            </w:r>
          </w:p>
        </w:tc>
        <w:tc>
          <w:tcPr>
            <w:tcW w:type="dxa" w:w="1926"/>
            <w:tcMar>
              <w:top w:type="dxa" w:w="60"/>
              <w:left w:type="dxa" w:w="90"/>
              <w:bottom w:type="dxa" w:w="60"/>
              <w:right w:type="dxa" w:w="90"/>
            </w:tcMar>
          </w:tcPr>
          <w:p>
            <w:pPr>
              <w:spacing w:after="0" w:line="240"/>
              <w:jc w:val="right"/>
            </w:pPr>
            <w:r>
              <w:rPr>
                <w:b w:val="false"/>
                <w:bCs w:val="false"/>
                <w:sz w:val="18"/>
                <w:szCs w:val="18"/>
              </w:rPr>
              <w:t xml:space="preserve">−1.3</w:t>
            </w:r>
          </w:p>
        </w:tc>
      </w:tr>
      <w:tr>
        <w:tc>
          <w:tcPr>
            <w:tcW w:type="dxa" w:w="3200"/>
            <w:tcMar>
              <w:top w:type="dxa" w:w="60"/>
              <w:left w:type="dxa" w:w="90"/>
              <w:bottom w:type="dxa" w:w="60"/>
              <w:right w:type="dxa" w:w="90"/>
            </w:tcMar>
          </w:tcPr>
          <w:p>
            <w:pPr>
              <w:spacing w:after="0" w:line="240"/>
              <w:jc w:val="left"/>
            </w:pPr>
            <w:r>
              <w:rPr>
                <w:b w:val="false"/>
                <w:bCs w:val="false"/>
                <w:sz w:val="18"/>
                <w:szCs w:val="18"/>
              </w:rPr>
              <w:t xml:space="preserve">Hydro pumped storage (consumption)</w:t>
            </w:r>
          </w:p>
        </w:tc>
        <w:tc>
          <w:tcPr>
            <w:tcW w:type="dxa" w:w="2000"/>
            <w:tcMar>
              <w:top w:type="dxa" w:w="60"/>
              <w:left w:type="dxa" w:w="90"/>
              <w:bottom w:type="dxa" w:w="60"/>
              <w:right w:type="dxa" w:w="90"/>
            </w:tcMar>
          </w:tcPr>
          <w:p>
            <w:pPr>
              <w:spacing w:after="0" w:line="240"/>
              <w:jc w:val="right"/>
            </w:pPr>
            <w:r>
              <w:rPr>
                <w:b w:val="false"/>
                <w:bCs w:val="false"/>
                <w:sz w:val="18"/>
                <w:szCs w:val="18"/>
              </w:rPr>
              <w:t xml:space="preserve">−0.112</w:t>
            </w:r>
          </w:p>
        </w:tc>
        <w:tc>
          <w:tcPr>
            <w:tcW w:type="dxa" w:w="1900"/>
            <w:tcMar>
              <w:top w:type="dxa" w:w="60"/>
              <w:left w:type="dxa" w:w="90"/>
              <w:bottom w:type="dxa" w:w="60"/>
              <w:right w:type="dxa" w:w="90"/>
            </w:tcMar>
          </w:tcPr>
          <w:p>
            <w:pPr>
              <w:spacing w:after="0" w:line="240"/>
              <w:jc w:val="right"/>
            </w:pPr>
            <w:r>
              <w:rPr>
                <w:b w:val="false"/>
                <w:bCs w:val="false"/>
                <w:sz w:val="18"/>
                <w:szCs w:val="18"/>
              </w:rPr>
              <w:t xml:space="preserve">475.7</w:t>
            </w:r>
          </w:p>
        </w:tc>
        <w:tc>
          <w:tcPr>
            <w:tcW w:type="dxa" w:w="1926"/>
            <w:tcMar>
              <w:top w:type="dxa" w:w="60"/>
              <w:left w:type="dxa" w:w="90"/>
              <w:bottom w:type="dxa" w:w="60"/>
              <w:right w:type="dxa" w:w="90"/>
            </w:tcMar>
          </w:tcPr>
          <w:p>
            <w:pPr>
              <w:spacing w:after="0" w:line="240"/>
              <w:jc w:val="right"/>
            </w:pPr>
            <w:r>
              <w:rPr>
                <w:b w:val="false"/>
                <w:bCs w:val="false"/>
                <w:sz w:val="18"/>
                <w:szCs w:val="18"/>
              </w:rPr>
              <w:t xml:space="preserve">−18.2</w:t>
            </w:r>
          </w:p>
        </w:tc>
      </w:tr>
    </w:tbl>
    <w:p>
      <w:pPr>
        <w:spacing w:after="200"/>
      </w:pPr>
    </w:p>
    <w:p>
      <w:pPr>
        <w:spacing w:after="140" w:line="276"/>
        <w:jc w:val="both"/>
      </w:pPr>
      <w:r>
        <w:t xml:space="preserve">Three points stand out. Hydro reservoirs are the largest single component of the marginal response (47.7%), which is why the marginal factor falls below the average. Nuclear contributes almost nothing (0.006) despite having the largest mean output in the fleet, correctly identifying it as baseload that does not follow demand. Pumped-storage consumption has a </w:t>
      </w:r>
      <w:r>
        <w:rPr>
          <w:i/>
          <w:iCs/>
        </w:rPr>
        <w:t xml:space="preserve">negative</w:t>
      </w:r>
      <w:r>
        <w:t xml:space="preserve"> slope (−0.112): when demand rises, pumping is curtailed, freeing supply — physically exactly right, and a useful validity check on the method.</w:t>
      </w:r>
    </w:p>
    <w:p>
      <w:pPr>
        <w:spacing w:after="140" w:line="276"/>
        <w:jc w:val="both"/>
      </w:pPr>
      <w:r>
        <w:t xml:space="preserve">Recombining the source slopes with their emission factors reconstructs a marginal factor of 0.206 kg/kWh, identical to the direct regression estimate. Two independent routes to the same number is meaningful corroboration that the estimate is not an artefact of either procedure.</w:t>
      </w:r>
    </w:p>
    <w:p>
      <w:pPr>
        <w:spacing w:after="60" w:before="160"/>
        <w:jc w:val="center"/>
      </w:pPr>
      <w:r>
        <w:drawing>
          <wp:inline distT="0" distB="0" distL="0" distR="0">
            <wp:extent cx="4762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3695700"/>
                    </a:xfrm>
                    <a:prstGeom prst="rect">
                      <a:avLst/>
                    </a:prstGeom>
                  </pic:spPr>
                </pic:pic>
              </a:graphicData>
            </a:graphic>
          </wp:inline>
        </w:drawing>
      </w:r>
    </w:p>
    <w:p>
      <w:pPr>
        <w:spacing w:after="220" w:before="80"/>
        <w:jc w:val="center"/>
      </w:pPr>
      <w:r>
        <w:rPr>
          <w:b/>
          <w:bCs/>
          <w:i w:val="false"/>
          <w:iCs w:val="false"/>
          <w:sz w:val="18"/>
          <w:szCs w:val="18"/>
        </w:rPr>
        <w:t xml:space="preserve">Figure 15.</w:t>
      </w:r>
      <w:r>
        <w:rPr>
          <w:i w:val="false"/>
          <w:iCs w:val="false"/>
          <w:sz w:val="18"/>
          <w:szCs w:val="18"/>
        </w:rPr>
        <w:t xml:space="preserve"> Marginal dispatch response by generation source.</w:t>
      </w:r>
    </w:p>
    <w:p>
      <w:pPr>
        <w:pStyle w:val="Heading2"/>
        <w:spacing w:after="140" w:before="280"/>
      </w:pPr>
      <w:r>
        <w:t xml:space="preserve">3.14 CO₂ impact of the warming scenarios</w:t>
      </w:r>
    </w:p>
    <w:p>
      <w:pPr>
        <w:spacing w:after="140" w:line="276"/>
        <w:jc w:val="both"/>
      </w:pPr>
      <w:r>
        <w:t xml:space="preserve">Applying the marginal factor of 0.206 kg CO₂/kWh to the seasonal demand changes over the test-year season lengths (winter 2,159 h, spring 2,207 h, summer 2,206 h, autumn 2,185 h) gives Table 12.</w:t>
      </w:r>
    </w:p>
    <w:p>
      <w:pPr>
        <w:spacing w:after="90" w:before="200"/>
        <w:jc w:val="left"/>
      </w:pPr>
      <w:r>
        <w:rPr>
          <w:b/>
          <w:bCs/>
          <w:sz w:val="18"/>
          <w:szCs w:val="18"/>
        </w:rPr>
        <w:t xml:space="preserve">Table 12.</w:t>
      </w:r>
      <w:r>
        <w:rPr>
          <w:sz w:val="18"/>
          <w:szCs w:val="18"/>
        </w:rPr>
        <w:t xml:space="preserve"> Seasonal CO₂ impact of the warming scenarios (test year). CO₂ bounds propagate the 95% demand confidence intervals.</w:t>
      </w:r>
    </w:p>
    <w:tbl>
      <w:tblPr>
        <w:tblW w:type="dxa" w:w="9026"/>
        <w:tblBorders>
          <w:top w:val="single" w:color="000000" w:sz="8"/>
          <w:left w:val="none" w:color="FFFFFF" w:sz="0"/>
          <w:bottom w:val="single" w:color="000000" w:sz="8"/>
          <w:right w:val="none" w:color="FFFFFF" w:sz="0"/>
          <w:insideH w:val="single" w:color="BBBBBB" w:sz="2"/>
          <w:insideV w:val="none" w:color="FFFFFF" w:sz="0"/>
        </w:tblBorders>
      </w:tblPr>
      <w:tblGrid>
        <w:gridCol w:w="1000"/>
        <w:gridCol w:w="700"/>
        <w:gridCol w:w="1400"/>
        <w:gridCol w:w="1400"/>
        <w:gridCol w:w="1300"/>
        <w:gridCol w:w="2226"/>
        <w:gridCol w:w="1000"/>
      </w:tblGrid>
      <w:tr>
        <w:trPr>
          <w:tblHeader/>
        </w:trPr>
        <w:tc>
          <w:tcPr>
            <w:tcW w:type="dxa" w:w="1000"/>
            <w:shd w:fill="E8E8E8" w:color="auto" w:val="clear"/>
            <w:tcMar>
              <w:top w:type="dxa" w:w="60"/>
              <w:left w:type="dxa" w:w="90"/>
              <w:bottom w:type="dxa" w:w="60"/>
              <w:right w:type="dxa" w:w="90"/>
            </w:tcMar>
          </w:tcPr>
          <w:p>
            <w:pPr>
              <w:spacing w:after="0" w:line="240"/>
              <w:jc w:val="left"/>
            </w:pPr>
            <w:r>
              <w:rPr>
                <w:b/>
                <w:bCs/>
                <w:sz w:val="15"/>
                <w:szCs w:val="15"/>
              </w:rPr>
              <w:t xml:space="preserve">Season</w:t>
            </w:r>
          </w:p>
        </w:tc>
        <w:tc>
          <w:tcPr>
            <w:tcW w:type="dxa" w:w="700"/>
            <w:shd w:fill="E8E8E8" w:color="auto" w:val="clear"/>
            <w:tcMar>
              <w:top w:type="dxa" w:w="60"/>
              <w:left w:type="dxa" w:w="90"/>
              <w:bottom w:type="dxa" w:w="60"/>
              <w:right w:type="dxa" w:w="90"/>
            </w:tcMar>
          </w:tcPr>
          <w:p>
            <w:pPr>
              <w:spacing w:after="0" w:line="240"/>
              <w:jc w:val="center"/>
            </w:pPr>
            <w:r>
              <w:rPr>
                <w:b/>
                <w:bCs/>
                <w:sz w:val="15"/>
                <w:szCs w:val="15"/>
              </w:rPr>
              <w:t xml:space="preserve">Scen.</w:t>
            </w:r>
          </w:p>
        </w:tc>
        <w:tc>
          <w:tcPr>
            <w:tcW w:type="dxa" w:w="1400"/>
            <w:shd w:fill="E8E8E8" w:color="auto" w:val="clear"/>
            <w:tcMar>
              <w:top w:type="dxa" w:w="60"/>
              <w:left w:type="dxa" w:w="90"/>
              <w:bottom w:type="dxa" w:w="60"/>
              <w:right w:type="dxa" w:w="90"/>
            </w:tcMar>
          </w:tcPr>
          <w:p>
            <w:pPr>
              <w:spacing w:after="0" w:line="240"/>
              <w:jc w:val="right"/>
            </w:pPr>
            <w:r>
              <w:rPr>
                <w:b/>
                <w:bCs/>
                <w:sz w:val="15"/>
                <w:szCs w:val="15"/>
              </w:rPr>
              <w:t xml:space="preserve">Δ Demand (MW)</w:t>
            </w:r>
          </w:p>
        </w:tc>
        <w:tc>
          <w:tcPr>
            <w:tcW w:type="dxa" w:w="1400"/>
            <w:shd w:fill="E8E8E8" w:color="auto" w:val="clear"/>
            <w:tcMar>
              <w:top w:type="dxa" w:w="60"/>
              <w:left w:type="dxa" w:w="90"/>
              <w:bottom w:type="dxa" w:w="60"/>
              <w:right w:type="dxa" w:w="90"/>
            </w:tcMar>
          </w:tcPr>
          <w:p>
            <w:pPr>
              <w:spacing w:after="0" w:line="240"/>
              <w:jc w:val="right"/>
            </w:pPr>
            <w:r>
              <w:rPr>
                <w:b/>
                <w:bCs/>
                <w:sz w:val="15"/>
                <w:szCs w:val="15"/>
              </w:rPr>
              <w:t xml:space="preserve">Δ Energy (GWh)</w:t>
            </w:r>
          </w:p>
        </w:tc>
        <w:tc>
          <w:tcPr>
            <w:tcW w:type="dxa" w:w="1300"/>
            <w:shd w:fill="E8E8E8" w:color="auto" w:val="clear"/>
            <w:tcMar>
              <w:top w:type="dxa" w:w="60"/>
              <w:left w:type="dxa" w:w="90"/>
              <w:bottom w:type="dxa" w:w="60"/>
              <w:right w:type="dxa" w:w="90"/>
            </w:tcMar>
          </w:tcPr>
          <w:p>
            <w:pPr>
              <w:spacing w:after="0" w:line="240"/>
              <w:jc w:val="right"/>
            </w:pPr>
            <w:r>
              <w:rPr>
                <w:b/>
                <w:bCs/>
                <w:sz w:val="15"/>
                <w:szCs w:val="15"/>
              </w:rPr>
              <w:t xml:space="preserve">CO₂ (t)</w:t>
            </w:r>
          </w:p>
        </w:tc>
        <w:tc>
          <w:tcPr>
            <w:tcW w:type="dxa" w:w="2226"/>
            <w:shd w:fill="E8E8E8" w:color="auto" w:val="clear"/>
            <w:tcMar>
              <w:top w:type="dxa" w:w="60"/>
              <w:left w:type="dxa" w:w="90"/>
              <w:bottom w:type="dxa" w:w="60"/>
              <w:right w:type="dxa" w:w="90"/>
            </w:tcMar>
          </w:tcPr>
          <w:p>
            <w:pPr>
              <w:spacing w:after="0" w:line="240"/>
              <w:jc w:val="right"/>
            </w:pPr>
            <w:r>
              <w:rPr>
                <w:b/>
                <w:bCs/>
                <w:sz w:val="15"/>
                <w:szCs w:val="15"/>
              </w:rPr>
              <w:t xml:space="preserve">CO₂ range (t)</w:t>
            </w:r>
          </w:p>
        </w:tc>
        <w:tc>
          <w:tcPr>
            <w:tcW w:type="dxa" w:w="1000"/>
            <w:shd w:fill="E8E8E8" w:color="auto" w:val="clear"/>
            <w:tcMar>
              <w:top w:type="dxa" w:w="60"/>
              <w:left w:type="dxa" w:w="90"/>
              <w:bottom w:type="dxa" w:w="60"/>
              <w:right w:type="dxa" w:w="90"/>
            </w:tcMar>
          </w:tcPr>
          <w:p>
            <w:pPr>
              <w:spacing w:after="0" w:line="240"/>
              <w:jc w:val="left"/>
            </w:pPr>
            <w:r>
              <w:rPr>
                <w:b/>
                <w:bCs/>
                <w:sz w:val="15"/>
                <w:szCs w:val="15"/>
              </w:rPr>
              <w:t xml:space="preserve">Class</w:t>
            </w:r>
          </w:p>
        </w:tc>
      </w:tr>
      <w:tr>
        <w:tc>
          <w:tcPr>
            <w:tcW w:type="dxa" w:w="1000"/>
            <w:tcMar>
              <w:top w:type="dxa" w:w="60"/>
              <w:left w:type="dxa" w:w="90"/>
              <w:bottom w:type="dxa" w:w="60"/>
              <w:right w:type="dxa" w:w="90"/>
            </w:tcMar>
          </w:tcPr>
          <w:p>
            <w:pPr>
              <w:spacing w:after="0" w:line="240"/>
              <w:jc w:val="left"/>
            </w:pPr>
            <w:r>
              <w:rPr>
                <w:b w:val="false"/>
                <w:bCs w:val="false"/>
                <w:sz w:val="15"/>
                <w:szCs w:val="15"/>
              </w:rPr>
              <w:t xml:space="preserve">Winter</w:t>
            </w:r>
          </w:p>
        </w:tc>
        <w:tc>
          <w:tcPr>
            <w:tcW w:type="dxa" w:w="700"/>
            <w:tcMar>
              <w:top w:type="dxa" w:w="60"/>
              <w:left w:type="dxa" w:w="90"/>
              <w:bottom w:type="dxa" w:w="60"/>
              <w:right w:type="dxa" w:w="90"/>
            </w:tcMar>
          </w:tcPr>
          <w:p>
            <w:pPr>
              <w:spacing w:after="0" w:line="240"/>
              <w:jc w:val="center"/>
            </w:pPr>
            <w:r>
              <w:rPr>
                <w:b w:val="false"/>
                <w:bCs w:val="false"/>
                <w:sz w:val="15"/>
                <w:szCs w:val="15"/>
              </w:rPr>
              <w:t xml:space="preserve">+1</w:t>
            </w:r>
          </w:p>
        </w:tc>
        <w:tc>
          <w:tcPr>
            <w:tcW w:type="dxa" w:w="1400"/>
            <w:tcMar>
              <w:top w:type="dxa" w:w="60"/>
              <w:left w:type="dxa" w:w="90"/>
              <w:bottom w:type="dxa" w:w="60"/>
              <w:right w:type="dxa" w:w="90"/>
            </w:tcMar>
          </w:tcPr>
          <w:p>
            <w:pPr>
              <w:spacing w:after="0" w:line="240"/>
              <w:jc w:val="right"/>
            </w:pPr>
            <w:r>
              <w:rPr>
                <w:b w:val="false"/>
                <w:bCs w:val="false"/>
                <w:sz w:val="15"/>
                <w:szCs w:val="15"/>
              </w:rPr>
              <w:t xml:space="preserve">−140.0</w:t>
            </w:r>
          </w:p>
        </w:tc>
        <w:tc>
          <w:tcPr>
            <w:tcW w:type="dxa" w:w="1400"/>
            <w:tcMar>
              <w:top w:type="dxa" w:w="60"/>
              <w:left w:type="dxa" w:w="90"/>
              <w:bottom w:type="dxa" w:w="60"/>
              <w:right w:type="dxa" w:w="90"/>
            </w:tcMar>
          </w:tcPr>
          <w:p>
            <w:pPr>
              <w:spacing w:after="0" w:line="240"/>
              <w:jc w:val="right"/>
            </w:pPr>
            <w:r>
              <w:rPr>
                <w:b w:val="false"/>
                <w:bCs w:val="false"/>
                <w:sz w:val="15"/>
                <w:szCs w:val="15"/>
              </w:rPr>
              <w:t xml:space="preserve">−302.3</w:t>
            </w:r>
          </w:p>
        </w:tc>
        <w:tc>
          <w:tcPr>
            <w:tcW w:type="dxa" w:w="1300"/>
            <w:tcMar>
              <w:top w:type="dxa" w:w="60"/>
              <w:left w:type="dxa" w:w="90"/>
              <w:bottom w:type="dxa" w:w="60"/>
              <w:right w:type="dxa" w:w="90"/>
            </w:tcMar>
          </w:tcPr>
          <w:p>
            <w:pPr>
              <w:spacing w:after="0" w:line="240"/>
              <w:jc w:val="right"/>
            </w:pPr>
            <w:r>
              <w:rPr>
                <w:b w:val="false"/>
                <w:bCs w:val="false"/>
                <w:sz w:val="15"/>
                <w:szCs w:val="15"/>
              </w:rPr>
              <w:t xml:space="preserve">−62,201</w:t>
            </w:r>
          </w:p>
        </w:tc>
        <w:tc>
          <w:tcPr>
            <w:tcW w:type="dxa" w:w="2226"/>
            <w:tcMar>
              <w:top w:type="dxa" w:w="60"/>
              <w:left w:type="dxa" w:w="90"/>
              <w:bottom w:type="dxa" w:w="60"/>
              <w:right w:type="dxa" w:w="90"/>
            </w:tcMar>
          </w:tcPr>
          <w:p>
            <w:pPr>
              <w:spacing w:after="0" w:line="240"/>
              <w:jc w:val="right"/>
            </w:pPr>
            <w:r>
              <w:rPr>
                <w:b w:val="false"/>
                <w:bCs w:val="false"/>
                <w:sz w:val="15"/>
                <w:szCs w:val="15"/>
              </w:rPr>
              <w:t xml:space="preserve">[−89,658, −36,995]</w:t>
            </w:r>
          </w:p>
        </w:tc>
        <w:tc>
          <w:tcPr>
            <w:tcW w:type="dxa" w:w="1000"/>
            <w:tcMar>
              <w:top w:type="dxa" w:w="60"/>
              <w:left w:type="dxa" w:w="90"/>
              <w:bottom w:type="dxa" w:w="60"/>
              <w:right w:type="dxa" w:w="90"/>
            </w:tcMar>
          </w:tcPr>
          <w:p>
            <w:pPr>
              <w:spacing w:after="0" w:line="240"/>
              <w:jc w:val="left"/>
            </w:pPr>
            <w:r>
              <w:rPr>
                <w:b w:val="false"/>
                <w:bCs w:val="false"/>
                <w:sz w:val="15"/>
                <w:szCs w:val="15"/>
              </w:rPr>
              <w:t xml:space="preserve">Lower</w:t>
            </w:r>
          </w:p>
        </w:tc>
      </w:tr>
      <w:tr>
        <w:tc>
          <w:tcPr>
            <w:tcW w:type="dxa" w:w="1000"/>
            <w:tcMar>
              <w:top w:type="dxa" w:w="60"/>
              <w:left w:type="dxa" w:w="90"/>
              <w:bottom w:type="dxa" w:w="60"/>
              <w:right w:type="dxa" w:w="90"/>
            </w:tcMar>
          </w:tcPr>
          <w:p>
            <w:pPr>
              <w:spacing w:after="0" w:line="240"/>
              <w:jc w:val="left"/>
            </w:pPr>
            <w:r>
              <w:rPr>
                <w:b w:val="false"/>
                <w:bCs w:val="false"/>
                <w:sz w:val="15"/>
                <w:szCs w:val="15"/>
              </w:rPr>
              <w:t xml:space="preserve">Spring</w:t>
            </w:r>
          </w:p>
        </w:tc>
        <w:tc>
          <w:tcPr>
            <w:tcW w:type="dxa" w:w="700"/>
            <w:tcMar>
              <w:top w:type="dxa" w:w="60"/>
              <w:left w:type="dxa" w:w="90"/>
              <w:bottom w:type="dxa" w:w="60"/>
              <w:right w:type="dxa" w:w="90"/>
            </w:tcMar>
          </w:tcPr>
          <w:p>
            <w:pPr>
              <w:spacing w:after="0" w:line="240"/>
              <w:jc w:val="center"/>
            </w:pPr>
            <w:r>
              <w:rPr>
                <w:b w:val="false"/>
                <w:bCs w:val="false"/>
                <w:sz w:val="15"/>
                <w:szCs w:val="15"/>
              </w:rPr>
              <w:t xml:space="preserve">+1</w:t>
            </w:r>
          </w:p>
        </w:tc>
        <w:tc>
          <w:tcPr>
            <w:tcW w:type="dxa" w:w="1400"/>
            <w:tcMar>
              <w:top w:type="dxa" w:w="60"/>
              <w:left w:type="dxa" w:w="90"/>
              <w:bottom w:type="dxa" w:w="60"/>
              <w:right w:type="dxa" w:w="90"/>
            </w:tcMar>
          </w:tcPr>
          <w:p>
            <w:pPr>
              <w:spacing w:after="0" w:line="240"/>
              <w:jc w:val="right"/>
            </w:pPr>
            <w:r>
              <w:rPr>
                <w:b w:val="false"/>
                <w:bCs w:val="false"/>
                <w:sz w:val="15"/>
                <w:szCs w:val="15"/>
              </w:rPr>
              <w:t xml:space="preserve">−47.4</w:t>
            </w:r>
          </w:p>
        </w:tc>
        <w:tc>
          <w:tcPr>
            <w:tcW w:type="dxa" w:w="1400"/>
            <w:tcMar>
              <w:top w:type="dxa" w:w="60"/>
              <w:left w:type="dxa" w:w="90"/>
              <w:bottom w:type="dxa" w:w="60"/>
              <w:right w:type="dxa" w:w="90"/>
            </w:tcMar>
          </w:tcPr>
          <w:p>
            <w:pPr>
              <w:spacing w:after="0" w:line="240"/>
              <w:jc w:val="right"/>
            </w:pPr>
            <w:r>
              <w:rPr>
                <w:b w:val="false"/>
                <w:bCs w:val="false"/>
                <w:sz w:val="15"/>
                <w:szCs w:val="15"/>
              </w:rPr>
              <w:t xml:space="preserve">−104.7</w:t>
            </w:r>
          </w:p>
        </w:tc>
        <w:tc>
          <w:tcPr>
            <w:tcW w:type="dxa" w:w="1300"/>
            <w:tcMar>
              <w:top w:type="dxa" w:w="60"/>
              <w:left w:type="dxa" w:w="90"/>
              <w:bottom w:type="dxa" w:w="60"/>
              <w:right w:type="dxa" w:w="90"/>
            </w:tcMar>
          </w:tcPr>
          <w:p>
            <w:pPr>
              <w:spacing w:after="0" w:line="240"/>
              <w:jc w:val="right"/>
            </w:pPr>
            <w:r>
              <w:rPr>
                <w:b w:val="false"/>
                <w:bCs w:val="false"/>
                <w:sz w:val="15"/>
                <w:szCs w:val="15"/>
              </w:rPr>
              <w:t xml:space="preserve">−21,546</w:t>
            </w:r>
          </w:p>
        </w:tc>
        <w:tc>
          <w:tcPr>
            <w:tcW w:type="dxa" w:w="2226"/>
            <w:tcMar>
              <w:top w:type="dxa" w:w="60"/>
              <w:left w:type="dxa" w:w="90"/>
              <w:bottom w:type="dxa" w:w="60"/>
              <w:right w:type="dxa" w:w="90"/>
            </w:tcMar>
          </w:tcPr>
          <w:p>
            <w:pPr>
              <w:spacing w:after="0" w:line="240"/>
              <w:jc w:val="right"/>
            </w:pPr>
            <w:r>
              <w:rPr>
                <w:b w:val="false"/>
                <w:bCs w:val="false"/>
                <w:sz w:val="15"/>
                <w:szCs w:val="15"/>
              </w:rPr>
              <w:t xml:space="preserve">[−45,942, +1,461]</w:t>
            </w:r>
          </w:p>
        </w:tc>
        <w:tc>
          <w:tcPr>
            <w:tcW w:type="dxa" w:w="1000"/>
            <w:tcMar>
              <w:top w:type="dxa" w:w="60"/>
              <w:left w:type="dxa" w:w="90"/>
              <w:bottom w:type="dxa" w:w="60"/>
              <w:right w:type="dxa" w:w="90"/>
            </w:tcMar>
          </w:tcPr>
          <w:p>
            <w:pPr>
              <w:spacing w:after="0" w:line="240"/>
              <w:jc w:val="left"/>
            </w:pPr>
            <w:r>
              <w:rPr>
                <w:b w:val="false"/>
                <w:bCs w:val="false"/>
                <w:sz w:val="15"/>
                <w:szCs w:val="15"/>
              </w:rPr>
              <w:t xml:space="preserve">None</w:t>
            </w:r>
          </w:p>
        </w:tc>
      </w:tr>
      <w:tr>
        <w:tc>
          <w:tcPr>
            <w:tcW w:type="dxa" w:w="1000"/>
            <w:tcMar>
              <w:top w:type="dxa" w:w="60"/>
              <w:left w:type="dxa" w:w="90"/>
              <w:bottom w:type="dxa" w:w="60"/>
              <w:right w:type="dxa" w:w="90"/>
            </w:tcMar>
          </w:tcPr>
          <w:p>
            <w:pPr>
              <w:spacing w:after="0" w:line="240"/>
              <w:jc w:val="left"/>
            </w:pPr>
            <w:r>
              <w:rPr>
                <w:b w:val="false"/>
                <w:bCs w:val="false"/>
                <w:sz w:val="15"/>
                <w:szCs w:val="15"/>
              </w:rPr>
              <w:t xml:space="preserve">Summer</w:t>
            </w:r>
          </w:p>
        </w:tc>
        <w:tc>
          <w:tcPr>
            <w:tcW w:type="dxa" w:w="700"/>
            <w:tcMar>
              <w:top w:type="dxa" w:w="60"/>
              <w:left w:type="dxa" w:w="90"/>
              <w:bottom w:type="dxa" w:w="60"/>
              <w:right w:type="dxa" w:w="90"/>
            </w:tcMar>
          </w:tcPr>
          <w:p>
            <w:pPr>
              <w:spacing w:after="0" w:line="240"/>
              <w:jc w:val="center"/>
            </w:pPr>
            <w:r>
              <w:rPr>
                <w:b w:val="false"/>
                <w:bCs w:val="false"/>
                <w:sz w:val="15"/>
                <w:szCs w:val="15"/>
              </w:rPr>
              <w:t xml:space="preserve">+1</w:t>
            </w:r>
          </w:p>
        </w:tc>
        <w:tc>
          <w:tcPr>
            <w:tcW w:type="dxa" w:w="1400"/>
            <w:tcMar>
              <w:top w:type="dxa" w:w="60"/>
              <w:left w:type="dxa" w:w="90"/>
              <w:bottom w:type="dxa" w:w="60"/>
              <w:right w:type="dxa" w:w="90"/>
            </w:tcMar>
          </w:tcPr>
          <w:p>
            <w:pPr>
              <w:spacing w:after="0" w:line="240"/>
              <w:jc w:val="right"/>
            </w:pPr>
            <w:r>
              <w:rPr>
                <w:b w:val="false"/>
                <w:bCs w:val="false"/>
                <w:sz w:val="15"/>
                <w:szCs w:val="15"/>
              </w:rPr>
              <w:t xml:space="preserve">+165.8</w:t>
            </w:r>
          </w:p>
        </w:tc>
        <w:tc>
          <w:tcPr>
            <w:tcW w:type="dxa" w:w="1400"/>
            <w:tcMar>
              <w:top w:type="dxa" w:w="60"/>
              <w:left w:type="dxa" w:w="90"/>
              <w:bottom w:type="dxa" w:w="60"/>
              <w:right w:type="dxa" w:w="90"/>
            </w:tcMar>
          </w:tcPr>
          <w:p>
            <w:pPr>
              <w:spacing w:after="0" w:line="240"/>
              <w:jc w:val="right"/>
            </w:pPr>
            <w:r>
              <w:rPr>
                <w:b w:val="false"/>
                <w:bCs w:val="false"/>
                <w:sz w:val="15"/>
                <w:szCs w:val="15"/>
              </w:rPr>
              <w:t xml:space="preserve">+365.7</w:t>
            </w:r>
          </w:p>
        </w:tc>
        <w:tc>
          <w:tcPr>
            <w:tcW w:type="dxa" w:w="1300"/>
            <w:tcMar>
              <w:top w:type="dxa" w:w="60"/>
              <w:left w:type="dxa" w:w="90"/>
              <w:bottom w:type="dxa" w:w="60"/>
              <w:right w:type="dxa" w:w="90"/>
            </w:tcMar>
          </w:tcPr>
          <w:p>
            <w:pPr>
              <w:spacing w:after="0" w:line="240"/>
              <w:jc w:val="right"/>
            </w:pPr>
            <w:r>
              <w:rPr>
                <w:b w:val="false"/>
                <w:bCs w:val="false"/>
                <w:sz w:val="15"/>
                <w:szCs w:val="15"/>
              </w:rPr>
              <w:t xml:space="preserve">+75,259</w:t>
            </w:r>
          </w:p>
        </w:tc>
        <w:tc>
          <w:tcPr>
            <w:tcW w:type="dxa" w:w="2226"/>
            <w:tcMar>
              <w:top w:type="dxa" w:w="60"/>
              <w:left w:type="dxa" w:w="90"/>
              <w:bottom w:type="dxa" w:w="60"/>
              <w:right w:type="dxa" w:w="90"/>
            </w:tcMar>
          </w:tcPr>
          <w:p>
            <w:pPr>
              <w:spacing w:after="0" w:line="240"/>
              <w:jc w:val="right"/>
            </w:pPr>
            <w:r>
              <w:rPr>
                <w:b w:val="false"/>
                <w:bCs w:val="false"/>
                <w:sz w:val="15"/>
                <w:szCs w:val="15"/>
              </w:rPr>
              <w:t xml:space="preserve">[+50,433, +98,115]</w:t>
            </w:r>
          </w:p>
        </w:tc>
        <w:tc>
          <w:tcPr>
            <w:tcW w:type="dxa" w:w="1000"/>
            <w:tcMar>
              <w:top w:type="dxa" w:w="60"/>
              <w:left w:type="dxa" w:w="90"/>
              <w:bottom w:type="dxa" w:w="60"/>
              <w:right w:type="dxa" w:w="90"/>
            </w:tcMar>
          </w:tcPr>
          <w:p>
            <w:pPr>
              <w:spacing w:after="0" w:line="240"/>
              <w:jc w:val="left"/>
            </w:pPr>
            <w:r>
              <w:rPr>
                <w:b w:val="false"/>
                <w:bCs w:val="false"/>
                <w:sz w:val="15"/>
                <w:szCs w:val="15"/>
              </w:rPr>
              <w:t xml:space="preserve">Higher</w:t>
            </w:r>
          </w:p>
        </w:tc>
      </w:tr>
      <w:tr>
        <w:tc>
          <w:tcPr>
            <w:tcW w:type="dxa" w:w="1000"/>
            <w:tcMar>
              <w:top w:type="dxa" w:w="60"/>
              <w:left w:type="dxa" w:w="90"/>
              <w:bottom w:type="dxa" w:w="60"/>
              <w:right w:type="dxa" w:w="90"/>
            </w:tcMar>
          </w:tcPr>
          <w:p>
            <w:pPr>
              <w:spacing w:after="0" w:line="240"/>
              <w:jc w:val="left"/>
            </w:pPr>
            <w:r>
              <w:rPr>
                <w:b w:val="false"/>
                <w:bCs w:val="false"/>
                <w:sz w:val="15"/>
                <w:szCs w:val="15"/>
              </w:rPr>
              <w:t xml:space="preserve">Autumn</w:t>
            </w:r>
          </w:p>
        </w:tc>
        <w:tc>
          <w:tcPr>
            <w:tcW w:type="dxa" w:w="700"/>
            <w:tcMar>
              <w:top w:type="dxa" w:w="60"/>
              <w:left w:type="dxa" w:w="90"/>
              <w:bottom w:type="dxa" w:w="60"/>
              <w:right w:type="dxa" w:w="90"/>
            </w:tcMar>
          </w:tcPr>
          <w:p>
            <w:pPr>
              <w:spacing w:after="0" w:line="240"/>
              <w:jc w:val="center"/>
            </w:pPr>
            <w:r>
              <w:rPr>
                <w:b w:val="false"/>
                <w:bCs w:val="false"/>
                <w:sz w:val="15"/>
                <w:szCs w:val="15"/>
              </w:rPr>
              <w:t xml:space="preserve">+1</w:t>
            </w:r>
          </w:p>
        </w:tc>
        <w:tc>
          <w:tcPr>
            <w:tcW w:type="dxa" w:w="1400"/>
            <w:tcMar>
              <w:top w:type="dxa" w:w="60"/>
              <w:left w:type="dxa" w:w="90"/>
              <w:bottom w:type="dxa" w:w="60"/>
              <w:right w:type="dxa" w:w="90"/>
            </w:tcMar>
          </w:tcPr>
          <w:p>
            <w:pPr>
              <w:spacing w:after="0" w:line="240"/>
              <w:jc w:val="right"/>
            </w:pPr>
            <w:r>
              <w:rPr>
                <w:b w:val="false"/>
                <w:bCs w:val="false"/>
                <w:sz w:val="15"/>
                <w:szCs w:val="15"/>
              </w:rPr>
              <w:t xml:space="preserve">+19.7</w:t>
            </w:r>
          </w:p>
        </w:tc>
        <w:tc>
          <w:tcPr>
            <w:tcW w:type="dxa" w:w="1400"/>
            <w:tcMar>
              <w:top w:type="dxa" w:w="60"/>
              <w:left w:type="dxa" w:w="90"/>
              <w:bottom w:type="dxa" w:w="60"/>
              <w:right w:type="dxa" w:w="90"/>
            </w:tcMar>
          </w:tcPr>
          <w:p>
            <w:pPr>
              <w:spacing w:after="0" w:line="240"/>
              <w:jc w:val="right"/>
            </w:pPr>
            <w:r>
              <w:rPr>
                <w:b w:val="false"/>
                <w:bCs w:val="false"/>
                <w:sz w:val="15"/>
                <w:szCs w:val="15"/>
              </w:rPr>
              <w:t xml:space="preserve">+42.9</w:t>
            </w:r>
          </w:p>
        </w:tc>
        <w:tc>
          <w:tcPr>
            <w:tcW w:type="dxa" w:w="1300"/>
            <w:tcMar>
              <w:top w:type="dxa" w:w="60"/>
              <w:left w:type="dxa" w:w="90"/>
              <w:bottom w:type="dxa" w:w="60"/>
              <w:right w:type="dxa" w:w="90"/>
            </w:tcMar>
          </w:tcPr>
          <w:p>
            <w:pPr>
              <w:spacing w:after="0" w:line="240"/>
              <w:jc w:val="right"/>
            </w:pPr>
            <w:r>
              <w:rPr>
                <w:b w:val="false"/>
                <w:bCs w:val="false"/>
                <w:sz w:val="15"/>
                <w:szCs w:val="15"/>
              </w:rPr>
              <w:t xml:space="preserve">+8,838</w:t>
            </w:r>
          </w:p>
        </w:tc>
        <w:tc>
          <w:tcPr>
            <w:tcW w:type="dxa" w:w="2226"/>
            <w:tcMar>
              <w:top w:type="dxa" w:w="60"/>
              <w:left w:type="dxa" w:w="90"/>
              <w:bottom w:type="dxa" w:w="60"/>
              <w:right w:type="dxa" w:w="90"/>
            </w:tcMar>
          </w:tcPr>
          <w:p>
            <w:pPr>
              <w:spacing w:after="0" w:line="240"/>
              <w:jc w:val="right"/>
            </w:pPr>
            <w:r>
              <w:rPr>
                <w:b w:val="false"/>
                <w:bCs w:val="false"/>
                <w:sz w:val="15"/>
                <w:szCs w:val="15"/>
              </w:rPr>
              <w:t xml:space="preserve">[−13,302, +30,494]</w:t>
            </w:r>
          </w:p>
        </w:tc>
        <w:tc>
          <w:tcPr>
            <w:tcW w:type="dxa" w:w="1000"/>
            <w:tcMar>
              <w:top w:type="dxa" w:w="60"/>
              <w:left w:type="dxa" w:w="90"/>
              <w:bottom w:type="dxa" w:w="60"/>
              <w:right w:type="dxa" w:w="90"/>
            </w:tcMar>
          </w:tcPr>
          <w:p>
            <w:pPr>
              <w:spacing w:after="0" w:line="240"/>
              <w:jc w:val="left"/>
            </w:pPr>
            <w:r>
              <w:rPr>
                <w:b w:val="false"/>
                <w:bCs w:val="false"/>
                <w:sz w:val="15"/>
                <w:szCs w:val="15"/>
              </w:rPr>
              <w:t xml:space="preserve">None</w:t>
            </w:r>
          </w:p>
        </w:tc>
      </w:tr>
      <w:tr>
        <w:tc>
          <w:tcPr>
            <w:tcW w:type="dxa" w:w="1000"/>
            <w:tcMar>
              <w:top w:type="dxa" w:w="60"/>
              <w:left w:type="dxa" w:w="90"/>
              <w:bottom w:type="dxa" w:w="60"/>
              <w:right w:type="dxa" w:w="90"/>
            </w:tcMar>
          </w:tcPr>
          <w:p>
            <w:pPr>
              <w:spacing w:after="0" w:line="240"/>
              <w:jc w:val="left"/>
            </w:pPr>
            <w:r>
              <w:rPr>
                <w:b w:val="false"/>
                <w:bCs w:val="false"/>
                <w:sz w:val="15"/>
                <w:szCs w:val="15"/>
              </w:rPr>
              <w:t xml:space="preserve">Winter</w:t>
            </w:r>
          </w:p>
        </w:tc>
        <w:tc>
          <w:tcPr>
            <w:tcW w:type="dxa" w:w="700"/>
            <w:tcMar>
              <w:top w:type="dxa" w:w="60"/>
              <w:left w:type="dxa" w:w="90"/>
              <w:bottom w:type="dxa" w:w="60"/>
              <w:right w:type="dxa" w:w="90"/>
            </w:tcMar>
          </w:tcPr>
          <w:p>
            <w:pPr>
              <w:spacing w:after="0" w:line="240"/>
              <w:jc w:val="center"/>
            </w:pPr>
            <w:r>
              <w:rPr>
                <w:b w:val="false"/>
                <w:bCs w:val="false"/>
                <w:sz w:val="15"/>
                <w:szCs w:val="15"/>
              </w:rPr>
              <w:t xml:space="preserve">+2</w:t>
            </w:r>
          </w:p>
        </w:tc>
        <w:tc>
          <w:tcPr>
            <w:tcW w:type="dxa" w:w="1400"/>
            <w:tcMar>
              <w:top w:type="dxa" w:w="60"/>
              <w:left w:type="dxa" w:w="90"/>
              <w:bottom w:type="dxa" w:w="60"/>
              <w:right w:type="dxa" w:w="90"/>
            </w:tcMar>
          </w:tcPr>
          <w:p>
            <w:pPr>
              <w:spacing w:after="0" w:line="240"/>
              <w:jc w:val="right"/>
            </w:pPr>
            <w:r>
              <w:rPr>
                <w:b w:val="false"/>
                <w:bCs w:val="false"/>
                <w:sz w:val="15"/>
                <w:szCs w:val="15"/>
              </w:rPr>
              <w:t xml:space="preserve">−275.7</w:t>
            </w:r>
          </w:p>
        </w:tc>
        <w:tc>
          <w:tcPr>
            <w:tcW w:type="dxa" w:w="1400"/>
            <w:tcMar>
              <w:top w:type="dxa" w:w="60"/>
              <w:left w:type="dxa" w:w="90"/>
              <w:bottom w:type="dxa" w:w="60"/>
              <w:right w:type="dxa" w:w="90"/>
            </w:tcMar>
          </w:tcPr>
          <w:p>
            <w:pPr>
              <w:spacing w:after="0" w:line="240"/>
              <w:jc w:val="right"/>
            </w:pPr>
            <w:r>
              <w:rPr>
                <w:b w:val="false"/>
                <w:bCs w:val="false"/>
                <w:sz w:val="15"/>
                <w:szCs w:val="15"/>
              </w:rPr>
              <w:t xml:space="preserve">−595.3</w:t>
            </w:r>
          </w:p>
        </w:tc>
        <w:tc>
          <w:tcPr>
            <w:tcW w:type="dxa" w:w="1300"/>
            <w:tcMar>
              <w:top w:type="dxa" w:w="60"/>
              <w:left w:type="dxa" w:w="90"/>
              <w:bottom w:type="dxa" w:w="60"/>
              <w:right w:type="dxa" w:w="90"/>
            </w:tcMar>
          </w:tcPr>
          <w:p>
            <w:pPr>
              <w:spacing w:after="0" w:line="240"/>
              <w:jc w:val="right"/>
            </w:pPr>
            <w:r>
              <w:rPr>
                <w:b w:val="false"/>
                <w:bCs w:val="false"/>
                <w:sz w:val="15"/>
                <w:szCs w:val="15"/>
              </w:rPr>
              <w:t xml:space="preserve">−122,501</w:t>
            </w:r>
          </w:p>
        </w:tc>
        <w:tc>
          <w:tcPr>
            <w:tcW w:type="dxa" w:w="2226"/>
            <w:tcMar>
              <w:top w:type="dxa" w:w="60"/>
              <w:left w:type="dxa" w:w="90"/>
              <w:bottom w:type="dxa" w:w="60"/>
              <w:right w:type="dxa" w:w="90"/>
            </w:tcMar>
          </w:tcPr>
          <w:p>
            <w:pPr>
              <w:spacing w:after="0" w:line="240"/>
              <w:jc w:val="right"/>
            </w:pPr>
            <w:r>
              <w:rPr>
                <w:b w:val="false"/>
                <w:bCs w:val="false"/>
                <w:sz w:val="15"/>
                <w:szCs w:val="15"/>
              </w:rPr>
              <w:t xml:space="preserve">[−177,154, −72,413]</w:t>
            </w:r>
          </w:p>
        </w:tc>
        <w:tc>
          <w:tcPr>
            <w:tcW w:type="dxa" w:w="1000"/>
            <w:tcMar>
              <w:top w:type="dxa" w:w="60"/>
              <w:left w:type="dxa" w:w="90"/>
              <w:bottom w:type="dxa" w:w="60"/>
              <w:right w:type="dxa" w:w="90"/>
            </w:tcMar>
          </w:tcPr>
          <w:p>
            <w:pPr>
              <w:spacing w:after="0" w:line="240"/>
              <w:jc w:val="left"/>
            </w:pPr>
            <w:r>
              <w:rPr>
                <w:b w:val="false"/>
                <w:bCs w:val="false"/>
                <w:sz w:val="15"/>
                <w:szCs w:val="15"/>
              </w:rPr>
              <w:t xml:space="preserve">Lower</w:t>
            </w:r>
          </w:p>
        </w:tc>
      </w:tr>
      <w:tr>
        <w:tc>
          <w:tcPr>
            <w:tcW w:type="dxa" w:w="1000"/>
            <w:tcMar>
              <w:top w:type="dxa" w:w="60"/>
              <w:left w:type="dxa" w:w="90"/>
              <w:bottom w:type="dxa" w:w="60"/>
              <w:right w:type="dxa" w:w="90"/>
            </w:tcMar>
          </w:tcPr>
          <w:p>
            <w:pPr>
              <w:spacing w:after="0" w:line="240"/>
              <w:jc w:val="left"/>
            </w:pPr>
            <w:r>
              <w:rPr>
                <w:b w:val="false"/>
                <w:bCs w:val="false"/>
                <w:sz w:val="15"/>
                <w:szCs w:val="15"/>
              </w:rPr>
              <w:t xml:space="preserve">Spring</w:t>
            </w:r>
          </w:p>
        </w:tc>
        <w:tc>
          <w:tcPr>
            <w:tcW w:type="dxa" w:w="700"/>
            <w:tcMar>
              <w:top w:type="dxa" w:w="60"/>
              <w:left w:type="dxa" w:w="90"/>
              <w:bottom w:type="dxa" w:w="60"/>
              <w:right w:type="dxa" w:w="90"/>
            </w:tcMar>
          </w:tcPr>
          <w:p>
            <w:pPr>
              <w:spacing w:after="0" w:line="240"/>
              <w:jc w:val="center"/>
            </w:pPr>
            <w:r>
              <w:rPr>
                <w:b w:val="false"/>
                <w:bCs w:val="false"/>
                <w:sz w:val="15"/>
                <w:szCs w:val="15"/>
              </w:rPr>
              <w:t xml:space="preserve">+2</w:t>
            </w:r>
          </w:p>
        </w:tc>
        <w:tc>
          <w:tcPr>
            <w:tcW w:type="dxa" w:w="1400"/>
            <w:tcMar>
              <w:top w:type="dxa" w:w="60"/>
              <w:left w:type="dxa" w:w="90"/>
              <w:bottom w:type="dxa" w:w="60"/>
              <w:right w:type="dxa" w:w="90"/>
            </w:tcMar>
          </w:tcPr>
          <w:p>
            <w:pPr>
              <w:spacing w:after="0" w:line="240"/>
              <w:jc w:val="right"/>
            </w:pPr>
            <w:r>
              <w:rPr>
                <w:b w:val="false"/>
                <w:bCs w:val="false"/>
                <w:sz w:val="15"/>
                <w:szCs w:val="15"/>
              </w:rPr>
              <w:t xml:space="preserve">−78.1</w:t>
            </w:r>
          </w:p>
        </w:tc>
        <w:tc>
          <w:tcPr>
            <w:tcW w:type="dxa" w:w="1400"/>
            <w:tcMar>
              <w:top w:type="dxa" w:w="60"/>
              <w:left w:type="dxa" w:w="90"/>
              <w:bottom w:type="dxa" w:w="60"/>
              <w:right w:type="dxa" w:w="90"/>
            </w:tcMar>
          </w:tcPr>
          <w:p>
            <w:pPr>
              <w:spacing w:after="0" w:line="240"/>
              <w:jc w:val="right"/>
            </w:pPr>
            <w:r>
              <w:rPr>
                <w:b w:val="false"/>
                <w:bCs w:val="false"/>
                <w:sz w:val="15"/>
                <w:szCs w:val="15"/>
              </w:rPr>
              <w:t xml:space="preserve">−172.4</w:t>
            </w:r>
          </w:p>
        </w:tc>
        <w:tc>
          <w:tcPr>
            <w:tcW w:type="dxa" w:w="1300"/>
            <w:tcMar>
              <w:top w:type="dxa" w:w="60"/>
              <w:left w:type="dxa" w:w="90"/>
              <w:bottom w:type="dxa" w:w="60"/>
              <w:right w:type="dxa" w:w="90"/>
            </w:tcMar>
          </w:tcPr>
          <w:p>
            <w:pPr>
              <w:spacing w:after="0" w:line="240"/>
              <w:jc w:val="right"/>
            </w:pPr>
            <w:r>
              <w:rPr>
                <w:b w:val="false"/>
                <w:bCs w:val="false"/>
                <w:sz w:val="15"/>
                <w:szCs w:val="15"/>
              </w:rPr>
              <w:t xml:space="preserve">−35,475</w:t>
            </w:r>
          </w:p>
        </w:tc>
        <w:tc>
          <w:tcPr>
            <w:tcW w:type="dxa" w:w="2226"/>
            <w:tcMar>
              <w:top w:type="dxa" w:w="60"/>
              <w:left w:type="dxa" w:w="90"/>
              <w:bottom w:type="dxa" w:w="60"/>
              <w:right w:type="dxa" w:w="90"/>
            </w:tcMar>
          </w:tcPr>
          <w:p>
            <w:pPr>
              <w:spacing w:after="0" w:line="240"/>
              <w:jc w:val="right"/>
            </w:pPr>
            <w:r>
              <w:rPr>
                <w:b w:val="false"/>
                <w:bCs w:val="false"/>
                <w:sz w:val="15"/>
                <w:szCs w:val="15"/>
              </w:rPr>
              <w:t xml:space="preserve">[−84,239, +10,404]</w:t>
            </w:r>
          </w:p>
        </w:tc>
        <w:tc>
          <w:tcPr>
            <w:tcW w:type="dxa" w:w="1000"/>
            <w:tcMar>
              <w:top w:type="dxa" w:w="60"/>
              <w:left w:type="dxa" w:w="90"/>
              <w:bottom w:type="dxa" w:w="60"/>
              <w:right w:type="dxa" w:w="90"/>
            </w:tcMar>
          </w:tcPr>
          <w:p>
            <w:pPr>
              <w:spacing w:after="0" w:line="240"/>
              <w:jc w:val="left"/>
            </w:pPr>
            <w:r>
              <w:rPr>
                <w:b w:val="false"/>
                <w:bCs w:val="false"/>
                <w:sz w:val="15"/>
                <w:szCs w:val="15"/>
              </w:rPr>
              <w:t xml:space="preserve">None</w:t>
            </w:r>
          </w:p>
        </w:tc>
      </w:tr>
      <w:tr>
        <w:tc>
          <w:tcPr>
            <w:tcW w:type="dxa" w:w="1000"/>
            <w:tcMar>
              <w:top w:type="dxa" w:w="60"/>
              <w:left w:type="dxa" w:w="90"/>
              <w:bottom w:type="dxa" w:w="60"/>
              <w:right w:type="dxa" w:w="90"/>
            </w:tcMar>
          </w:tcPr>
          <w:p>
            <w:pPr>
              <w:spacing w:after="0" w:line="240"/>
              <w:jc w:val="left"/>
            </w:pPr>
            <w:r>
              <w:rPr>
                <w:b w:val="false"/>
                <w:bCs w:val="false"/>
                <w:sz w:val="15"/>
                <w:szCs w:val="15"/>
              </w:rPr>
              <w:t xml:space="preserve">Summer</w:t>
            </w:r>
          </w:p>
        </w:tc>
        <w:tc>
          <w:tcPr>
            <w:tcW w:type="dxa" w:w="700"/>
            <w:tcMar>
              <w:top w:type="dxa" w:w="60"/>
              <w:left w:type="dxa" w:w="90"/>
              <w:bottom w:type="dxa" w:w="60"/>
              <w:right w:type="dxa" w:w="90"/>
            </w:tcMar>
          </w:tcPr>
          <w:p>
            <w:pPr>
              <w:spacing w:after="0" w:line="240"/>
              <w:jc w:val="center"/>
            </w:pPr>
            <w:r>
              <w:rPr>
                <w:b w:val="false"/>
                <w:bCs w:val="false"/>
                <w:sz w:val="15"/>
                <w:szCs w:val="15"/>
              </w:rPr>
              <w:t xml:space="preserve">+2</w:t>
            </w:r>
          </w:p>
        </w:tc>
        <w:tc>
          <w:tcPr>
            <w:tcW w:type="dxa" w:w="1400"/>
            <w:tcMar>
              <w:top w:type="dxa" w:w="60"/>
              <w:left w:type="dxa" w:w="90"/>
              <w:bottom w:type="dxa" w:w="60"/>
              <w:right w:type="dxa" w:w="90"/>
            </w:tcMar>
          </w:tcPr>
          <w:p>
            <w:pPr>
              <w:spacing w:after="0" w:line="240"/>
              <w:jc w:val="right"/>
            </w:pPr>
            <w:r>
              <w:rPr>
                <w:b w:val="false"/>
                <w:bCs w:val="false"/>
                <w:sz w:val="15"/>
                <w:szCs w:val="15"/>
              </w:rPr>
              <w:t xml:space="preserve">+336.9</w:t>
            </w:r>
          </w:p>
        </w:tc>
        <w:tc>
          <w:tcPr>
            <w:tcW w:type="dxa" w:w="1400"/>
            <w:tcMar>
              <w:top w:type="dxa" w:w="60"/>
              <w:left w:type="dxa" w:w="90"/>
              <w:bottom w:type="dxa" w:w="60"/>
              <w:right w:type="dxa" w:w="90"/>
            </w:tcMar>
          </w:tcPr>
          <w:p>
            <w:pPr>
              <w:spacing w:after="0" w:line="240"/>
              <w:jc w:val="right"/>
            </w:pPr>
            <w:r>
              <w:rPr>
                <w:b w:val="false"/>
                <w:bCs w:val="false"/>
                <w:sz w:val="15"/>
                <w:szCs w:val="15"/>
              </w:rPr>
              <w:t xml:space="preserve">+743.1</w:t>
            </w:r>
          </w:p>
        </w:tc>
        <w:tc>
          <w:tcPr>
            <w:tcW w:type="dxa" w:w="1300"/>
            <w:tcMar>
              <w:top w:type="dxa" w:w="60"/>
              <w:left w:type="dxa" w:w="90"/>
              <w:bottom w:type="dxa" w:w="60"/>
              <w:right w:type="dxa" w:w="90"/>
            </w:tcMar>
          </w:tcPr>
          <w:p>
            <w:pPr>
              <w:spacing w:after="0" w:line="240"/>
              <w:jc w:val="right"/>
            </w:pPr>
            <w:r>
              <w:rPr>
                <w:b w:val="false"/>
                <w:bCs w:val="false"/>
                <w:sz w:val="15"/>
                <w:szCs w:val="15"/>
              </w:rPr>
              <w:t xml:space="preserve">+152,923</w:t>
            </w:r>
          </w:p>
        </w:tc>
        <w:tc>
          <w:tcPr>
            <w:tcW w:type="dxa" w:w="2226"/>
            <w:tcMar>
              <w:top w:type="dxa" w:w="60"/>
              <w:left w:type="dxa" w:w="90"/>
              <w:bottom w:type="dxa" w:w="60"/>
              <w:right w:type="dxa" w:w="90"/>
            </w:tcMar>
          </w:tcPr>
          <w:p>
            <w:pPr>
              <w:spacing w:after="0" w:line="240"/>
              <w:jc w:val="right"/>
            </w:pPr>
            <w:r>
              <w:rPr>
                <w:b w:val="false"/>
                <w:bCs w:val="false"/>
                <w:sz w:val="15"/>
                <w:szCs w:val="15"/>
              </w:rPr>
              <w:t xml:space="preserve">[+103,041, +198,729]</w:t>
            </w:r>
          </w:p>
        </w:tc>
        <w:tc>
          <w:tcPr>
            <w:tcW w:type="dxa" w:w="1000"/>
            <w:tcMar>
              <w:top w:type="dxa" w:w="60"/>
              <w:left w:type="dxa" w:w="90"/>
              <w:bottom w:type="dxa" w:w="60"/>
              <w:right w:type="dxa" w:w="90"/>
            </w:tcMar>
          </w:tcPr>
          <w:p>
            <w:pPr>
              <w:spacing w:after="0" w:line="240"/>
              <w:jc w:val="left"/>
            </w:pPr>
            <w:r>
              <w:rPr>
                <w:b w:val="false"/>
                <w:bCs w:val="false"/>
                <w:sz w:val="15"/>
                <w:szCs w:val="15"/>
              </w:rPr>
              <w:t xml:space="preserve">Higher</w:t>
            </w:r>
          </w:p>
        </w:tc>
      </w:tr>
      <w:tr>
        <w:tc>
          <w:tcPr>
            <w:tcW w:type="dxa" w:w="1000"/>
            <w:tcMar>
              <w:top w:type="dxa" w:w="60"/>
              <w:left w:type="dxa" w:w="90"/>
              <w:bottom w:type="dxa" w:w="60"/>
              <w:right w:type="dxa" w:w="90"/>
            </w:tcMar>
          </w:tcPr>
          <w:p>
            <w:pPr>
              <w:spacing w:after="0" w:line="240"/>
              <w:jc w:val="left"/>
            </w:pPr>
            <w:r>
              <w:rPr>
                <w:b w:val="false"/>
                <w:bCs w:val="false"/>
                <w:sz w:val="15"/>
                <w:szCs w:val="15"/>
              </w:rPr>
              <w:t xml:space="preserve">Autumn</w:t>
            </w:r>
          </w:p>
        </w:tc>
        <w:tc>
          <w:tcPr>
            <w:tcW w:type="dxa" w:w="700"/>
            <w:tcMar>
              <w:top w:type="dxa" w:w="60"/>
              <w:left w:type="dxa" w:w="90"/>
              <w:bottom w:type="dxa" w:w="60"/>
              <w:right w:type="dxa" w:w="90"/>
            </w:tcMar>
          </w:tcPr>
          <w:p>
            <w:pPr>
              <w:spacing w:after="0" w:line="240"/>
              <w:jc w:val="center"/>
            </w:pPr>
            <w:r>
              <w:rPr>
                <w:b w:val="false"/>
                <w:bCs w:val="false"/>
                <w:sz w:val="15"/>
                <w:szCs w:val="15"/>
              </w:rPr>
              <w:t xml:space="preserve">+2</w:t>
            </w:r>
          </w:p>
        </w:tc>
        <w:tc>
          <w:tcPr>
            <w:tcW w:type="dxa" w:w="1400"/>
            <w:tcMar>
              <w:top w:type="dxa" w:w="60"/>
              <w:left w:type="dxa" w:w="90"/>
              <w:bottom w:type="dxa" w:w="60"/>
              <w:right w:type="dxa" w:w="90"/>
            </w:tcMar>
          </w:tcPr>
          <w:p>
            <w:pPr>
              <w:spacing w:after="0" w:line="240"/>
              <w:jc w:val="right"/>
            </w:pPr>
            <w:r>
              <w:rPr>
                <w:b w:val="false"/>
                <w:bCs w:val="false"/>
                <w:sz w:val="15"/>
                <w:szCs w:val="15"/>
              </w:rPr>
              <w:t xml:space="preserve">+54.2</w:t>
            </w:r>
          </w:p>
        </w:tc>
        <w:tc>
          <w:tcPr>
            <w:tcW w:type="dxa" w:w="1400"/>
            <w:tcMar>
              <w:top w:type="dxa" w:w="60"/>
              <w:left w:type="dxa" w:w="90"/>
              <w:bottom w:type="dxa" w:w="60"/>
              <w:right w:type="dxa" w:w="90"/>
            </w:tcMar>
          </w:tcPr>
          <w:p>
            <w:pPr>
              <w:spacing w:after="0" w:line="240"/>
              <w:jc w:val="right"/>
            </w:pPr>
            <w:r>
              <w:rPr>
                <w:b w:val="false"/>
                <w:bCs w:val="false"/>
                <w:sz w:val="15"/>
                <w:szCs w:val="15"/>
              </w:rPr>
              <w:t xml:space="preserve">+118.5</w:t>
            </w:r>
          </w:p>
        </w:tc>
        <w:tc>
          <w:tcPr>
            <w:tcW w:type="dxa" w:w="1300"/>
            <w:tcMar>
              <w:top w:type="dxa" w:w="60"/>
              <w:left w:type="dxa" w:w="90"/>
              <w:bottom w:type="dxa" w:w="60"/>
              <w:right w:type="dxa" w:w="90"/>
            </w:tcMar>
          </w:tcPr>
          <w:p>
            <w:pPr>
              <w:spacing w:after="0" w:line="240"/>
              <w:jc w:val="right"/>
            </w:pPr>
            <w:r>
              <w:rPr>
                <w:b w:val="false"/>
                <w:bCs w:val="false"/>
                <w:sz w:val="15"/>
                <w:szCs w:val="15"/>
              </w:rPr>
              <w:t xml:space="preserve">+24,378</w:t>
            </w:r>
          </w:p>
        </w:tc>
        <w:tc>
          <w:tcPr>
            <w:tcW w:type="dxa" w:w="2226"/>
            <w:tcMar>
              <w:top w:type="dxa" w:w="60"/>
              <w:left w:type="dxa" w:w="90"/>
              <w:bottom w:type="dxa" w:w="60"/>
              <w:right w:type="dxa" w:w="90"/>
            </w:tcMar>
          </w:tcPr>
          <w:p>
            <w:pPr>
              <w:spacing w:after="0" w:line="240"/>
              <w:jc w:val="right"/>
            </w:pPr>
            <w:r>
              <w:rPr>
                <w:b w:val="false"/>
                <w:bCs w:val="false"/>
                <w:sz w:val="15"/>
                <w:szCs w:val="15"/>
              </w:rPr>
              <w:t xml:space="preserve">[−19,943, +67,952]</w:t>
            </w:r>
          </w:p>
        </w:tc>
        <w:tc>
          <w:tcPr>
            <w:tcW w:type="dxa" w:w="1000"/>
            <w:tcMar>
              <w:top w:type="dxa" w:w="60"/>
              <w:left w:type="dxa" w:w="90"/>
              <w:bottom w:type="dxa" w:w="60"/>
              <w:right w:type="dxa" w:w="90"/>
            </w:tcMar>
          </w:tcPr>
          <w:p>
            <w:pPr>
              <w:spacing w:after="0" w:line="240"/>
              <w:jc w:val="left"/>
            </w:pPr>
            <w:r>
              <w:rPr>
                <w:b w:val="false"/>
                <w:bCs w:val="false"/>
                <w:sz w:val="15"/>
                <w:szCs w:val="15"/>
              </w:rPr>
              <w:t xml:space="preserve">None</w:t>
            </w:r>
          </w:p>
        </w:tc>
      </w:tr>
      <w:tr>
        <w:tc>
          <w:tcPr>
            <w:tcW w:type="dxa" w:w="1000"/>
            <w:shd w:fill="F2F2F2" w:color="auto" w:val="clear"/>
            <w:tcMar>
              <w:top w:type="dxa" w:w="60"/>
              <w:left w:type="dxa" w:w="90"/>
              <w:bottom w:type="dxa" w:w="60"/>
              <w:right w:type="dxa" w:w="90"/>
            </w:tcMar>
          </w:tcPr>
          <w:p>
            <w:pPr>
              <w:spacing w:after="0" w:line="240"/>
              <w:jc w:val="left"/>
            </w:pPr>
            <w:r>
              <w:rPr>
                <w:b w:val="false"/>
                <w:bCs w:val="false"/>
                <w:sz w:val="15"/>
                <w:szCs w:val="15"/>
              </w:rPr>
              <w:t xml:space="preserve">Winter</w:t>
            </w:r>
          </w:p>
        </w:tc>
        <w:tc>
          <w:tcPr>
            <w:tcW w:type="dxa" w:w="700"/>
            <w:shd w:fill="F2F2F2" w:color="auto" w:val="clear"/>
            <w:tcMar>
              <w:top w:type="dxa" w:w="60"/>
              <w:left w:type="dxa" w:w="90"/>
              <w:bottom w:type="dxa" w:w="60"/>
              <w:right w:type="dxa" w:w="90"/>
            </w:tcMar>
          </w:tcPr>
          <w:p>
            <w:pPr>
              <w:spacing w:after="0" w:line="240"/>
              <w:jc w:val="center"/>
            </w:pPr>
            <w:r>
              <w:rPr>
                <w:b w:val="false"/>
                <w:bCs w:val="false"/>
                <w:sz w:val="15"/>
                <w:szCs w:val="15"/>
              </w:rPr>
              <w:t xml:space="preserve">+3</w:t>
            </w:r>
          </w:p>
        </w:tc>
        <w:tc>
          <w:tcPr>
            <w:tcW w:type="dxa" w:w="1400"/>
            <w:shd w:fill="F2F2F2" w:color="auto" w:val="clear"/>
            <w:tcMar>
              <w:top w:type="dxa" w:w="60"/>
              <w:left w:type="dxa" w:w="90"/>
              <w:bottom w:type="dxa" w:w="60"/>
              <w:right w:type="dxa" w:w="90"/>
            </w:tcMar>
          </w:tcPr>
          <w:p>
            <w:pPr>
              <w:spacing w:after="0" w:line="240"/>
              <w:jc w:val="right"/>
            </w:pPr>
            <w:r>
              <w:rPr>
                <w:b w:val="false"/>
                <w:bCs w:val="false"/>
                <w:sz w:val="15"/>
                <w:szCs w:val="15"/>
              </w:rPr>
              <w:t xml:space="preserve">−404.5</w:t>
            </w:r>
          </w:p>
        </w:tc>
        <w:tc>
          <w:tcPr>
            <w:tcW w:type="dxa" w:w="1400"/>
            <w:shd w:fill="F2F2F2" w:color="auto" w:val="clear"/>
            <w:tcMar>
              <w:top w:type="dxa" w:w="60"/>
              <w:left w:type="dxa" w:w="90"/>
              <w:bottom w:type="dxa" w:w="60"/>
              <w:right w:type="dxa" w:w="90"/>
            </w:tcMar>
          </w:tcPr>
          <w:p>
            <w:pPr>
              <w:spacing w:after="0" w:line="240"/>
              <w:jc w:val="right"/>
            </w:pPr>
            <w:r>
              <w:rPr>
                <w:b w:val="false"/>
                <w:bCs w:val="false"/>
                <w:sz w:val="15"/>
                <w:szCs w:val="15"/>
              </w:rPr>
              <w:t xml:space="preserve">−873.3</w:t>
            </w:r>
          </w:p>
        </w:tc>
        <w:tc>
          <w:tcPr>
            <w:tcW w:type="dxa" w:w="1300"/>
            <w:shd w:fill="F2F2F2" w:color="auto" w:val="clear"/>
            <w:tcMar>
              <w:top w:type="dxa" w:w="60"/>
              <w:left w:type="dxa" w:w="90"/>
              <w:bottom w:type="dxa" w:w="60"/>
              <w:right w:type="dxa" w:w="90"/>
            </w:tcMar>
          </w:tcPr>
          <w:p>
            <w:pPr>
              <w:spacing w:after="0" w:line="240"/>
              <w:jc w:val="right"/>
            </w:pPr>
            <w:r>
              <w:rPr>
                <w:b w:val="false"/>
                <w:bCs w:val="false"/>
                <w:sz w:val="15"/>
                <w:szCs w:val="15"/>
              </w:rPr>
              <w:t xml:space="preserve">−179,701</w:t>
            </w:r>
          </w:p>
        </w:tc>
        <w:tc>
          <w:tcPr>
            <w:tcW w:type="dxa" w:w="2226"/>
            <w:shd w:fill="F2F2F2" w:color="auto" w:val="clear"/>
            <w:tcMar>
              <w:top w:type="dxa" w:w="60"/>
              <w:left w:type="dxa" w:w="90"/>
              <w:bottom w:type="dxa" w:w="60"/>
              <w:right w:type="dxa" w:w="90"/>
            </w:tcMar>
          </w:tcPr>
          <w:p>
            <w:pPr>
              <w:spacing w:after="0" w:line="240"/>
              <w:jc w:val="right"/>
            </w:pPr>
            <w:r>
              <w:rPr>
                <w:b w:val="false"/>
                <w:bCs w:val="false"/>
                <w:sz w:val="15"/>
                <w:szCs w:val="15"/>
              </w:rPr>
              <w:t xml:space="preserve">[−261,122, −105,218]</w:t>
            </w:r>
          </w:p>
        </w:tc>
        <w:tc>
          <w:tcPr>
            <w:tcW w:type="dxa" w:w="1000"/>
            <w:shd w:fill="F2F2F2" w:color="auto" w:val="clear"/>
            <w:tcMar>
              <w:top w:type="dxa" w:w="60"/>
              <w:left w:type="dxa" w:w="90"/>
              <w:bottom w:type="dxa" w:w="60"/>
              <w:right w:type="dxa" w:w="90"/>
            </w:tcMar>
          </w:tcPr>
          <w:p>
            <w:pPr>
              <w:spacing w:after="0" w:line="240"/>
              <w:jc w:val="left"/>
            </w:pPr>
            <w:r>
              <w:rPr>
                <w:b w:val="false"/>
                <w:bCs w:val="false"/>
                <w:sz w:val="15"/>
                <w:szCs w:val="15"/>
              </w:rPr>
              <w:t xml:space="preserve">Lower</w:t>
            </w:r>
          </w:p>
        </w:tc>
      </w:tr>
      <w:tr>
        <w:tc>
          <w:tcPr>
            <w:tcW w:type="dxa" w:w="1000"/>
            <w:shd w:fill="F2F2F2" w:color="auto" w:val="clear"/>
            <w:tcMar>
              <w:top w:type="dxa" w:w="60"/>
              <w:left w:type="dxa" w:w="90"/>
              <w:bottom w:type="dxa" w:w="60"/>
              <w:right w:type="dxa" w:w="90"/>
            </w:tcMar>
          </w:tcPr>
          <w:p>
            <w:pPr>
              <w:spacing w:after="0" w:line="240"/>
              <w:jc w:val="left"/>
            </w:pPr>
            <w:r>
              <w:rPr>
                <w:b w:val="false"/>
                <w:bCs w:val="false"/>
                <w:sz w:val="15"/>
                <w:szCs w:val="15"/>
              </w:rPr>
              <w:t xml:space="preserve">Spring</w:t>
            </w:r>
          </w:p>
        </w:tc>
        <w:tc>
          <w:tcPr>
            <w:tcW w:type="dxa" w:w="700"/>
            <w:shd w:fill="F2F2F2" w:color="auto" w:val="clear"/>
            <w:tcMar>
              <w:top w:type="dxa" w:w="60"/>
              <w:left w:type="dxa" w:w="90"/>
              <w:bottom w:type="dxa" w:w="60"/>
              <w:right w:type="dxa" w:w="90"/>
            </w:tcMar>
          </w:tcPr>
          <w:p>
            <w:pPr>
              <w:spacing w:after="0" w:line="240"/>
              <w:jc w:val="center"/>
            </w:pPr>
            <w:r>
              <w:rPr>
                <w:b w:val="false"/>
                <w:bCs w:val="false"/>
                <w:sz w:val="15"/>
                <w:szCs w:val="15"/>
              </w:rPr>
              <w:t xml:space="preserve">+3</w:t>
            </w:r>
          </w:p>
        </w:tc>
        <w:tc>
          <w:tcPr>
            <w:tcW w:type="dxa" w:w="1400"/>
            <w:shd w:fill="F2F2F2" w:color="auto" w:val="clear"/>
            <w:tcMar>
              <w:top w:type="dxa" w:w="60"/>
              <w:left w:type="dxa" w:w="90"/>
              <w:bottom w:type="dxa" w:w="60"/>
              <w:right w:type="dxa" w:w="90"/>
            </w:tcMar>
          </w:tcPr>
          <w:p>
            <w:pPr>
              <w:spacing w:after="0" w:line="240"/>
              <w:jc w:val="right"/>
            </w:pPr>
            <w:r>
              <w:rPr>
                <w:b w:val="false"/>
                <w:bCs w:val="false"/>
                <w:sz w:val="15"/>
                <w:szCs w:val="15"/>
              </w:rPr>
              <w:t xml:space="preserve">−90.8</w:t>
            </w:r>
          </w:p>
        </w:tc>
        <w:tc>
          <w:tcPr>
            <w:tcW w:type="dxa" w:w="1400"/>
            <w:shd w:fill="F2F2F2" w:color="auto" w:val="clear"/>
            <w:tcMar>
              <w:top w:type="dxa" w:w="60"/>
              <w:left w:type="dxa" w:w="90"/>
              <w:bottom w:type="dxa" w:w="60"/>
              <w:right w:type="dxa" w:w="90"/>
            </w:tcMar>
          </w:tcPr>
          <w:p>
            <w:pPr>
              <w:spacing w:after="0" w:line="240"/>
              <w:jc w:val="right"/>
            </w:pPr>
            <w:r>
              <w:rPr>
                <w:b w:val="false"/>
                <w:bCs w:val="false"/>
                <w:sz w:val="15"/>
                <w:szCs w:val="15"/>
              </w:rPr>
              <w:t xml:space="preserve">−200.4</w:t>
            </w:r>
          </w:p>
        </w:tc>
        <w:tc>
          <w:tcPr>
            <w:tcW w:type="dxa" w:w="1300"/>
            <w:shd w:fill="F2F2F2" w:color="auto" w:val="clear"/>
            <w:tcMar>
              <w:top w:type="dxa" w:w="60"/>
              <w:left w:type="dxa" w:w="90"/>
              <w:bottom w:type="dxa" w:w="60"/>
              <w:right w:type="dxa" w:w="90"/>
            </w:tcMar>
          </w:tcPr>
          <w:p>
            <w:pPr>
              <w:spacing w:after="0" w:line="240"/>
              <w:jc w:val="right"/>
            </w:pPr>
            <w:r>
              <w:rPr>
                <w:b w:val="false"/>
                <w:bCs w:val="false"/>
                <w:sz w:val="15"/>
                <w:szCs w:val="15"/>
              </w:rPr>
              <w:t xml:space="preserve">−41,248</w:t>
            </w:r>
          </w:p>
        </w:tc>
        <w:tc>
          <w:tcPr>
            <w:tcW w:type="dxa" w:w="2226"/>
            <w:shd w:fill="F2F2F2" w:color="auto" w:val="clear"/>
            <w:tcMar>
              <w:top w:type="dxa" w:w="60"/>
              <w:left w:type="dxa" w:w="90"/>
              <w:bottom w:type="dxa" w:w="60"/>
              <w:right w:type="dxa" w:w="90"/>
            </w:tcMar>
          </w:tcPr>
          <w:p>
            <w:pPr>
              <w:spacing w:after="0" w:line="240"/>
              <w:jc w:val="right"/>
            </w:pPr>
            <w:r>
              <w:rPr>
                <w:b w:val="false"/>
                <w:bCs w:val="false"/>
                <w:sz w:val="15"/>
                <w:szCs w:val="15"/>
              </w:rPr>
              <w:t xml:space="preserve">[−113,745, +27,307]</w:t>
            </w:r>
          </w:p>
        </w:tc>
        <w:tc>
          <w:tcPr>
            <w:tcW w:type="dxa" w:w="1000"/>
            <w:shd w:fill="F2F2F2" w:color="auto" w:val="clear"/>
            <w:tcMar>
              <w:top w:type="dxa" w:w="60"/>
              <w:left w:type="dxa" w:w="90"/>
              <w:bottom w:type="dxa" w:w="60"/>
              <w:right w:type="dxa" w:w="90"/>
            </w:tcMar>
          </w:tcPr>
          <w:p>
            <w:pPr>
              <w:spacing w:after="0" w:line="240"/>
              <w:jc w:val="left"/>
            </w:pPr>
            <w:r>
              <w:rPr>
                <w:b w:val="false"/>
                <w:bCs w:val="false"/>
                <w:sz w:val="15"/>
                <w:szCs w:val="15"/>
              </w:rPr>
              <w:t xml:space="preserve">None</w:t>
            </w:r>
          </w:p>
        </w:tc>
      </w:tr>
      <w:tr>
        <w:tc>
          <w:tcPr>
            <w:tcW w:type="dxa" w:w="1000"/>
            <w:shd w:fill="F2F2F2" w:color="auto" w:val="clear"/>
            <w:tcMar>
              <w:top w:type="dxa" w:w="60"/>
              <w:left w:type="dxa" w:w="90"/>
              <w:bottom w:type="dxa" w:w="60"/>
              <w:right w:type="dxa" w:w="90"/>
            </w:tcMar>
          </w:tcPr>
          <w:p>
            <w:pPr>
              <w:spacing w:after="0" w:line="240"/>
              <w:jc w:val="left"/>
            </w:pPr>
            <w:r>
              <w:rPr>
                <w:b w:val="false"/>
                <w:bCs w:val="false"/>
                <w:sz w:val="15"/>
                <w:szCs w:val="15"/>
              </w:rPr>
              <w:t xml:space="preserve">Summer</w:t>
            </w:r>
          </w:p>
        </w:tc>
        <w:tc>
          <w:tcPr>
            <w:tcW w:type="dxa" w:w="700"/>
            <w:shd w:fill="F2F2F2" w:color="auto" w:val="clear"/>
            <w:tcMar>
              <w:top w:type="dxa" w:w="60"/>
              <w:left w:type="dxa" w:w="90"/>
              <w:bottom w:type="dxa" w:w="60"/>
              <w:right w:type="dxa" w:w="90"/>
            </w:tcMar>
          </w:tcPr>
          <w:p>
            <w:pPr>
              <w:spacing w:after="0" w:line="240"/>
              <w:jc w:val="center"/>
            </w:pPr>
            <w:r>
              <w:rPr>
                <w:b w:val="false"/>
                <w:bCs w:val="false"/>
                <w:sz w:val="15"/>
                <w:szCs w:val="15"/>
              </w:rPr>
              <w:t xml:space="preserve">+3</w:t>
            </w:r>
          </w:p>
        </w:tc>
        <w:tc>
          <w:tcPr>
            <w:tcW w:type="dxa" w:w="1400"/>
            <w:shd w:fill="F2F2F2" w:color="auto" w:val="clear"/>
            <w:tcMar>
              <w:top w:type="dxa" w:w="60"/>
              <w:left w:type="dxa" w:w="90"/>
              <w:bottom w:type="dxa" w:w="60"/>
              <w:right w:type="dxa" w:w="90"/>
            </w:tcMar>
          </w:tcPr>
          <w:p>
            <w:pPr>
              <w:spacing w:after="0" w:line="240"/>
              <w:jc w:val="right"/>
            </w:pPr>
            <w:r>
              <w:rPr>
                <w:b w:val="false"/>
                <w:bCs w:val="false"/>
                <w:sz w:val="15"/>
                <w:szCs w:val="15"/>
              </w:rPr>
              <w:t xml:space="preserve">+512.3</w:t>
            </w:r>
          </w:p>
        </w:tc>
        <w:tc>
          <w:tcPr>
            <w:tcW w:type="dxa" w:w="1400"/>
            <w:shd w:fill="F2F2F2" w:color="auto" w:val="clear"/>
            <w:tcMar>
              <w:top w:type="dxa" w:w="60"/>
              <w:left w:type="dxa" w:w="90"/>
              <w:bottom w:type="dxa" w:w="60"/>
              <w:right w:type="dxa" w:w="90"/>
            </w:tcMar>
          </w:tcPr>
          <w:p>
            <w:pPr>
              <w:spacing w:after="0" w:line="240"/>
              <w:jc w:val="right"/>
            </w:pPr>
            <w:r>
              <w:rPr>
                <w:b w:val="false"/>
                <w:bCs w:val="false"/>
                <w:sz w:val="15"/>
                <w:szCs w:val="15"/>
              </w:rPr>
              <w:t xml:space="preserve">+1,130.2</w:t>
            </w:r>
          </w:p>
        </w:tc>
        <w:tc>
          <w:tcPr>
            <w:tcW w:type="dxa" w:w="1300"/>
            <w:shd w:fill="F2F2F2" w:color="auto" w:val="clear"/>
            <w:tcMar>
              <w:top w:type="dxa" w:w="60"/>
              <w:left w:type="dxa" w:w="90"/>
              <w:bottom w:type="dxa" w:w="60"/>
              <w:right w:type="dxa" w:w="90"/>
            </w:tcMar>
          </w:tcPr>
          <w:p>
            <w:pPr>
              <w:spacing w:after="0" w:line="240"/>
              <w:jc w:val="right"/>
            </w:pPr>
            <w:r>
              <w:rPr>
                <w:b w:val="false"/>
                <w:bCs w:val="false"/>
                <w:sz w:val="15"/>
                <w:szCs w:val="15"/>
              </w:rPr>
              <w:t xml:space="preserve">+232,576</w:t>
            </w:r>
          </w:p>
        </w:tc>
        <w:tc>
          <w:tcPr>
            <w:tcW w:type="dxa" w:w="2226"/>
            <w:shd w:fill="F2F2F2" w:color="auto" w:val="clear"/>
            <w:tcMar>
              <w:top w:type="dxa" w:w="60"/>
              <w:left w:type="dxa" w:w="90"/>
              <w:bottom w:type="dxa" w:w="60"/>
              <w:right w:type="dxa" w:w="90"/>
            </w:tcMar>
          </w:tcPr>
          <w:p>
            <w:pPr>
              <w:spacing w:after="0" w:line="240"/>
              <w:jc w:val="right"/>
            </w:pPr>
            <w:r>
              <w:rPr>
                <w:b w:val="false"/>
                <w:bCs w:val="false"/>
                <w:sz w:val="15"/>
                <w:szCs w:val="15"/>
              </w:rPr>
              <w:t xml:space="preserve">[+157,418, +301,426]</w:t>
            </w:r>
          </w:p>
        </w:tc>
        <w:tc>
          <w:tcPr>
            <w:tcW w:type="dxa" w:w="1000"/>
            <w:shd w:fill="F2F2F2" w:color="auto" w:val="clear"/>
            <w:tcMar>
              <w:top w:type="dxa" w:w="60"/>
              <w:left w:type="dxa" w:w="90"/>
              <w:bottom w:type="dxa" w:w="60"/>
              <w:right w:type="dxa" w:w="90"/>
            </w:tcMar>
          </w:tcPr>
          <w:p>
            <w:pPr>
              <w:spacing w:after="0" w:line="240"/>
              <w:jc w:val="left"/>
            </w:pPr>
            <w:r>
              <w:rPr>
                <w:b w:val="false"/>
                <w:bCs w:val="false"/>
                <w:sz w:val="15"/>
                <w:szCs w:val="15"/>
              </w:rPr>
              <w:t xml:space="preserve">Higher</w:t>
            </w:r>
          </w:p>
        </w:tc>
      </w:tr>
      <w:tr>
        <w:tc>
          <w:tcPr>
            <w:tcW w:type="dxa" w:w="1000"/>
            <w:shd w:fill="F2F2F2" w:color="auto" w:val="clear"/>
            <w:tcMar>
              <w:top w:type="dxa" w:w="60"/>
              <w:left w:type="dxa" w:w="90"/>
              <w:bottom w:type="dxa" w:w="60"/>
              <w:right w:type="dxa" w:w="90"/>
            </w:tcMar>
          </w:tcPr>
          <w:p>
            <w:pPr>
              <w:spacing w:after="0" w:line="240"/>
              <w:jc w:val="left"/>
            </w:pPr>
            <w:r>
              <w:rPr>
                <w:b w:val="false"/>
                <w:bCs w:val="false"/>
                <w:sz w:val="15"/>
                <w:szCs w:val="15"/>
              </w:rPr>
              <w:t xml:space="preserve">Autumn</w:t>
            </w:r>
          </w:p>
        </w:tc>
        <w:tc>
          <w:tcPr>
            <w:tcW w:type="dxa" w:w="700"/>
            <w:shd w:fill="F2F2F2" w:color="auto" w:val="clear"/>
            <w:tcMar>
              <w:top w:type="dxa" w:w="60"/>
              <w:left w:type="dxa" w:w="90"/>
              <w:bottom w:type="dxa" w:w="60"/>
              <w:right w:type="dxa" w:w="90"/>
            </w:tcMar>
          </w:tcPr>
          <w:p>
            <w:pPr>
              <w:spacing w:after="0" w:line="240"/>
              <w:jc w:val="center"/>
            </w:pPr>
            <w:r>
              <w:rPr>
                <w:b w:val="false"/>
                <w:bCs w:val="false"/>
                <w:sz w:val="15"/>
                <w:szCs w:val="15"/>
              </w:rPr>
              <w:t xml:space="preserve">+3</w:t>
            </w:r>
          </w:p>
        </w:tc>
        <w:tc>
          <w:tcPr>
            <w:tcW w:type="dxa" w:w="1400"/>
            <w:shd w:fill="F2F2F2" w:color="auto" w:val="clear"/>
            <w:tcMar>
              <w:top w:type="dxa" w:w="60"/>
              <w:left w:type="dxa" w:w="90"/>
              <w:bottom w:type="dxa" w:w="60"/>
              <w:right w:type="dxa" w:w="90"/>
            </w:tcMar>
          </w:tcPr>
          <w:p>
            <w:pPr>
              <w:spacing w:after="0" w:line="240"/>
              <w:jc w:val="right"/>
            </w:pPr>
            <w:r>
              <w:rPr>
                <w:b w:val="false"/>
                <w:bCs w:val="false"/>
                <w:sz w:val="15"/>
                <w:szCs w:val="15"/>
              </w:rPr>
              <w:t xml:space="preserve">+103.2</w:t>
            </w:r>
          </w:p>
        </w:tc>
        <w:tc>
          <w:tcPr>
            <w:tcW w:type="dxa" w:w="1400"/>
            <w:shd w:fill="F2F2F2" w:color="auto" w:val="clear"/>
            <w:tcMar>
              <w:top w:type="dxa" w:w="60"/>
              <w:left w:type="dxa" w:w="90"/>
              <w:bottom w:type="dxa" w:w="60"/>
              <w:right w:type="dxa" w:w="90"/>
            </w:tcMar>
          </w:tcPr>
          <w:p>
            <w:pPr>
              <w:spacing w:after="0" w:line="240"/>
              <w:jc w:val="right"/>
            </w:pPr>
            <w:r>
              <w:rPr>
                <w:b w:val="false"/>
                <w:bCs w:val="false"/>
                <w:sz w:val="15"/>
                <w:szCs w:val="15"/>
              </w:rPr>
              <w:t xml:space="preserve">+225.5</w:t>
            </w:r>
          </w:p>
        </w:tc>
        <w:tc>
          <w:tcPr>
            <w:tcW w:type="dxa" w:w="1300"/>
            <w:shd w:fill="F2F2F2" w:color="auto" w:val="clear"/>
            <w:tcMar>
              <w:top w:type="dxa" w:w="60"/>
              <w:left w:type="dxa" w:w="90"/>
              <w:bottom w:type="dxa" w:w="60"/>
              <w:right w:type="dxa" w:w="90"/>
            </w:tcMar>
          </w:tcPr>
          <w:p>
            <w:pPr>
              <w:spacing w:after="0" w:line="240"/>
              <w:jc w:val="right"/>
            </w:pPr>
            <w:r>
              <w:rPr>
                <w:b w:val="false"/>
                <w:bCs w:val="false"/>
                <w:sz w:val="15"/>
                <w:szCs w:val="15"/>
              </w:rPr>
              <w:t xml:space="preserve">+46,404</w:t>
            </w:r>
          </w:p>
        </w:tc>
        <w:tc>
          <w:tcPr>
            <w:tcW w:type="dxa" w:w="2226"/>
            <w:shd w:fill="F2F2F2" w:color="auto" w:val="clear"/>
            <w:tcMar>
              <w:top w:type="dxa" w:w="60"/>
              <w:left w:type="dxa" w:w="90"/>
              <w:bottom w:type="dxa" w:w="60"/>
              <w:right w:type="dxa" w:w="90"/>
            </w:tcMar>
          </w:tcPr>
          <w:p>
            <w:pPr>
              <w:spacing w:after="0" w:line="240"/>
              <w:jc w:val="right"/>
            </w:pPr>
            <w:r>
              <w:rPr>
                <w:b w:val="false"/>
                <w:bCs w:val="false"/>
                <w:sz w:val="15"/>
                <w:szCs w:val="15"/>
              </w:rPr>
              <w:t xml:space="preserve">[−19,653, +112,916]</w:t>
            </w:r>
          </w:p>
        </w:tc>
        <w:tc>
          <w:tcPr>
            <w:tcW w:type="dxa" w:w="1000"/>
            <w:shd w:fill="F2F2F2" w:color="auto" w:val="clear"/>
            <w:tcMar>
              <w:top w:type="dxa" w:w="60"/>
              <w:left w:type="dxa" w:w="90"/>
              <w:bottom w:type="dxa" w:w="60"/>
              <w:right w:type="dxa" w:w="90"/>
            </w:tcMar>
          </w:tcPr>
          <w:p>
            <w:pPr>
              <w:spacing w:after="0" w:line="240"/>
              <w:jc w:val="left"/>
            </w:pPr>
            <w:r>
              <w:rPr>
                <w:b w:val="false"/>
                <w:bCs w:val="false"/>
                <w:sz w:val="15"/>
                <w:szCs w:val="15"/>
              </w:rPr>
              <w:t xml:space="preserve">None</w:t>
            </w:r>
          </w:p>
        </w:tc>
      </w:tr>
    </w:tbl>
    <w:p>
      <w:pPr>
        <w:spacing w:after="200"/>
      </w:pPr>
    </w:p>
    <w:p>
      <w:pPr>
        <w:spacing w:after="140" w:line="276"/>
        <w:jc w:val="both"/>
      </w:pPr>
      <w:r>
        <w:t xml:space="preserve">The net annual figures are +350 t under +1 °C, +19,324 t under +2 °C, and +58,031 t under +3 °C. These must be reported with care. They inherit the annual demand confidence interval, which contains zero at every warming level, so the net annual figure is a </w:t>
      </w:r>
      <w:r>
        <w:rPr>
          <w:b/>
          <w:bCs/>
        </w:rPr>
        <w:t xml:space="preserve">null result</w:t>
      </w:r>
      <w:r>
        <w:t xml:space="preserve"> and must not be presented as an established increase.</w:t>
      </w:r>
    </w:p>
    <w:p>
      <w:pPr>
        <w:spacing w:after="140" w:line="276"/>
        <w:jc w:val="both"/>
      </w:pPr>
      <w:r>
        <w:t xml:space="preserve">The defensible statement is that under +3 °C the model projects a seasonal redistribution of emissions — an increase of roughly 233 kt in summer against a decrease of roughly 180 kt in winter — with a net annual change that is not statistically distinguishable from zero at the 95% level. The seasonal figures are the result; the net is the null.</w:t>
      </w:r>
    </w:p>
    <w:p>
      <w:pPr>
        <w:pStyle w:val="Heading2"/>
        <w:spacing w:after="140" w:before="280"/>
      </w:pPr>
      <w:r>
        <w:t xml:space="preserve">3.15 Robustness and sensitivity analysis</w:t>
      </w:r>
    </w:p>
    <w:p>
      <w:pPr>
        <w:spacing w:after="140" w:line="276"/>
        <w:jc w:val="both"/>
      </w:pPr>
      <w:r>
        <w:t xml:space="preserve">Five sensitivity checks were run.</w:t>
      </w:r>
    </w:p>
    <w:p>
      <w:pPr>
        <w:spacing w:after="140" w:line="276"/>
        <w:jc w:val="both"/>
      </w:pPr>
      <w:r>
        <w:rPr>
          <w:b/>
          <w:bCs/>
        </w:rPr>
        <w:t xml:space="preserve">1. Balance-point temperature.</w:t>
      </w:r>
      <w:r>
        <w:t xml:space="preserve"> Setting the balance point to 16, 18 and 20 °C produced test R² of 0.6231, 0.6232 and 0.6233 and a +3 °C effect of +61.8, +62.2 and +61.7 MW respectively. The results are essentially invariant to this choice.</w:t>
      </w:r>
    </w:p>
    <w:p>
      <w:pPr>
        <w:spacing w:after="140" w:line="276"/>
        <w:jc w:val="both"/>
      </w:pPr>
      <w:r>
        <w:rPr>
          <w:b/>
          <w:bCs/>
        </w:rPr>
        <w:t xml:space="preserve">2. Calendar collinearity.</w:t>
      </w:r>
      <w:r>
        <w:t xml:space="preserve"> Month and season are collinear with temperature — July is hot, but is also a holiday month with different industrial activity. Retaining them lets the model attribute genuine thermal effects to the calendar, damping the estimated response; dropping them risks the opposite. Reporting both bounds the answer. Without month and season, R² falls slightly to 0.6248 and the +3 °C annual effect falls to +39.4 MW.</w:t>
      </w:r>
    </w:p>
    <w:p>
      <w:pPr>
        <w:spacing w:after="140" w:line="276"/>
        <w:jc w:val="both"/>
      </w:pPr>
      <w:r>
        <w:rPr>
          <w:b/>
          <w:bCs/>
        </w:rPr>
        <w:t xml:space="preserve">3. Model specification.</w:t>
      </w:r>
      <w:r>
        <w:t xml:space="preserve"> Table 13 compares the +3 °C seasonal effect across all four Model B specifications.</w:t>
      </w:r>
    </w:p>
    <w:p>
      <w:pPr>
        <w:spacing w:after="90" w:before="200"/>
        <w:jc w:val="left"/>
      </w:pPr>
      <w:r>
        <w:rPr>
          <w:b/>
          <w:bCs/>
          <w:sz w:val="18"/>
          <w:szCs w:val="18"/>
        </w:rPr>
        <w:t xml:space="preserve">Table 13.</w:t>
      </w:r>
      <w:r>
        <w:rPr>
          <w:sz w:val="18"/>
          <w:szCs w:val="18"/>
        </w:rPr>
        <w:t xml:space="preserve"> +3 °C seasonal effect (MW) across model specifications.</w:t>
      </w:r>
    </w:p>
    <w:tbl>
      <w:tblPr>
        <w:tblW w:type="dxa" w:w="9026"/>
        <w:tblBorders>
          <w:top w:val="single" w:color="000000" w:sz="8"/>
          <w:left w:val="none" w:color="FFFFFF" w:sz="0"/>
          <w:bottom w:val="single" w:color="000000" w:sz="8"/>
          <w:right w:val="none" w:color="FFFFFF" w:sz="0"/>
          <w:insideH w:val="single" w:color="BBBBBB" w:sz="2"/>
          <w:insideV w:val="none" w:color="FFFFFF" w:sz="0"/>
        </w:tblBorders>
      </w:tblPr>
      <w:tblGrid>
        <w:gridCol w:w="1400"/>
        <w:gridCol w:w="1950"/>
        <w:gridCol w:w="2000"/>
        <w:gridCol w:w="1900"/>
        <w:gridCol w:w="1776"/>
      </w:tblGrid>
      <w:tr>
        <w:trPr>
          <w:tblHeader/>
        </w:trPr>
        <w:tc>
          <w:tcPr>
            <w:tcW w:type="dxa" w:w="1400"/>
            <w:shd w:fill="E8E8E8" w:color="auto" w:val="clear"/>
            <w:tcMar>
              <w:top w:type="dxa" w:w="60"/>
              <w:left w:type="dxa" w:w="90"/>
              <w:bottom w:type="dxa" w:w="60"/>
              <w:right w:type="dxa" w:w="90"/>
            </w:tcMar>
          </w:tcPr>
          <w:p>
            <w:pPr>
              <w:spacing w:after="0" w:line="240"/>
              <w:jc w:val="left"/>
            </w:pPr>
            <w:r>
              <w:rPr>
                <w:b/>
                <w:bCs/>
                <w:sz w:val="18"/>
                <w:szCs w:val="18"/>
              </w:rPr>
              <w:t xml:space="preserve">Season</w:t>
            </w:r>
          </w:p>
        </w:tc>
        <w:tc>
          <w:tcPr>
            <w:tcW w:type="dxa" w:w="1950"/>
            <w:shd w:fill="E8E8E8" w:color="auto" w:val="clear"/>
            <w:tcMar>
              <w:top w:type="dxa" w:w="60"/>
              <w:left w:type="dxa" w:w="90"/>
              <w:bottom w:type="dxa" w:w="60"/>
              <w:right w:type="dxa" w:w="90"/>
            </w:tcMar>
          </w:tcPr>
          <w:p>
            <w:pPr>
              <w:spacing w:after="0" w:line="240"/>
              <w:jc w:val="right"/>
            </w:pPr>
            <w:r>
              <w:rPr>
                <w:b/>
                <w:bCs/>
                <w:sz w:val="18"/>
                <w:szCs w:val="18"/>
              </w:rPr>
              <w:t xml:space="preserve">Linear (1 slope)</w:t>
            </w:r>
          </w:p>
        </w:tc>
        <w:tc>
          <w:tcPr>
            <w:tcW w:type="dxa" w:w="2000"/>
            <w:shd w:fill="E8E8E8" w:color="auto" w:val="clear"/>
            <w:tcMar>
              <w:top w:type="dxa" w:w="60"/>
              <w:left w:type="dxa" w:w="90"/>
              <w:bottom w:type="dxa" w:w="60"/>
              <w:right w:type="dxa" w:w="90"/>
            </w:tcMar>
          </w:tcPr>
          <w:p>
            <w:pPr>
              <w:spacing w:after="0" w:line="240"/>
              <w:jc w:val="right"/>
            </w:pPr>
            <w:r>
              <w:rPr>
                <w:b/>
                <w:bCs/>
                <w:sz w:val="18"/>
                <w:szCs w:val="18"/>
              </w:rPr>
              <w:t xml:space="preserve">Linear (piecewise)</w:t>
            </w:r>
          </w:p>
        </w:tc>
        <w:tc>
          <w:tcPr>
            <w:tcW w:type="dxa" w:w="1900"/>
            <w:shd w:fill="E8E8E8" w:color="auto" w:val="clear"/>
            <w:tcMar>
              <w:top w:type="dxa" w:w="60"/>
              <w:left w:type="dxa" w:w="90"/>
              <w:bottom w:type="dxa" w:w="60"/>
              <w:right w:type="dxa" w:w="90"/>
            </w:tcMar>
          </w:tcPr>
          <w:p>
            <w:pPr>
              <w:spacing w:after="0" w:line="240"/>
              <w:jc w:val="right"/>
            </w:pPr>
            <w:r>
              <w:rPr>
                <w:b/>
                <w:bCs/>
                <w:sz w:val="18"/>
                <w:szCs w:val="18"/>
              </w:rPr>
              <w:t xml:space="preserve">Linear + interact.</w:t>
            </w:r>
          </w:p>
        </w:tc>
        <w:tc>
          <w:tcPr>
            <w:tcW w:type="dxa" w:w="1776"/>
            <w:shd w:fill="E8E8E8" w:color="auto" w:val="clear"/>
            <w:tcMar>
              <w:top w:type="dxa" w:w="60"/>
              <w:left w:type="dxa" w:w="90"/>
              <w:bottom w:type="dxa" w:w="60"/>
              <w:right w:type="dxa" w:w="90"/>
            </w:tcMar>
          </w:tcPr>
          <w:p>
            <w:pPr>
              <w:spacing w:after="0" w:line="240"/>
              <w:jc w:val="right"/>
            </w:pPr>
            <w:r>
              <w:rPr>
                <w:b/>
                <w:bCs/>
                <w:sz w:val="18"/>
                <w:szCs w:val="18"/>
              </w:rPr>
              <w:t xml:space="preserve">Random Forest</w:t>
            </w:r>
          </w:p>
        </w:tc>
      </w:tr>
      <w:tr>
        <w:tc>
          <w:tcPr>
            <w:tcW w:type="dxa" w:w="1400"/>
            <w:tcMar>
              <w:top w:type="dxa" w:w="60"/>
              <w:left w:type="dxa" w:w="90"/>
              <w:bottom w:type="dxa" w:w="60"/>
              <w:right w:type="dxa" w:w="90"/>
            </w:tcMar>
          </w:tcPr>
          <w:p>
            <w:pPr>
              <w:spacing w:after="0" w:line="240"/>
              <w:jc w:val="left"/>
            </w:pPr>
            <w:r>
              <w:rPr>
                <w:b w:val="false"/>
                <w:bCs w:val="false"/>
                <w:sz w:val="18"/>
                <w:szCs w:val="18"/>
              </w:rPr>
              <w:t xml:space="preserve">Winter</w:t>
            </w:r>
          </w:p>
        </w:tc>
        <w:tc>
          <w:tcPr>
            <w:tcW w:type="dxa" w:w="1950"/>
            <w:tcMar>
              <w:top w:type="dxa" w:w="60"/>
              <w:left w:type="dxa" w:w="90"/>
              <w:bottom w:type="dxa" w:w="60"/>
              <w:right w:type="dxa" w:w="90"/>
            </w:tcMar>
          </w:tcPr>
          <w:p>
            <w:pPr>
              <w:spacing w:after="0" w:line="240"/>
              <w:jc w:val="right"/>
            </w:pPr>
            <w:r>
              <w:rPr>
                <w:b w:val="false"/>
                <w:bCs w:val="false"/>
                <w:sz w:val="18"/>
                <w:szCs w:val="18"/>
              </w:rPr>
              <w:t xml:space="preserve">−228.1</w:t>
            </w:r>
          </w:p>
        </w:tc>
        <w:tc>
          <w:tcPr>
            <w:tcW w:type="dxa" w:w="2000"/>
            <w:tcMar>
              <w:top w:type="dxa" w:w="60"/>
              <w:left w:type="dxa" w:w="90"/>
              <w:bottom w:type="dxa" w:w="60"/>
              <w:right w:type="dxa" w:w="90"/>
            </w:tcMar>
          </w:tcPr>
          <w:p>
            <w:pPr>
              <w:spacing w:after="0" w:line="240"/>
              <w:jc w:val="right"/>
            </w:pPr>
            <w:r>
              <w:rPr>
                <w:b w:val="false"/>
                <w:bCs w:val="false"/>
                <w:sz w:val="18"/>
                <w:szCs w:val="18"/>
              </w:rPr>
              <w:t xml:space="preserve">−156.3</w:t>
            </w:r>
          </w:p>
        </w:tc>
        <w:tc>
          <w:tcPr>
            <w:tcW w:type="dxa" w:w="1900"/>
            <w:tcMar>
              <w:top w:type="dxa" w:w="60"/>
              <w:left w:type="dxa" w:w="90"/>
              <w:bottom w:type="dxa" w:w="60"/>
              <w:right w:type="dxa" w:w="90"/>
            </w:tcMar>
          </w:tcPr>
          <w:p>
            <w:pPr>
              <w:spacing w:after="0" w:line="240"/>
              <w:jc w:val="right"/>
            </w:pPr>
            <w:r>
              <w:rPr>
                <w:b w:val="false"/>
                <w:bCs w:val="false"/>
                <w:sz w:val="18"/>
                <w:szCs w:val="18"/>
              </w:rPr>
              <w:t xml:space="preserve">−404.5</w:t>
            </w:r>
          </w:p>
        </w:tc>
        <w:tc>
          <w:tcPr>
            <w:tcW w:type="dxa" w:w="1776"/>
            <w:tcMar>
              <w:top w:type="dxa" w:w="60"/>
              <w:left w:type="dxa" w:w="90"/>
              <w:bottom w:type="dxa" w:w="60"/>
              <w:right w:type="dxa" w:w="90"/>
            </w:tcMar>
          </w:tcPr>
          <w:p>
            <w:pPr>
              <w:spacing w:after="0" w:line="240"/>
              <w:jc w:val="right"/>
            </w:pPr>
            <w:r>
              <w:rPr>
                <w:b w:val="false"/>
                <w:bCs w:val="false"/>
                <w:sz w:val="18"/>
                <w:szCs w:val="18"/>
              </w:rPr>
              <w:t xml:space="preserve">−491.7</w:t>
            </w:r>
          </w:p>
        </w:tc>
      </w:tr>
      <w:tr>
        <w:tc>
          <w:tcPr>
            <w:tcW w:type="dxa" w:w="1400"/>
            <w:tcMar>
              <w:top w:type="dxa" w:w="60"/>
              <w:left w:type="dxa" w:w="90"/>
              <w:bottom w:type="dxa" w:w="60"/>
              <w:right w:type="dxa" w:w="90"/>
            </w:tcMar>
          </w:tcPr>
          <w:p>
            <w:pPr>
              <w:spacing w:after="0" w:line="240"/>
              <w:jc w:val="left"/>
            </w:pPr>
            <w:r>
              <w:rPr>
                <w:b w:val="false"/>
                <w:bCs w:val="false"/>
                <w:sz w:val="18"/>
                <w:szCs w:val="18"/>
              </w:rPr>
              <w:t xml:space="preserve">Spring</w:t>
            </w:r>
          </w:p>
        </w:tc>
        <w:tc>
          <w:tcPr>
            <w:tcW w:type="dxa" w:w="1950"/>
            <w:tcMar>
              <w:top w:type="dxa" w:w="60"/>
              <w:left w:type="dxa" w:w="90"/>
              <w:bottom w:type="dxa" w:w="60"/>
              <w:right w:type="dxa" w:w="90"/>
            </w:tcMar>
          </w:tcPr>
          <w:p>
            <w:pPr>
              <w:spacing w:after="0" w:line="240"/>
              <w:jc w:val="right"/>
            </w:pPr>
            <w:r>
              <w:rPr>
                <w:b w:val="false"/>
                <w:bCs w:val="false"/>
                <w:sz w:val="18"/>
                <w:szCs w:val="18"/>
              </w:rPr>
              <w:t xml:space="preserve">−81.2</w:t>
            </w:r>
          </w:p>
        </w:tc>
        <w:tc>
          <w:tcPr>
            <w:tcW w:type="dxa" w:w="2000"/>
            <w:tcMar>
              <w:top w:type="dxa" w:w="60"/>
              <w:left w:type="dxa" w:w="90"/>
              <w:bottom w:type="dxa" w:w="60"/>
              <w:right w:type="dxa" w:w="90"/>
            </w:tcMar>
          </w:tcPr>
          <w:p>
            <w:pPr>
              <w:spacing w:after="0" w:line="240"/>
              <w:jc w:val="right"/>
            </w:pPr>
            <w:r>
              <w:rPr>
                <w:b w:val="false"/>
                <w:bCs w:val="false"/>
                <w:sz w:val="18"/>
                <w:szCs w:val="18"/>
              </w:rPr>
              <w:t xml:space="preserve">−203.0</w:t>
            </w:r>
          </w:p>
        </w:tc>
        <w:tc>
          <w:tcPr>
            <w:tcW w:type="dxa" w:w="1900"/>
            <w:tcMar>
              <w:top w:type="dxa" w:w="60"/>
              <w:left w:type="dxa" w:w="90"/>
              <w:bottom w:type="dxa" w:w="60"/>
              <w:right w:type="dxa" w:w="90"/>
            </w:tcMar>
          </w:tcPr>
          <w:p>
            <w:pPr>
              <w:spacing w:after="0" w:line="240"/>
              <w:jc w:val="right"/>
            </w:pPr>
            <w:r>
              <w:rPr>
                <w:b w:val="false"/>
                <w:bCs w:val="false"/>
                <w:sz w:val="18"/>
                <w:szCs w:val="18"/>
              </w:rPr>
              <w:t xml:space="preserve">−90.8</w:t>
            </w:r>
          </w:p>
        </w:tc>
        <w:tc>
          <w:tcPr>
            <w:tcW w:type="dxa" w:w="1776"/>
            <w:tcMar>
              <w:top w:type="dxa" w:w="60"/>
              <w:left w:type="dxa" w:w="90"/>
              <w:bottom w:type="dxa" w:w="60"/>
              <w:right w:type="dxa" w:w="90"/>
            </w:tcMar>
          </w:tcPr>
          <w:p>
            <w:pPr>
              <w:spacing w:after="0" w:line="240"/>
              <w:jc w:val="right"/>
            </w:pPr>
            <w:r>
              <w:rPr>
                <w:b w:val="false"/>
                <w:bCs w:val="false"/>
                <w:sz w:val="18"/>
                <w:szCs w:val="18"/>
              </w:rPr>
              <w:t xml:space="preserve">−106.5</w:t>
            </w:r>
          </w:p>
        </w:tc>
      </w:tr>
      <w:tr>
        <w:tc>
          <w:tcPr>
            <w:tcW w:type="dxa" w:w="1400"/>
            <w:tcMar>
              <w:top w:type="dxa" w:w="60"/>
              <w:left w:type="dxa" w:w="90"/>
              <w:bottom w:type="dxa" w:w="60"/>
              <w:right w:type="dxa" w:w="90"/>
            </w:tcMar>
          </w:tcPr>
          <w:p>
            <w:pPr>
              <w:spacing w:after="0" w:line="240"/>
              <w:jc w:val="left"/>
            </w:pPr>
            <w:r>
              <w:rPr>
                <w:b w:val="false"/>
                <w:bCs w:val="false"/>
                <w:sz w:val="18"/>
                <w:szCs w:val="18"/>
              </w:rPr>
              <w:t xml:space="preserve">Summer</w:t>
            </w:r>
          </w:p>
        </w:tc>
        <w:tc>
          <w:tcPr>
            <w:tcW w:type="dxa" w:w="1950"/>
            <w:tcMar>
              <w:top w:type="dxa" w:w="60"/>
              <w:left w:type="dxa" w:w="90"/>
              <w:bottom w:type="dxa" w:w="60"/>
              <w:right w:type="dxa" w:w="90"/>
            </w:tcMar>
          </w:tcPr>
          <w:p>
            <w:pPr>
              <w:spacing w:after="0" w:line="240"/>
              <w:jc w:val="right"/>
            </w:pPr>
            <w:r>
              <w:rPr>
                <w:b w:val="false"/>
                <w:bCs w:val="false"/>
                <w:sz w:val="18"/>
                <w:szCs w:val="18"/>
              </w:rPr>
              <w:t xml:space="preserve">+286.6</w:t>
            </w:r>
          </w:p>
        </w:tc>
        <w:tc>
          <w:tcPr>
            <w:tcW w:type="dxa" w:w="2000"/>
            <w:tcMar>
              <w:top w:type="dxa" w:w="60"/>
              <w:left w:type="dxa" w:w="90"/>
              <w:bottom w:type="dxa" w:w="60"/>
              <w:right w:type="dxa" w:w="90"/>
            </w:tcMar>
          </w:tcPr>
          <w:p>
            <w:pPr>
              <w:spacing w:after="0" w:line="240"/>
              <w:jc w:val="right"/>
            </w:pPr>
            <w:r>
              <w:rPr>
                <w:b w:val="false"/>
                <w:bCs w:val="false"/>
                <w:sz w:val="18"/>
                <w:szCs w:val="18"/>
              </w:rPr>
              <w:t xml:space="preserve">+421.9</w:t>
            </w:r>
          </w:p>
        </w:tc>
        <w:tc>
          <w:tcPr>
            <w:tcW w:type="dxa" w:w="1900"/>
            <w:tcMar>
              <w:top w:type="dxa" w:w="60"/>
              <w:left w:type="dxa" w:w="90"/>
              <w:bottom w:type="dxa" w:w="60"/>
              <w:right w:type="dxa" w:w="90"/>
            </w:tcMar>
          </w:tcPr>
          <w:p>
            <w:pPr>
              <w:spacing w:after="0" w:line="240"/>
              <w:jc w:val="right"/>
            </w:pPr>
            <w:r>
              <w:rPr>
                <w:b w:val="false"/>
                <w:bCs w:val="false"/>
                <w:sz w:val="18"/>
                <w:szCs w:val="18"/>
              </w:rPr>
              <w:t xml:space="preserve">+512.3</w:t>
            </w:r>
          </w:p>
        </w:tc>
        <w:tc>
          <w:tcPr>
            <w:tcW w:type="dxa" w:w="1776"/>
            <w:tcMar>
              <w:top w:type="dxa" w:w="60"/>
              <w:left w:type="dxa" w:w="90"/>
              <w:bottom w:type="dxa" w:w="60"/>
              <w:right w:type="dxa" w:w="90"/>
            </w:tcMar>
          </w:tcPr>
          <w:p>
            <w:pPr>
              <w:spacing w:after="0" w:line="240"/>
              <w:jc w:val="right"/>
            </w:pPr>
            <w:r>
              <w:rPr>
                <w:b w:val="false"/>
                <w:bCs w:val="false"/>
                <w:sz w:val="18"/>
                <w:szCs w:val="18"/>
              </w:rPr>
              <w:t xml:space="preserve">+845.5</w:t>
            </w:r>
          </w:p>
        </w:tc>
      </w:tr>
      <w:tr>
        <w:tc>
          <w:tcPr>
            <w:tcW w:type="dxa" w:w="1400"/>
            <w:tcMar>
              <w:top w:type="dxa" w:w="60"/>
              <w:left w:type="dxa" w:w="90"/>
              <w:bottom w:type="dxa" w:w="60"/>
              <w:right w:type="dxa" w:w="90"/>
            </w:tcMar>
          </w:tcPr>
          <w:p>
            <w:pPr>
              <w:spacing w:after="0" w:line="240"/>
              <w:jc w:val="left"/>
            </w:pPr>
            <w:r>
              <w:rPr>
                <w:b w:val="false"/>
                <w:bCs w:val="false"/>
                <w:sz w:val="18"/>
                <w:szCs w:val="18"/>
              </w:rPr>
              <w:t xml:space="preserve">Autumn</w:t>
            </w:r>
          </w:p>
        </w:tc>
        <w:tc>
          <w:tcPr>
            <w:tcW w:type="dxa" w:w="1950"/>
            <w:tcMar>
              <w:top w:type="dxa" w:w="60"/>
              <w:left w:type="dxa" w:w="90"/>
              <w:bottom w:type="dxa" w:w="60"/>
              <w:right w:type="dxa" w:w="90"/>
            </w:tcMar>
          </w:tcPr>
          <w:p>
            <w:pPr>
              <w:spacing w:after="0" w:line="240"/>
              <w:jc w:val="right"/>
            </w:pPr>
            <w:r>
              <w:rPr>
                <w:b w:val="false"/>
                <w:bCs w:val="false"/>
                <w:sz w:val="18"/>
                <w:szCs w:val="18"/>
              </w:rPr>
              <w:t xml:space="preserve">+41.1</w:t>
            </w:r>
          </w:p>
        </w:tc>
        <w:tc>
          <w:tcPr>
            <w:tcW w:type="dxa" w:w="2000"/>
            <w:tcMar>
              <w:top w:type="dxa" w:w="60"/>
              <w:left w:type="dxa" w:w="90"/>
              <w:bottom w:type="dxa" w:w="60"/>
              <w:right w:type="dxa" w:w="90"/>
            </w:tcMar>
          </w:tcPr>
          <w:p>
            <w:pPr>
              <w:spacing w:after="0" w:line="240"/>
              <w:jc w:val="right"/>
            </w:pPr>
            <w:r>
              <w:rPr>
                <w:b w:val="false"/>
                <w:bCs w:val="false"/>
                <w:sz w:val="18"/>
                <w:szCs w:val="18"/>
              </w:rPr>
              <w:t xml:space="preserve">−49.7</w:t>
            </w:r>
          </w:p>
        </w:tc>
        <w:tc>
          <w:tcPr>
            <w:tcW w:type="dxa" w:w="1900"/>
            <w:tcMar>
              <w:top w:type="dxa" w:w="60"/>
              <w:left w:type="dxa" w:w="90"/>
              <w:bottom w:type="dxa" w:w="60"/>
              <w:right w:type="dxa" w:w="90"/>
            </w:tcMar>
          </w:tcPr>
          <w:p>
            <w:pPr>
              <w:spacing w:after="0" w:line="240"/>
              <w:jc w:val="right"/>
            </w:pPr>
            <w:r>
              <w:rPr>
                <w:b w:val="false"/>
                <w:bCs w:val="false"/>
                <w:sz w:val="18"/>
                <w:szCs w:val="18"/>
              </w:rPr>
              <w:t xml:space="preserve">+103.2</w:t>
            </w:r>
          </w:p>
        </w:tc>
        <w:tc>
          <w:tcPr>
            <w:tcW w:type="dxa" w:w="1776"/>
            <w:tcMar>
              <w:top w:type="dxa" w:w="60"/>
              <w:left w:type="dxa" w:w="90"/>
              <w:bottom w:type="dxa" w:w="60"/>
              <w:right w:type="dxa" w:w="90"/>
            </w:tcMar>
          </w:tcPr>
          <w:p>
            <w:pPr>
              <w:spacing w:after="0" w:line="240"/>
              <w:jc w:val="right"/>
            </w:pPr>
            <w:r>
              <w:rPr>
                <w:b w:val="false"/>
                <w:bCs w:val="false"/>
                <w:sz w:val="18"/>
                <w:szCs w:val="18"/>
              </w:rPr>
              <w:t xml:space="preserve">−13.5</w:t>
            </w:r>
          </w:p>
        </w:tc>
      </w:tr>
    </w:tbl>
    <w:p>
      <w:pPr>
        <w:spacing w:after="200"/>
      </w:pPr>
    </w:p>
    <w:p>
      <w:pPr>
        <w:spacing w:after="140" w:line="276"/>
        <w:jc w:val="both"/>
      </w:pPr>
      <w:r>
        <w:t xml:space="preserve">All four specifications agree on the sign of the two large effects — summer up, winter down — and therefore on the redistribution conclusion. They disagree substantially on magnitude: the Random Forest gives a summer effect roughly three times the single-slope linear estimate. Autumn changes sign across specifications, which is consistent with its classification as no detectable change. The qualitative finding is robust; the point magnitudes should be read as specification-dependent.</w:t>
      </w:r>
    </w:p>
    <w:p>
      <w:pPr>
        <w:spacing w:after="140" w:line="276"/>
        <w:jc w:val="both"/>
      </w:pPr>
      <w:r>
        <w:rPr>
          <w:b/>
          <w:bCs/>
        </w:rPr>
        <w:t xml:space="preserve">4. Bootstrap scheme.</w:t>
      </w:r>
      <w:r>
        <w:t xml:space="preserve"> For the primary model, hour-resampling and refit-based intervals happened to have similar widths (summer +3 °C: 334.1 MW versus 317.2 MW). This near-agreement is coincidental rather than reassuring — the two schemes measure different quantities, and the refit interval is the one that answers the relevant question. Under the Random Forest, hour-resampling produced intervals that appeared plausible only because the forest's per-hour effects are jagged step functions.</w:t>
      </w:r>
    </w:p>
    <w:p>
      <w:pPr>
        <w:spacing w:after="140" w:line="276"/>
        <w:jc w:val="both"/>
      </w:pPr>
      <w:r>
        <w:rPr>
          <w:b/>
          <w:bCs/>
        </w:rPr>
        <w:t xml:space="preserve">5. Emission factor.</w:t>
      </w:r>
      <w:r>
        <w:t xml:space="preserve"> Table 14 shows the +3 °C result under four candidate factors.</w:t>
      </w:r>
    </w:p>
    <w:p>
      <w:pPr>
        <w:spacing w:after="90" w:before="200"/>
        <w:jc w:val="left"/>
      </w:pPr>
      <w:r>
        <w:rPr>
          <w:b/>
          <w:bCs/>
          <w:sz w:val="18"/>
          <w:szCs w:val="18"/>
        </w:rPr>
        <w:t xml:space="preserve">Table 14.</w:t>
      </w:r>
      <w:r>
        <w:rPr>
          <w:sz w:val="18"/>
          <w:szCs w:val="18"/>
        </w:rPr>
        <w:t xml:space="preserve"> Sensitivity of the +3 °C CO₂ result to the emission factor.</w:t>
      </w:r>
    </w:p>
    <w:tbl>
      <w:tblPr>
        <w:tblW w:type="dxa" w:w="9026"/>
        <w:tblBorders>
          <w:top w:val="single" w:color="000000" w:sz="8"/>
          <w:left w:val="none" w:color="FFFFFF" w:sz="0"/>
          <w:bottom w:val="single" w:color="000000" w:sz="8"/>
          <w:right w:val="none" w:color="FFFFFF" w:sz="0"/>
          <w:insideH w:val="single" w:color="BBBBBB" w:sz="2"/>
          <w:insideV w:val="none" w:color="FFFFFF" w:sz="0"/>
        </w:tblBorders>
      </w:tblPr>
      <w:tblGrid>
        <w:gridCol w:w="3200"/>
        <w:gridCol w:w="1900"/>
        <w:gridCol w:w="1950"/>
        <w:gridCol w:w="1976"/>
      </w:tblGrid>
      <w:tr>
        <w:trPr>
          <w:tblHeader/>
        </w:trPr>
        <w:tc>
          <w:tcPr>
            <w:tcW w:type="dxa" w:w="3200"/>
            <w:shd w:fill="E8E8E8" w:color="auto" w:val="clear"/>
            <w:tcMar>
              <w:top w:type="dxa" w:w="60"/>
              <w:left w:type="dxa" w:w="90"/>
              <w:bottom w:type="dxa" w:w="60"/>
              <w:right w:type="dxa" w:w="90"/>
            </w:tcMar>
          </w:tcPr>
          <w:p>
            <w:pPr>
              <w:spacing w:after="0" w:line="240"/>
              <w:jc w:val="left"/>
            </w:pPr>
            <w:r>
              <w:rPr>
                <w:b/>
                <w:bCs/>
                <w:sz w:val="18"/>
                <w:szCs w:val="18"/>
              </w:rPr>
              <w:t xml:space="preserve">Factor choice</w:t>
            </w:r>
          </w:p>
        </w:tc>
        <w:tc>
          <w:tcPr>
            <w:tcW w:type="dxa" w:w="1900"/>
            <w:shd w:fill="E8E8E8" w:color="auto" w:val="clear"/>
            <w:tcMar>
              <w:top w:type="dxa" w:w="60"/>
              <w:left w:type="dxa" w:w="90"/>
              <w:bottom w:type="dxa" w:w="60"/>
              <w:right w:type="dxa" w:w="90"/>
            </w:tcMar>
          </w:tcPr>
          <w:p>
            <w:pPr>
              <w:spacing w:after="0" w:line="240"/>
              <w:jc w:val="right"/>
            </w:pPr>
            <w:r>
              <w:rPr>
                <w:b/>
                <w:bCs/>
                <w:sz w:val="18"/>
                <w:szCs w:val="18"/>
              </w:rPr>
              <w:t xml:space="preserve">kg CO₂/kWh</w:t>
            </w:r>
          </w:p>
        </w:tc>
        <w:tc>
          <w:tcPr>
            <w:tcW w:type="dxa" w:w="1950"/>
            <w:shd w:fill="E8E8E8" w:color="auto" w:val="clear"/>
            <w:tcMar>
              <w:top w:type="dxa" w:w="60"/>
              <w:left w:type="dxa" w:w="90"/>
              <w:bottom w:type="dxa" w:w="60"/>
              <w:right w:type="dxa" w:w="90"/>
            </w:tcMar>
          </w:tcPr>
          <w:p>
            <w:pPr>
              <w:spacing w:after="0" w:line="240"/>
              <w:jc w:val="right"/>
            </w:pPr>
            <w:r>
              <w:rPr>
                <w:b/>
                <w:bCs/>
                <w:sz w:val="18"/>
                <w:szCs w:val="18"/>
              </w:rPr>
              <w:t xml:space="preserve">Summer (t)</w:t>
            </w:r>
          </w:p>
        </w:tc>
        <w:tc>
          <w:tcPr>
            <w:tcW w:type="dxa" w:w="1976"/>
            <w:shd w:fill="E8E8E8" w:color="auto" w:val="clear"/>
            <w:tcMar>
              <w:top w:type="dxa" w:w="60"/>
              <w:left w:type="dxa" w:w="90"/>
              <w:bottom w:type="dxa" w:w="60"/>
              <w:right w:type="dxa" w:w="90"/>
            </w:tcMar>
          </w:tcPr>
          <w:p>
            <w:pPr>
              <w:spacing w:after="0" w:line="240"/>
              <w:jc w:val="right"/>
            </w:pPr>
            <w:r>
              <w:rPr>
                <w:b/>
                <w:bCs/>
                <w:sz w:val="18"/>
                <w:szCs w:val="18"/>
              </w:rPr>
              <w:t xml:space="preserve">Net annual (t)</w:t>
            </w:r>
          </w:p>
        </w:tc>
      </w:tr>
      <w:tr>
        <w:tc>
          <w:tcPr>
            <w:tcW w:type="dxa" w:w="3200"/>
            <w:tcMar>
              <w:top w:type="dxa" w:w="60"/>
              <w:left w:type="dxa" w:w="90"/>
              <w:bottom w:type="dxa" w:w="60"/>
              <w:right w:type="dxa" w:w="90"/>
            </w:tcMar>
          </w:tcPr>
          <w:p>
            <w:pPr>
              <w:spacing w:after="0" w:line="240"/>
              <w:jc w:val="left"/>
            </w:pPr>
            <w:r>
              <w:rPr>
                <w:b w:val="false"/>
                <w:bCs w:val="false"/>
                <w:sz w:val="18"/>
                <w:szCs w:val="18"/>
              </w:rPr>
              <w:t xml:space="preserve">Marginal, estimated from data</w:t>
            </w:r>
          </w:p>
        </w:tc>
        <w:tc>
          <w:tcPr>
            <w:tcW w:type="dxa" w:w="1900"/>
            <w:tcMar>
              <w:top w:type="dxa" w:w="60"/>
              <w:left w:type="dxa" w:w="90"/>
              <w:bottom w:type="dxa" w:w="60"/>
              <w:right w:type="dxa" w:w="90"/>
            </w:tcMar>
          </w:tcPr>
          <w:p>
            <w:pPr>
              <w:spacing w:after="0" w:line="240"/>
              <w:jc w:val="right"/>
            </w:pPr>
            <w:r>
              <w:rPr>
                <w:b w:val="false"/>
                <w:bCs w:val="false"/>
                <w:sz w:val="18"/>
                <w:szCs w:val="18"/>
              </w:rPr>
              <w:t xml:space="preserve">0.206</w:t>
            </w:r>
          </w:p>
        </w:tc>
        <w:tc>
          <w:tcPr>
            <w:tcW w:type="dxa" w:w="1950"/>
            <w:tcMar>
              <w:top w:type="dxa" w:w="60"/>
              <w:left w:type="dxa" w:w="90"/>
              <w:bottom w:type="dxa" w:w="60"/>
              <w:right w:type="dxa" w:w="90"/>
            </w:tcMar>
          </w:tcPr>
          <w:p>
            <w:pPr>
              <w:spacing w:after="0" w:line="240"/>
              <w:jc w:val="right"/>
            </w:pPr>
            <w:r>
              <w:rPr>
                <w:b w:val="false"/>
                <w:bCs w:val="false"/>
                <w:sz w:val="18"/>
                <w:szCs w:val="18"/>
              </w:rPr>
              <w:t xml:space="preserve">232,576</w:t>
            </w:r>
          </w:p>
        </w:tc>
        <w:tc>
          <w:tcPr>
            <w:tcW w:type="dxa" w:w="1976"/>
            <w:tcMar>
              <w:top w:type="dxa" w:w="60"/>
              <w:left w:type="dxa" w:w="90"/>
              <w:bottom w:type="dxa" w:w="60"/>
              <w:right w:type="dxa" w:w="90"/>
            </w:tcMar>
          </w:tcPr>
          <w:p>
            <w:pPr>
              <w:spacing w:after="0" w:line="240"/>
              <w:jc w:val="right"/>
            </w:pPr>
            <w:r>
              <w:rPr>
                <w:b w:val="false"/>
                <w:bCs w:val="false"/>
                <w:sz w:val="18"/>
                <w:szCs w:val="18"/>
              </w:rPr>
              <w:t xml:space="preserve">58,031</w:t>
            </w:r>
          </w:p>
        </w:tc>
      </w:tr>
      <w:tr>
        <w:tc>
          <w:tcPr>
            <w:tcW w:type="dxa" w:w="3200"/>
            <w:tcMar>
              <w:top w:type="dxa" w:w="60"/>
              <w:left w:type="dxa" w:w="90"/>
              <w:bottom w:type="dxa" w:w="60"/>
              <w:right w:type="dxa" w:w="90"/>
            </w:tcMar>
          </w:tcPr>
          <w:p>
            <w:pPr>
              <w:spacing w:after="0" w:line="240"/>
              <w:jc w:val="left"/>
            </w:pPr>
            <w:r>
              <w:rPr>
                <w:b w:val="false"/>
                <w:bCs w:val="false"/>
                <w:sz w:val="18"/>
                <w:szCs w:val="18"/>
              </w:rPr>
              <w:t xml:space="preserve">Average, estimated from data</w:t>
            </w:r>
          </w:p>
        </w:tc>
        <w:tc>
          <w:tcPr>
            <w:tcW w:type="dxa" w:w="1900"/>
            <w:tcMar>
              <w:top w:type="dxa" w:w="60"/>
              <w:left w:type="dxa" w:w="90"/>
              <w:bottom w:type="dxa" w:w="60"/>
              <w:right w:type="dxa" w:w="90"/>
            </w:tcMar>
          </w:tcPr>
          <w:p>
            <w:pPr>
              <w:spacing w:after="0" w:line="240"/>
              <w:jc w:val="right"/>
            </w:pPr>
            <w:r>
              <w:rPr>
                <w:b w:val="false"/>
                <w:bCs w:val="false"/>
                <w:sz w:val="18"/>
                <w:szCs w:val="18"/>
              </w:rPr>
              <w:t xml:space="preserve">0.236</w:t>
            </w:r>
          </w:p>
        </w:tc>
        <w:tc>
          <w:tcPr>
            <w:tcW w:type="dxa" w:w="1950"/>
            <w:tcMar>
              <w:top w:type="dxa" w:w="60"/>
              <w:left w:type="dxa" w:w="90"/>
              <w:bottom w:type="dxa" w:w="60"/>
              <w:right w:type="dxa" w:w="90"/>
            </w:tcMar>
          </w:tcPr>
          <w:p>
            <w:pPr>
              <w:spacing w:after="0" w:line="240"/>
              <w:jc w:val="right"/>
            </w:pPr>
            <w:r>
              <w:rPr>
                <w:b w:val="false"/>
                <w:bCs w:val="false"/>
                <w:sz w:val="18"/>
                <w:szCs w:val="18"/>
              </w:rPr>
              <w:t xml:space="preserve">266,197</w:t>
            </w:r>
          </w:p>
        </w:tc>
        <w:tc>
          <w:tcPr>
            <w:tcW w:type="dxa" w:w="1976"/>
            <w:tcMar>
              <w:top w:type="dxa" w:w="60"/>
              <w:left w:type="dxa" w:w="90"/>
              <w:bottom w:type="dxa" w:w="60"/>
              <w:right w:type="dxa" w:w="90"/>
            </w:tcMar>
          </w:tcPr>
          <w:p>
            <w:pPr>
              <w:spacing w:after="0" w:line="240"/>
              <w:jc w:val="right"/>
            </w:pPr>
            <w:r>
              <w:rPr>
                <w:b w:val="false"/>
                <w:bCs w:val="false"/>
                <w:sz w:val="18"/>
                <w:szCs w:val="18"/>
              </w:rPr>
              <w:t xml:space="preserve">66,420</w:t>
            </w:r>
          </w:p>
        </w:tc>
      </w:tr>
      <w:tr>
        <w:tc>
          <w:tcPr>
            <w:tcW w:type="dxa" w:w="3200"/>
            <w:tcMar>
              <w:top w:type="dxa" w:w="60"/>
              <w:left w:type="dxa" w:w="90"/>
              <w:bottom w:type="dxa" w:w="60"/>
              <w:right w:type="dxa" w:w="90"/>
            </w:tcMar>
          </w:tcPr>
          <w:p>
            <w:pPr>
              <w:spacing w:after="0" w:line="240"/>
              <w:jc w:val="left"/>
            </w:pPr>
            <w:r>
              <w:rPr>
                <w:b w:val="false"/>
                <w:bCs w:val="false"/>
                <w:sz w:val="18"/>
                <w:szCs w:val="18"/>
              </w:rPr>
              <w:t xml:space="preserve">National average (published)</w:t>
            </w:r>
          </w:p>
        </w:tc>
        <w:tc>
          <w:tcPr>
            <w:tcW w:type="dxa" w:w="1900"/>
            <w:tcMar>
              <w:top w:type="dxa" w:w="60"/>
              <w:left w:type="dxa" w:w="90"/>
              <w:bottom w:type="dxa" w:w="60"/>
              <w:right w:type="dxa" w:w="90"/>
            </w:tcMar>
          </w:tcPr>
          <w:p>
            <w:pPr>
              <w:spacing w:after="0" w:line="240"/>
              <w:jc w:val="right"/>
            </w:pPr>
            <w:r>
              <w:rPr>
                <w:b w:val="false"/>
                <w:bCs w:val="false"/>
                <w:sz w:val="18"/>
                <w:szCs w:val="18"/>
              </w:rPr>
              <w:t xml:space="preserve">0.321</w:t>
            </w:r>
          </w:p>
        </w:tc>
        <w:tc>
          <w:tcPr>
            <w:tcW w:type="dxa" w:w="1950"/>
            <w:tcMar>
              <w:top w:type="dxa" w:w="60"/>
              <w:left w:type="dxa" w:w="90"/>
              <w:bottom w:type="dxa" w:w="60"/>
              <w:right w:type="dxa" w:w="90"/>
            </w:tcMar>
          </w:tcPr>
          <w:p>
            <w:pPr>
              <w:spacing w:after="0" w:line="240"/>
              <w:jc w:val="right"/>
            </w:pPr>
            <w:r>
              <w:rPr>
                <w:b w:val="false"/>
                <w:bCs w:val="false"/>
                <w:sz w:val="18"/>
                <w:szCs w:val="18"/>
              </w:rPr>
              <w:t xml:space="preserve">362,801</w:t>
            </w:r>
          </w:p>
        </w:tc>
        <w:tc>
          <w:tcPr>
            <w:tcW w:type="dxa" w:w="1976"/>
            <w:tcMar>
              <w:top w:type="dxa" w:w="60"/>
              <w:left w:type="dxa" w:w="90"/>
              <w:bottom w:type="dxa" w:w="60"/>
              <w:right w:type="dxa" w:w="90"/>
            </w:tcMar>
          </w:tcPr>
          <w:p>
            <w:pPr>
              <w:spacing w:after="0" w:line="240"/>
              <w:jc w:val="right"/>
            </w:pPr>
            <w:r>
              <w:rPr>
                <w:b w:val="false"/>
                <w:bCs w:val="false"/>
                <w:sz w:val="18"/>
                <w:szCs w:val="18"/>
              </w:rPr>
              <w:t xml:space="preserve">90,524</w:t>
            </w:r>
          </w:p>
        </w:tc>
      </w:tr>
      <w:tr>
        <w:tc>
          <w:tcPr>
            <w:tcW w:type="dxa" w:w="3200"/>
            <w:tcMar>
              <w:top w:type="dxa" w:w="60"/>
              <w:left w:type="dxa" w:w="90"/>
              <w:bottom w:type="dxa" w:w="60"/>
              <w:right w:type="dxa" w:w="90"/>
            </w:tcMar>
          </w:tcPr>
          <w:p>
            <w:pPr>
              <w:spacing w:after="0" w:line="240"/>
              <w:jc w:val="left"/>
            </w:pPr>
            <w:r>
              <w:rPr>
                <w:b w:val="false"/>
                <w:bCs w:val="false"/>
                <w:sz w:val="18"/>
                <w:szCs w:val="18"/>
              </w:rPr>
              <w:t xml:space="preserve">Gas-only upper bound</w:t>
            </w:r>
          </w:p>
        </w:tc>
        <w:tc>
          <w:tcPr>
            <w:tcW w:type="dxa" w:w="1900"/>
            <w:tcMar>
              <w:top w:type="dxa" w:w="60"/>
              <w:left w:type="dxa" w:w="90"/>
              <w:bottom w:type="dxa" w:w="60"/>
              <w:right w:type="dxa" w:w="90"/>
            </w:tcMar>
          </w:tcPr>
          <w:p>
            <w:pPr>
              <w:spacing w:after="0" w:line="240"/>
              <w:jc w:val="right"/>
            </w:pPr>
            <w:r>
              <w:rPr>
                <w:b w:val="false"/>
                <w:bCs w:val="false"/>
                <w:sz w:val="18"/>
                <w:szCs w:val="18"/>
              </w:rPr>
              <w:t xml:space="preserve">0.490</w:t>
            </w:r>
          </w:p>
        </w:tc>
        <w:tc>
          <w:tcPr>
            <w:tcW w:type="dxa" w:w="1950"/>
            <w:tcMar>
              <w:top w:type="dxa" w:w="60"/>
              <w:left w:type="dxa" w:w="90"/>
              <w:bottom w:type="dxa" w:w="60"/>
              <w:right w:type="dxa" w:w="90"/>
            </w:tcMar>
          </w:tcPr>
          <w:p>
            <w:pPr>
              <w:spacing w:after="0" w:line="240"/>
              <w:jc w:val="right"/>
            </w:pPr>
            <w:r>
              <w:rPr>
                <w:b w:val="false"/>
                <w:bCs w:val="false"/>
                <w:sz w:val="18"/>
                <w:szCs w:val="18"/>
              </w:rPr>
              <w:t xml:space="preserve">553,809</w:t>
            </w:r>
          </w:p>
        </w:tc>
        <w:tc>
          <w:tcPr>
            <w:tcW w:type="dxa" w:w="1976"/>
            <w:tcMar>
              <w:top w:type="dxa" w:w="60"/>
              <w:left w:type="dxa" w:w="90"/>
              <w:bottom w:type="dxa" w:w="60"/>
              <w:right w:type="dxa" w:w="90"/>
            </w:tcMar>
          </w:tcPr>
          <w:p>
            <w:pPr>
              <w:spacing w:after="0" w:line="240"/>
              <w:jc w:val="right"/>
            </w:pPr>
            <w:r>
              <w:rPr>
                <w:b w:val="false"/>
                <w:bCs w:val="false"/>
                <w:sz w:val="18"/>
                <w:szCs w:val="18"/>
              </w:rPr>
              <w:t xml:space="preserve">138,183</w:t>
            </w:r>
          </w:p>
        </w:tc>
      </w:tr>
    </w:tbl>
    <w:p>
      <w:pPr>
        <w:spacing w:after="200"/>
      </w:pPr>
    </w:p>
    <w:p>
      <w:pPr>
        <w:spacing w:after="140" w:line="276"/>
        <w:jc w:val="both"/>
      </w:pPr>
      <w:r>
        <w:t xml:space="preserve">The spread across factor choices is 80,152 t — larger than the central net estimate itself. The CO₂ conclusion is therefore more sensitive to the emission-factor assumption than to anything in the machine learning, and this should be stated plainly rather than buried.</w:t>
      </w:r>
    </w:p>
    <w:p>
      <w:pPr>
        <w:spacing w:after="60" w:before="160"/>
        <w:jc w:val="center"/>
      </w:pPr>
      <w:r>
        <w:drawing>
          <wp:inline distT="0" distB="0" distL="0" distR="0">
            <wp:extent cx="4953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2457450"/>
                    </a:xfrm>
                    <a:prstGeom prst="rect">
                      <a:avLst/>
                    </a:prstGeom>
                  </pic:spPr>
                </pic:pic>
              </a:graphicData>
            </a:graphic>
          </wp:inline>
        </w:drawing>
      </w:r>
    </w:p>
    <w:p>
      <w:pPr>
        <w:spacing w:after="220" w:before="80"/>
        <w:jc w:val="center"/>
      </w:pPr>
      <w:r>
        <w:rPr>
          <w:b/>
          <w:bCs/>
          <w:i w:val="false"/>
          <w:iCs w:val="false"/>
          <w:sz w:val="18"/>
          <w:szCs w:val="18"/>
        </w:rPr>
        <w:t xml:space="preserve">Figure 16.</w:t>
      </w:r>
      <w:r>
        <w:rPr>
          <w:i w:val="false"/>
          <w:iCs w:val="false"/>
          <w:sz w:val="18"/>
          <w:szCs w:val="18"/>
        </w:rPr>
        <w:t xml:space="preserve"> Seasonal CO₂ impact with uncertainty bounds under the estimated marginal emission factor.</w:t>
      </w:r>
    </w:p>
    <w:p>
      <w:pPr>
        <w:pStyle w:val="Heading1"/>
        <w:spacing w:after="180" w:before="360"/>
      </w:pPr>
      <w:r>
        <w:t xml:space="preserve">4. Findings, Discussion and Conclusions</w:t>
      </w:r>
    </w:p>
    <w:p>
      <w:pPr>
        <w:pStyle w:val="Heading2"/>
        <w:spacing w:after="140" w:before="280"/>
      </w:pPr>
      <w:r>
        <w:t xml:space="preserve">4.1 Principal findings</w:t>
      </w:r>
    </w:p>
    <w:p>
      <w:pPr>
        <w:pStyle w:val="ListParagraph"/>
        <w:numPr>
          <w:ilvl w:val="0"/>
          <w:numId w:val="7"/>
        </w:numPr>
        <w:spacing w:after="110" w:line="276"/>
        <w:jc w:val="both"/>
      </w:pPr>
      <w:r>
        <w:rPr>
          <w:b/>
          <w:bCs/>
        </w:rPr>
        <w:t xml:space="preserve">Hourly Spanish electricity demand is highly predictable at short horizons, but almost entirely from its own recent history.</w:t>
      </w:r>
      <w:r>
        <w:t xml:space="preserve"> A Random Forest using lagged demand achieves MAE 355 MW (R² = 0.9844), a 67% error reduction over persistence. However, 98.2% of its feature importance sits on just two features — the one-hour lag (0.907) and hour of day (0.075) — with temperature at 0.0027.</w:t>
      </w:r>
    </w:p>
    <w:p>
      <w:pPr>
        <w:pStyle w:val="ListParagraph"/>
        <w:numPr>
          <w:ilvl w:val="0"/>
          <w:numId w:val="7"/>
        </w:numPr>
        <w:spacing w:after="110" w:line="276"/>
        <w:jc w:val="both"/>
      </w:pPr>
      <w:r>
        <w:rPr>
          <w:b/>
          <w:bCs/>
        </w:rPr>
        <w:t xml:space="preserve">The predictive accuracy of a model is not evidence of its validity for intervention.</w:t>
      </w:r>
      <w:r>
        <w:t xml:space="preserve"> The most accurate model in this study is the least suitable for the project's central question, because its accuracy comes from a channel that cannot be manipulated. Excluding demand history costs 36 points of R² (0.98 → 0.64), and paying that cost is what makes the scenario analysis meaningful.</w:t>
      </w:r>
    </w:p>
    <w:p>
      <w:pPr>
        <w:pStyle w:val="ListParagraph"/>
        <w:numPr>
          <w:ilvl w:val="0"/>
          <w:numId w:val="7"/>
        </w:numPr>
        <w:spacing w:after="110" w:line="276"/>
        <w:jc w:val="both"/>
      </w:pPr>
      <w:r>
        <w:rPr>
          <w:b/>
          <w:bCs/>
        </w:rPr>
        <w:t xml:space="preserve">The demand–temperature relationship is U-shaped, minimised at 19.0 °C, and asymmetric.</w:t>
      </w:r>
      <w:r>
        <w:t xml:space="preserve"> Cooling sensitivity (+104.6 MW per °C above 18 °C) exceeds heating sensitivity (+78.7 MW per °C below it) by about a third, consistent with cooling in Spain being almost entirely electric while heating is substantially met by other fuels.</w:t>
      </w:r>
    </w:p>
    <w:p>
      <w:pPr>
        <w:pStyle w:val="ListParagraph"/>
        <w:numPr>
          <w:ilvl w:val="0"/>
          <w:numId w:val="7"/>
        </w:numPr>
        <w:spacing w:after="110" w:line="276"/>
        <w:jc w:val="both"/>
      </w:pPr>
      <w:r>
        <w:rPr>
          <w:b/>
          <w:bCs/>
        </w:rPr>
        <w:t xml:space="preserve">The cooling response is strongly convex.</w:t>
      </w:r>
      <w:r>
        <w:t xml:space="preserve"> Piecewise estimation gives −29.2 MW per °C in the 18–22 °C band rising to +353.5 MW per °C above 30 °C. Average sensitivity therefore understates sensitivity in precisely the conditions that set peak capacity requirements.</w:t>
      </w:r>
    </w:p>
    <w:p>
      <w:pPr>
        <w:pStyle w:val="ListParagraph"/>
        <w:numPr>
          <w:ilvl w:val="0"/>
          <w:numId w:val="7"/>
        </w:numPr>
        <w:spacing w:after="110" w:line="276"/>
        <w:jc w:val="both"/>
      </w:pPr>
      <w:r>
        <w:rPr>
          <w:b/>
          <w:bCs/>
        </w:rPr>
        <w:t xml:space="preserve">Heating and cooling responses have different daily shapes.</w:t>
      </w:r>
      <w:r>
        <w:t xml:space="preserve"> Cooling sensitivity is substantial even overnight (201.8 MW per °C), while heating sensitivity is near zero overnight (3.2 MW per °C) and peaks in the afternoon (326.0 MW per °C) — consistent with heating being occupancy-driven and cooling persisting through hot nights.</w:t>
      </w:r>
    </w:p>
    <w:p>
      <w:pPr>
        <w:pStyle w:val="ListParagraph"/>
        <w:numPr>
          <w:ilvl w:val="0"/>
          <w:numId w:val="7"/>
        </w:numPr>
        <w:spacing w:after="110" w:line="276"/>
        <w:jc w:val="both"/>
      </w:pPr>
      <w:r>
        <w:rPr>
          <w:b/>
          <w:bCs/>
        </w:rPr>
        <w:t xml:space="preserve">Warming redistributes demand between seasons without detectably changing the annual total.</w:t>
      </w:r>
      <w:r>
        <w:t xml:space="preserve"> Under +3 °C, summer demand rises +512 MW (95% CI [+347, +664]) and winter demand falls −404 MW (95% CI [−588, −237]), both statistically detectable, while the annual mean change of +32 MW is not (95% CI [−116, +175]). Gross seasonal movement of 1,111 MW nets to 32 MW.</w:t>
      </w:r>
    </w:p>
    <w:p>
      <w:pPr>
        <w:pStyle w:val="ListParagraph"/>
        <w:numPr>
          <w:ilvl w:val="0"/>
          <w:numId w:val="7"/>
        </w:numPr>
        <w:spacing w:after="110" w:line="276"/>
        <w:jc w:val="both"/>
      </w:pPr>
      <w:r>
        <w:rPr>
          <w:b/>
          <w:bCs/>
        </w:rPr>
        <w:t xml:space="preserve">This redistribution matters even though the annual total does not move.</w:t>
      </w:r>
      <w:r>
        <w:t xml:space="preserve"> Capacity is sized by peaks, not averages. A shift toward summer — concentrated in hours where the cooling slope is steepest — raises required firm capacity while leaving annual energy roughly unchanged. The annual null result is the least policy-relevant number in the analysis.</w:t>
      </w:r>
    </w:p>
    <w:p>
      <w:pPr>
        <w:pStyle w:val="ListParagraph"/>
        <w:numPr>
          <w:ilvl w:val="0"/>
          <w:numId w:val="7"/>
        </w:numPr>
        <w:spacing w:after="110" w:line="276"/>
        <w:jc w:val="both"/>
      </w:pPr>
      <w:r>
        <w:rPr>
          <w:b/>
          <w:bCs/>
        </w:rPr>
        <w:t xml:space="preserve">Spain's marginal carbon intensity is below its average.</w:t>
      </w:r>
      <w:r>
        <w:t xml:space="preserve"> The marginal factor of 0.206 kg CO₂/kWh, estimated by first-difference regression and confirmed independently by dispatch decomposition, is 13% below the average factor of 0.236 kg/kWh, because hydro reservoirs supply 47.7% of the marginal load-following response.</w:t>
      </w:r>
    </w:p>
    <w:p>
      <w:pPr>
        <w:pStyle w:val="ListParagraph"/>
        <w:numPr>
          <w:ilvl w:val="0"/>
          <w:numId w:val="7"/>
        </w:numPr>
        <w:spacing w:after="110" w:line="276"/>
        <w:jc w:val="both"/>
      </w:pPr>
      <w:r>
        <w:rPr>
          <w:b/>
          <w:bCs/>
        </w:rPr>
        <w:t xml:space="preserve">The emissions consequence mirrors the demand result: a seasonal redistribution with a null annual net.</w:t>
      </w:r>
      <w:r>
        <w:t xml:space="preserve"> Under +3 °C, approximately +233 kt CO₂ in summer against −180 kt CO₂ in winter, with a net annual change of +58 kt that is not distinguishable from zero at 95% confidence.</w:t>
      </w:r>
    </w:p>
    <w:p>
      <w:pPr>
        <w:pStyle w:val="ListParagraph"/>
        <w:numPr>
          <w:ilvl w:val="0"/>
          <w:numId w:val="7"/>
        </w:numPr>
        <w:spacing w:after="110" w:line="276"/>
        <w:jc w:val="both"/>
      </w:pPr>
      <w:r>
        <w:rPr>
          <w:b/>
          <w:bCs/>
        </w:rPr>
        <w:t xml:space="preserve">The emissions conclusion is limited by the emission factor, not by the model.</w:t>
      </w:r>
      <w:r>
        <w:t xml:space="preserve"> Varying the factor across four defensible choices moves the net annual estimate by 80 kt — more than the central estimate itself.</w:t>
      </w:r>
    </w:p>
    <w:p>
      <w:pPr>
        <w:pStyle w:val="Heading2"/>
        <w:spacing w:after="140" w:before="280"/>
      </w:pPr>
      <w:r>
        <w:t xml:space="preserve">4.2 Methodological findings</w:t>
      </w:r>
    </w:p>
    <w:p>
      <w:pPr>
        <w:spacing w:after="140" w:line="276"/>
        <w:jc w:val="both"/>
      </w:pPr>
      <w:r>
        <w:t xml:space="preserve">Three methodological points emerged that are worth recording independently of the substantive results.</w:t>
      </w:r>
    </w:p>
    <w:p>
      <w:pPr>
        <w:spacing w:after="140" w:line="276"/>
        <w:jc w:val="both"/>
      </w:pPr>
      <w:r>
        <w:rPr>
          <w:b/>
          <w:bCs/>
        </w:rPr>
        <w:t xml:space="preserve">Bootstrap design must match the quantity of interest.</w:t>
      </w:r>
      <w:r>
        <w:t xml:space="preserve"> The initial intervals resampled which test hours the effect was averaged over. For a linear model the per-hour effect is a deterministic function of the coefficients, so within a season it barely varies and the interval collapses to spurious precision (±0.1%). The dominant uncertainty is in the coefficients, which requires refitting on resampled training data. Under the Random Forest this error was concealed rather than corrected: the forest's jagged per-hour effects produced plausible-looking width by coincidence.</w:t>
      </w:r>
    </w:p>
    <w:p>
      <w:pPr>
        <w:spacing w:after="140" w:line="276"/>
        <w:jc w:val="both"/>
      </w:pPr>
      <w:r>
        <w:rPr>
          <w:b/>
          <w:bCs/>
        </w:rPr>
        <w:t xml:space="preserve">Weak linear correlation is not evidence of unimportance.</w:t>
      </w:r>
      <w:r>
        <w:t xml:space="preserve"> Temperature's Pearson correlation with demand is weak, because the two arms of the U-shape have opposite slopes and cancel. Feature selection by correlation ranking would have discarded the project's central variable.</w:t>
      </w:r>
    </w:p>
    <w:p>
      <w:pPr>
        <w:spacing w:after="140" w:line="276"/>
        <w:jc w:val="both"/>
      </w:pPr>
      <w:r>
        <w:rPr>
          <w:b/>
          <w:bCs/>
        </w:rPr>
        <w:t xml:space="preserve">Counterfactual design matrices must be internally consistent.</w:t>
      </w:r>
      <w:r>
        <w:t xml:space="preserve"> Shifting temperature without recomputing the degree-day terms derived from it produces a physically incoherent scenario. Verifying programmatically that exactly the intended columns change is a cheap and effective guard.</w:t>
      </w:r>
    </w:p>
    <w:p>
      <w:pPr>
        <w:pStyle w:val="Heading2"/>
        <w:spacing w:after="140" w:before="280"/>
      </w:pPr>
      <w:r>
        <w:t xml:space="preserve">4.3 Limitations</w:t>
      </w:r>
    </w:p>
    <w:p>
      <w:pPr>
        <w:pStyle w:val="ListParagraph"/>
        <w:numPr>
          <w:ilvl w:val="0"/>
          <w:numId w:val="8"/>
        </w:numPr>
        <w:spacing w:after="110" w:line="276"/>
        <w:jc w:val="both"/>
      </w:pPr>
      <w:r>
        <w:rPr>
          <w:b/>
          <w:bCs/>
        </w:rPr>
        <w:t xml:space="preserve">Emission factors require verification.</w:t>
      </w:r>
      <w:r>
        <w:t xml:space="preserve"> The fuel-specific direct-combustion factors used to build hourly CO₂ are commonly cited central estimates and should be replaced with values verified against a primary source — IPCC AR5 Working Group III Annex III, the European Environment Agency's electricity emission factor reports, or Spain's National Inventory Report to the UNFCCC — before these figures are relied upon. Section 3.15 shows the result is materially sensitive to this choice.</w:t>
      </w:r>
    </w:p>
    <w:p>
      <w:pPr>
        <w:pStyle w:val="ListParagraph"/>
        <w:numPr>
          <w:ilvl w:val="0"/>
          <w:numId w:val="8"/>
        </w:numPr>
        <w:spacing w:after="110" w:line="276"/>
        <w:jc w:val="both"/>
      </w:pPr>
      <w:r>
        <w:rPr>
          <w:b/>
          <w:bCs/>
        </w:rPr>
        <w:t xml:space="preserve">Only direct combustion emissions are counted.</w:t>
      </w:r>
      <w:r>
        <w:t xml:space="preserve"> Lifecycle emissions of nuclear, hydro, wind and solar are non-zero but out of scope. Biomass and waste are treated as zero-carbon following conventional IPCC biogenic accounting, which is a contested convention.</w:t>
      </w:r>
    </w:p>
    <w:p>
      <w:pPr>
        <w:pStyle w:val="ListParagraph"/>
        <w:numPr>
          <w:ilvl w:val="0"/>
          <w:numId w:val="8"/>
        </w:numPr>
        <w:spacing w:after="110" w:line="276"/>
        <w:jc w:val="both"/>
      </w:pPr>
      <w:r>
        <w:rPr>
          <w:b/>
          <w:bCs/>
        </w:rPr>
        <w:t xml:space="preserve">Random Forest scenarios are a lower bound.</w:t>
      </w:r>
      <w:r>
        <w:t xml:space="preserve"> Tree ensembles cannot extrapolate. Under +3 °C, 0.51% of test hours (45 hours) exceed the training maximum of 36.8 °C, and for those hours the forest returns its boundary value, systematically understating the warming effect. This was a decisive reason for selecting a linear primary model.</w:t>
      </w:r>
    </w:p>
    <w:p>
      <w:pPr>
        <w:pStyle w:val="ListParagraph"/>
        <w:numPr>
          <w:ilvl w:val="0"/>
          <w:numId w:val="8"/>
        </w:numPr>
        <w:spacing w:after="110" w:line="276"/>
        <w:jc w:val="both"/>
      </w:pPr>
      <w:r>
        <w:rPr>
          <w:b/>
          <w:bCs/>
        </w:rPr>
        <w:t xml:space="preserve">Uniform warming is a simplification.</w:t>
      </w:r>
      <w:r>
        <w:t xml:space="preserve"> Real climate change alters the temperature </w:t>
      </w:r>
      <w:r>
        <w:rPr>
          <w:i/>
          <w:iCs/>
        </w:rPr>
        <w:t xml:space="preserve">distribution</w:t>
      </w:r>
      <w:r>
        <w:t xml:space="preserve"> — shifting means, changing variance, and increasing extreme-heat frequency — rather than adding a constant to every hour. Given the convexity established in Section 3.8, a change in the upper tail would produce a larger effect than a uniform shift of the same mean magnitude, so these estimates are likely conservative.</w:t>
      </w:r>
    </w:p>
    <w:p>
      <w:pPr>
        <w:pStyle w:val="ListParagraph"/>
        <w:numPr>
          <w:ilvl w:val="0"/>
          <w:numId w:val="8"/>
        </w:numPr>
        <w:spacing w:after="110" w:line="276"/>
        <w:jc w:val="both"/>
      </w:pPr>
      <w:r>
        <w:rPr>
          <w:b/>
          <w:bCs/>
        </w:rPr>
        <w:t xml:space="preserve">Adaptation and structural change are held fixed.</w:t>
      </w:r>
      <w:r>
        <w:t xml:space="preserve"> The models are estimated on 2015–2018 behaviour and assume air-conditioning penetration, building stock, heating technology mix and electrification of end uses remain unchanged. Over any horizon on which +3 °C is realistic, all of these would change — most obviously air-conditioning adoption, which would amplify the cooling response.</w:t>
      </w:r>
    </w:p>
    <w:p>
      <w:pPr>
        <w:pStyle w:val="ListParagraph"/>
        <w:numPr>
          <w:ilvl w:val="0"/>
          <w:numId w:val="8"/>
        </w:numPr>
        <w:spacing w:after="110" w:line="276"/>
        <w:jc w:val="both"/>
      </w:pPr>
      <w:r>
        <w:rPr>
          <w:b/>
          <w:bCs/>
        </w:rPr>
        <w:t xml:space="preserve">No holiday calendar.</w:t>
      </w:r>
      <w:r>
        <w:t xml:space="preserve"> Spanish public holidays are not encoded. Several of the largest residuals in Model A are consistent with holiday effects the model cannot anticipate.</w:t>
      </w:r>
    </w:p>
    <w:p>
      <w:pPr>
        <w:pStyle w:val="ListParagraph"/>
        <w:numPr>
          <w:ilvl w:val="0"/>
          <w:numId w:val="8"/>
        </w:numPr>
        <w:spacing w:after="110" w:line="276"/>
        <w:jc w:val="both"/>
      </w:pPr>
      <w:r>
        <w:rPr>
          <w:b/>
          <w:bCs/>
        </w:rPr>
        <w:t xml:space="preserve">At least one suspected data fault remains.</w:t>
      </w:r>
      <w:r>
        <w:t xml:space="preserve"> The consecutive hours 2018-05-06 10:00 and 11:00 UTC produce large, near-equal and opposite residuals, consistent with transposed or mis-stamped source values. These were retained rather than silently removed, but they inflate reported error metrics slightly.</w:t>
      </w:r>
    </w:p>
    <w:p>
      <w:pPr>
        <w:pStyle w:val="ListParagraph"/>
        <w:numPr>
          <w:ilvl w:val="0"/>
          <w:numId w:val="8"/>
        </w:numPr>
        <w:spacing w:after="110" w:line="276"/>
        <w:jc w:val="both"/>
      </w:pPr>
      <w:r>
        <w:rPr>
          <w:b/>
          <w:bCs/>
        </w:rPr>
        <w:t xml:space="preserve">Five cities represent a whole country.</w:t>
      </w:r>
      <w:r>
        <w:t xml:space="preserve"> Population-weighted aggregation over Madrid, Barcelona, Valencia, Seville and Bilbao is a reasonable proxy for national conditions but omits substantial rural and regional variation, and the weights use municipal rather than metropolitan or catchment populations.</w:t>
      </w:r>
    </w:p>
    <w:p>
      <w:pPr>
        <w:pStyle w:val="ListParagraph"/>
        <w:numPr>
          <w:ilvl w:val="0"/>
          <w:numId w:val="8"/>
        </w:numPr>
        <w:spacing w:after="110" w:line="276"/>
        <w:jc w:val="both"/>
      </w:pPr>
      <w:r>
        <w:rPr>
          <w:b/>
          <w:bCs/>
        </w:rPr>
        <w:t xml:space="preserve">Weather-condition categories were discarded.</w:t>
      </w:r>
      <w:r>
        <w:t xml:space="preserve"> Judged largely redundant with the numeric fields, but this was not tested empirically.</w:t>
      </w:r>
    </w:p>
    <w:p>
      <w:pPr>
        <w:pStyle w:val="ListParagraph"/>
        <w:numPr>
          <w:ilvl w:val="0"/>
          <w:numId w:val="8"/>
        </w:numPr>
        <w:spacing w:after="110" w:line="276"/>
        <w:jc w:val="both"/>
      </w:pPr>
      <w:r>
        <w:rPr>
          <w:b/>
          <w:bCs/>
        </w:rPr>
        <w:t xml:space="preserve">A single test year.</w:t>
      </w:r>
      <w:r>
        <w:t xml:space="preserve"> Evaluation rests on 2018. Performance and scenario estimates would be more robust under rolling-origin evaluation across multiple test years.</w:t>
      </w:r>
    </w:p>
    <w:p>
      <w:pPr>
        <w:pStyle w:val="Heading2"/>
        <w:spacing w:after="140" w:before="280"/>
      </w:pPr>
      <w:r>
        <w:t xml:space="preserve">4.4 Future work</w:t>
      </w:r>
    </w:p>
    <w:p>
      <w:pPr>
        <w:spacing w:after="140" w:line="276"/>
        <w:jc w:val="both"/>
      </w:pPr>
      <w:r>
        <w:t xml:space="preserve">The most valuable extensions, in rough order of expected return: incorporating a Spanish public-holiday calendar; replacing uniform temperature shifts with distributional scenarios drawn from downscaled climate projections, which given the established convexity should be expected to increase the estimated effect; explicit modelling of air-conditioning adoption as a time-varying elasticity; a rolling-origin evaluation over multiple test years; and estimation at regional rather than national resolution, which would allow the heterogeneous climates of the Atlantic north and the semi-arid south to be treated separately rather than averaged.</w:t>
      </w:r>
    </w:p>
    <w:p>
      <w:pPr>
        <w:pStyle w:val="Heading2"/>
        <w:spacing w:after="140" w:before="280"/>
      </w:pPr>
      <w:r>
        <w:t xml:space="preserve">4.5 Conclusions</w:t>
      </w:r>
    </w:p>
    <w:p>
      <w:pPr>
        <w:spacing w:after="140" w:line="276"/>
        <w:jc w:val="both"/>
      </w:pPr>
      <w:r>
        <w:t xml:space="preserve">This project set out to characterise the weather sensitivity of Spanish electricity demand and to use it to evaluate warming scenarios. It arrives at a result whose shape is arguably more informative than a single headline number: warming does not detectably change how much electricity Spain consumes over a year, but it does detectably change when. Summer demand rises, winter demand falls, and the two largely offset in the annual mean — while the cooling response steepens sharply at exactly the temperatures and hours that determine peak capacity requirements.</w:t>
      </w:r>
    </w:p>
    <w:p>
      <w:pPr>
        <w:spacing w:after="140" w:line="276"/>
        <w:jc w:val="both"/>
      </w:pPr>
      <w:r>
        <w:t xml:space="preserve">Reaching that result required separating prediction from explanation. The most accurate model built here, at R² = 0.9844, would have returned a near-zero scenario effect for structural reasons having nothing to do with the climate. Discarding 36 points of R² to obtain a model that can be legitimately intervened upon was the necessary methodological cost, and recognising that trade-off is the project's central lesson.</w:t>
      </w:r>
    </w:p>
    <w:p>
      <w:pPr>
        <w:pStyle w:val="Heading1"/>
        <w:spacing w:after="180" w:before="360"/>
      </w:pPr>
      <w:r>
        <w:t xml:space="preserve">References</w:t>
      </w:r>
    </w:p>
    <w:p>
      <w:pPr>
        <w:spacing w:after="130" w:line="276"/>
        <w:ind w:left="360" w:hanging="360"/>
      </w:pPr>
      <w:r>
        <w:t xml:space="preserve">Hawkes, A. D. (2010). Estimating marginal CO₂ emissions rates for national electricity systems. </w:t>
      </w:r>
      <w:r>
        <w:rPr>
          <w:i/>
          <w:iCs/>
        </w:rPr>
        <w:t xml:space="preserve">Energy Policy</w:t>
      </w:r>
      <w:r>
        <w:t xml:space="preserve">, 38(10), 5977–5987.</w:t>
      </w:r>
    </w:p>
    <w:p>
      <w:pPr>
        <w:spacing w:after="130" w:line="276"/>
        <w:ind w:left="360" w:hanging="360"/>
      </w:pPr>
      <w:r>
        <w:t xml:space="preserve">Siler-Evans, K., Azevedo, I. L., &amp; Morgan, M. G. (2012). Marginal emissions factors for the U.S. electricity system. </w:t>
      </w:r>
      <w:r>
        <w:rPr>
          <w:i/>
          <w:iCs/>
        </w:rPr>
        <w:t xml:space="preserve">Environmental Science &amp; Technology</w:t>
      </w:r>
      <w:r>
        <w:t xml:space="preserve">, 46(9), 4742–4748.</w:t>
      </w:r>
    </w:p>
    <w:p>
      <w:pPr>
        <w:spacing w:after="130" w:line="276"/>
        <w:ind w:left="360" w:hanging="360"/>
      </w:pPr>
      <w:r>
        <w:t xml:space="preserve">IPCC (2014). </w:t>
      </w:r>
      <w:r>
        <w:rPr>
          <w:i/>
          <w:iCs/>
        </w:rPr>
        <w:t xml:space="preserve">Climate Change 2014: Mitigation of Climate Change. Contribution of Working Group III to the Fifth Assessment Report</w:t>
      </w:r>
      <w:r>
        <w:t xml:space="preserve">, Annex III: Technology-specific cost and performance parameters. Cambridge University Press.</w:t>
      </w:r>
    </w:p>
    <w:p>
      <w:pPr>
        <w:spacing w:after="130" w:line="276"/>
        <w:ind w:left="360" w:hanging="360"/>
      </w:pPr>
      <w:r>
        <w:t xml:space="preserve">Breiman, L. (2001). Random forests. </w:t>
      </w:r>
      <w:r>
        <w:rPr>
          <w:i/>
          <w:iCs/>
        </w:rPr>
        <w:t xml:space="preserve">Machine Learning</w:t>
      </w:r>
      <w:r>
        <w:t xml:space="preserve">, 45(1), 5–32.</w:t>
      </w:r>
    </w:p>
    <w:p>
      <w:pPr>
        <w:spacing w:after="130" w:line="276"/>
        <w:ind w:left="360" w:hanging="360"/>
      </w:pPr>
      <w:r>
        <w:t xml:space="preserve">Friedman, J. H. (2001). Greedy function approximation: a gradient boosting machine. </w:t>
      </w:r>
      <w:r>
        <w:rPr>
          <w:i/>
          <w:iCs/>
        </w:rPr>
        <w:t xml:space="preserve">Annals of Statistics</w:t>
      </w:r>
      <w:r>
        <w:t xml:space="preserve">, 29(5), 1189–1232.</w:t>
      </w:r>
    </w:p>
    <w:p>
      <w:pPr>
        <w:spacing w:after="130" w:line="276"/>
        <w:ind w:left="360" w:hanging="360"/>
      </w:pPr>
      <w:r>
        <w:t xml:space="preserve">Pedregosa, F., et al. (2011). Scikit-learn: Machine learning in Python. </w:t>
      </w:r>
      <w:r>
        <w:rPr>
          <w:i/>
          <w:iCs/>
        </w:rPr>
        <w:t xml:space="preserve">Journal of Machine Learning Research</w:t>
      </w:r>
      <w:r>
        <w:t xml:space="preserve">, 12, 2825–2830.</w:t>
      </w:r>
    </w:p>
    <w:p>
      <w:pPr>
        <w:spacing w:after="130" w:line="276"/>
        <w:ind w:left="360" w:hanging="360"/>
      </w:pPr>
      <w:r>
        <w:t xml:space="preserve">ENTSO-E Transparency Platform. </w:t>
      </w:r>
      <w:r>
        <w:rPr>
          <w:i/>
          <w:iCs/>
        </w:rPr>
        <w:t xml:space="preserve">Hourly load and generation data for Spain, 2015–2018</w:t>
      </w:r>
      <w:r>
        <w:t xml:space="preserve">. Red Eléctrica de España.</w:t>
      </w:r>
    </w:p>
    <w:p>
      <w:pPr>
        <w:spacing w:after="130" w:line="276"/>
        <w:ind w:left="360" w:hanging="360"/>
      </w:pPr>
      <w:r>
        <w:t xml:space="preserve">OpenWeather. </w:t>
      </w:r>
      <w:r>
        <w:rPr>
          <w:i/>
          <w:iCs/>
        </w:rPr>
        <w:t xml:space="preserve">Historical hourly weather data for Madrid, Barcelona, Valencia, Seville and Bilbao, 2015–2018</w:t>
      </w:r>
      <w:r>
        <w:t xml:space="preserve">.</w:t>
      </w:r>
    </w:p>
    <w:p>
      <w:pPr>
        <w:spacing w:after="130" w:line="276"/>
        <w:ind w:left="360" w:hanging="360"/>
      </w:pPr>
      <w:r>
        <w:t xml:space="preserve">Instituto Nacional de Estadística (INE). </w:t>
      </w:r>
      <w:r>
        <w:rPr>
          <w:i/>
          <w:iCs/>
        </w:rPr>
        <w:t xml:space="preserve">Municipal Register population figures</w:t>
      </w:r>
      <w:r>
        <w:t xml:space="preserve">, Spain, 2018.</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60"/>
      </w:pPr>
    </w:lvl>
  </w:abstractNum>
  <w:abstractNum w:abstractNumId="4" w15:restartNumberingAfterBreak="0">
    <w:multiLevelType w:val="hybridMultilevel"/>
    <w:lvl w:ilvl="0" w15:tentative="1">
      <w:start w:val="1"/>
      <w:numFmt w:val="decimal"/>
      <w:lvlText w:val="%1."/>
      <w:lvlJc w:val="left"/>
      <w:pPr>
        <w:ind w:left="460" w:hanging="360"/>
      </w:pPr>
    </w:lvl>
  </w:abstractNum>
  <w:abstractNum w:abstractNumId="5" w15:restartNumberingAfterBreak="0">
    <w:multiLevelType w:val="hybridMultilevel"/>
    <w:lvl w:ilvl="0" w15:tentative="1">
      <w:start w:val="1"/>
      <w:numFmt w:val="decimal"/>
      <w:lvlText w:val="%1."/>
      <w:lvlJc w:val="left"/>
      <w:pPr>
        <w:ind w:left="460" w:hanging="360"/>
      </w:pPr>
    </w:lvl>
  </w:abstractNum>
  <w:abstractNum w:abstractNumId="6" w15:restartNumberingAfterBreak="0">
    <w:multiLevelType w:val="hybridMultilevel"/>
    <w:lvl w:ilvl="0" w15:tentative="1">
      <w:start w:val="1"/>
      <w:numFmt w:val="decimal"/>
      <w:lvlText w:val="%1."/>
      <w:lvlJc w:val="left"/>
      <w:pPr>
        <w:ind w:left="460" w:hanging="360"/>
      </w:pPr>
    </w:lvl>
  </w:abstractNum>
  <w:abstractNum w:abstractNumId="7" w15:restartNumberingAfterBreak="0">
    <w:multiLevelType w:val="hybridMultilevel"/>
    <w:lvl w:ilvl="0" w15:tentative="1">
      <w:start w:val="1"/>
      <w:numFmt w:val="decimal"/>
      <w:lvlText w:val="%1."/>
      <w:lvlJc w:val="left"/>
      <w:pPr>
        <w:ind w:left="460" w:hanging="360"/>
      </w:pPr>
    </w:lvl>
  </w:abstractNum>
  <w:abstractNum w:abstractNumId="8" w15:restartNumberingAfterBreak="0">
    <w:multiLevelType w:val="hybridMultilevel"/>
    <w:lvl w:ilvl="0" w15:tentative="1">
      <w:start w:val="1"/>
      <w:numFmt w:val="decimal"/>
      <w:lvlText w:val="%1."/>
      <w:lvlJc w:val="left"/>
      <w:pPr>
        <w:ind w:left="460" w:hanging="360"/>
      </w:pPr>
    </w:lvl>
  </w:abstractNum>
  <w:abstractNum w:abstractNumId="9" w15:restartNumberingAfterBreak="0">
    <w:multiLevelType w:val="hybridMultilevel"/>
    <w:lvl w:ilvl="0" w15:tentative="1">
      <w:start w:val="1"/>
      <w:numFmt w:val="decimal"/>
      <w:lvlText w:val="%1."/>
      <w:lvlJc w:val="left"/>
      <w:pPr>
        <w:ind w:left="46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1A1A"/>
      <w:sz w:val="32"/>
      <w:szCs w:val="32"/>
    </w:rPr>
  </w:style>
  <w:style w:type="paragraph" w:styleId="Heading2">
    <w:name w:val="Heading 2"/>
    <w:basedOn w:val="Normal"/>
    <w:next w:val="Normal"/>
    <w:qFormat/>
    <w:rPr>
      <w:rFonts w:ascii="Calibri" w:cs="Calibri" w:eastAsia="Calibri" w:hAnsi="Calibri"/>
      <w:b/>
      <w:bCs/>
      <w:color w:val="1A1A1A"/>
      <w:sz w:val="26"/>
      <w:szCs w:val="26"/>
    </w:rPr>
  </w:style>
  <w:style w:type="paragraph" w:styleId="Heading3">
    <w:name w:val="Heading 3"/>
    <w:basedOn w:val="Normal"/>
    <w:next w:val="Normal"/>
    <w:qFormat/>
    <w:rPr>
      <w:rFonts w:ascii="Calibri" w:cs="Calibri" w:eastAsia="Calibri" w:hAnsi="Calibri"/>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52213237461ba34cc65e2c116d1bc93d3999f52.png"/><Relationship Id="rId9" Type="http://schemas.openxmlformats.org/officeDocument/2006/relationships/image" Target="media/5ebfa5c5322d75b768b5b2cc8a0d12fd0b30f179.png"/><Relationship Id="rId10" Type="http://schemas.openxmlformats.org/officeDocument/2006/relationships/image" Target="media/d6e8f6dee1579a8f9b5c617e5108811340c5cce6.png"/><Relationship Id="rId11" Type="http://schemas.openxmlformats.org/officeDocument/2006/relationships/image" Target="media/dc883a935d18069d8d94f3098ca0cec20ff8d831.png"/><Relationship Id="rId12" Type="http://schemas.openxmlformats.org/officeDocument/2006/relationships/image" Target="media/4d3eb7d3396729b36bf55f0818dcd74d6180ad8f.png"/><Relationship Id="rId13" Type="http://schemas.openxmlformats.org/officeDocument/2006/relationships/image" Target="media/6d00ffa26085537f86ceb96cf84cd906f84885b3.png"/><Relationship Id="rId14" Type="http://schemas.openxmlformats.org/officeDocument/2006/relationships/image" Target="media/0a06fe2a66a8df3ccaf804dfd0cbf1aceb6207aa.png"/><Relationship Id="rId15" Type="http://schemas.openxmlformats.org/officeDocument/2006/relationships/image" Target="media/51c3ff6c1b54c57e536c3544a6bab0e3aad1f4a2.png"/><Relationship Id="rId16" Type="http://schemas.openxmlformats.org/officeDocument/2006/relationships/image" Target="media/34b7255edd485a79c177e47963918a4746d6bef5.png"/><Relationship Id="rId17" Type="http://schemas.openxmlformats.org/officeDocument/2006/relationships/image" Target="media/322ae3b3d308091dea4eff7373d02d20ae7d42f2.png"/><Relationship Id="rId18" Type="http://schemas.openxmlformats.org/officeDocument/2006/relationships/image" Target="media/aaa006350bbf0b784f9117a23d13de679466028a.png"/><Relationship Id="rId19" Type="http://schemas.openxmlformats.org/officeDocument/2006/relationships/image" Target="media/6123bfcd5813c2dd2f8246fc079080fde5785eb8.png"/><Relationship Id="rId20" Type="http://schemas.openxmlformats.org/officeDocument/2006/relationships/image" Target="media/430c0dbd94d3ea3a326cb63f6a49089e5c341bc3.png"/><Relationship Id="rId21" Type="http://schemas.openxmlformats.org/officeDocument/2006/relationships/image" Target="media/46507a7c19a044684017561b0d315f2fce477f21.png"/><Relationship Id="rId22" Type="http://schemas.openxmlformats.org/officeDocument/2006/relationships/image" Target="media/059c36051d273766544fc7c56edb21e7f25712f6.png"/><Relationship Id="rId23" Type="http://schemas.openxmlformats.org/officeDocument/2006/relationships/image" Target="media/616ce7d2cbdf8596fb29db0a21dd74322a645bc9.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Weather-Driven Electricity Demand in Spain</dc:title>
  <dc:creator>Group [GROUP NUMBER]</dc:creator>
  <dc:description>Project report</dc:description>
  <cp:lastModifiedBy>Un-named</cp:lastModifiedBy>
  <cp:revision>1</cp:revision>
  <dcterms:created xsi:type="dcterms:W3CDTF">2026-08-30T17:53:52.020Z</dcterms:created>
  <dcterms:modified xsi:type="dcterms:W3CDTF">2026-08-30T17:53:52.020Z</dcterms:modified>
</cp:coreProperties>
</file>

<file path=docProps/custom.xml><?xml version="1.0" encoding="utf-8"?>
<Properties xmlns="http://schemas.openxmlformats.org/officeDocument/2006/custom-properties" xmlns:vt="http://schemas.openxmlformats.org/officeDocument/2006/docPropsVTypes"/>
</file>