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BECD" w14:textId="77777777" w:rsidR="00BE7C20" w:rsidRPr="002D56F3" w:rsidRDefault="00BE7C20" w:rsidP="00B10C4A">
      <w:pPr>
        <w:pStyle w:val="Heading1"/>
        <w:shd w:val="clear" w:color="auto" w:fill="auto"/>
        <w:spacing w:before="240" w:beforeAutospacing="0"/>
      </w:pPr>
      <w:r w:rsidRPr="002D56F3">
        <w:t>Questions to ask to find barriers</w:t>
      </w:r>
    </w:p>
    <w:p w14:paraId="116F9A1E" w14:textId="77777777" w:rsidR="00BE7C20" w:rsidRPr="002D56F3" w:rsidRDefault="00BE7C20" w:rsidP="00B10C4A">
      <w:pPr>
        <w:pStyle w:val="Heading2"/>
        <w:shd w:val="clear" w:color="auto" w:fill="auto"/>
      </w:pPr>
      <w:r w:rsidRPr="002D56F3">
        <w:t>Information and communication barriers</w:t>
      </w:r>
    </w:p>
    <w:p w14:paraId="01781AA3" w14:textId="77777777" w:rsidR="00BE7C20" w:rsidRPr="002D56F3" w:rsidRDefault="00BE7C20" w:rsidP="00B10C4A">
      <w:pPr>
        <w:shd w:val="clear" w:color="auto" w:fill="auto"/>
      </w:pPr>
      <w:r w:rsidRPr="002D56F3">
        <w:t>To find information and communication barriers ask if:</w:t>
      </w:r>
    </w:p>
    <w:p w14:paraId="77A2995B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the layout of your online service is clear for people of all abilities</w:t>
      </w:r>
    </w:p>
    <w:p w14:paraId="33E23677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the font size on desktop, mobile and tablet screens is large enough</w:t>
      </w:r>
    </w:p>
    <w:p w14:paraId="085042BC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the contrast between the foreground and background is high enough</w:t>
      </w:r>
    </w:p>
    <w:p w14:paraId="0A1CCF10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the forms include gender options other than male and female</w:t>
      </w:r>
    </w:p>
    <w:p w14:paraId="0E404519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information about the user’s gender is really needed to use the service</w:t>
      </w:r>
    </w:p>
    <w:p w14:paraId="52A790F8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content design principles have been used to make information easy to find, read and understand</w:t>
      </w:r>
    </w:p>
    <w:p w14:paraId="01715F7A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information is properly structured for assistive technology by using titles, headings, lists and paragraphs</w:t>
      </w:r>
    </w:p>
    <w:p w14:paraId="75687594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content on your web page or application has been written in plain language</w:t>
      </w:r>
    </w:p>
    <w:p w14:paraId="20D354C0" w14:textId="77777777" w:rsidR="00C73502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communication materials such as fact sheets, pamphlets, emails or advertisements meet the user’s language and cultural needs</w:t>
      </w:r>
    </w:p>
    <w:p w14:paraId="44DBE21C" w14:textId="155CB689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the text on your printed materials uses a sans serif font and is large enough to read</w:t>
      </w:r>
    </w:p>
    <w:p w14:paraId="427E1899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there are other ways to get the service or complete the task, for example by phone, in-person or online</w:t>
      </w:r>
    </w:p>
    <w:p w14:paraId="7A8289E8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there is enough accessible phone support for people who need to call for help</w:t>
      </w:r>
    </w:p>
    <w:p w14:paraId="7CF191CC" w14:textId="77777777" w:rsidR="00BE7C20" w:rsidRPr="002D56F3" w:rsidRDefault="00BE7C20" w:rsidP="00B10C4A">
      <w:pPr>
        <w:pStyle w:val="ListParagraph"/>
        <w:numPr>
          <w:ilvl w:val="0"/>
          <w:numId w:val="9"/>
        </w:numPr>
        <w:shd w:val="clear" w:color="auto" w:fill="auto"/>
      </w:pPr>
      <w:r w:rsidRPr="002D56F3">
        <w:t>there is a process in place to give someone information in an alternative format</w:t>
      </w:r>
    </w:p>
    <w:p w14:paraId="01676CB1" w14:textId="77777777" w:rsidR="00B21EB4" w:rsidRDefault="00B21EB4" w:rsidP="00B10C4A">
      <w:pPr>
        <w:shd w:val="clear" w:color="auto" w:fill="auto"/>
        <w:spacing w:before="0" w:beforeAutospacing="0" w:after="0" w:afterAutospacing="0"/>
        <w:rPr>
          <w:rFonts w:ascii="Raleway" w:hAnsi="Raleway" w:cs="Times New Roman"/>
          <w:b/>
          <w:bCs/>
          <w:color w:val="118C7B"/>
          <w:sz w:val="36"/>
          <w:szCs w:val="36"/>
        </w:rPr>
      </w:pPr>
      <w:r>
        <w:br w:type="page"/>
      </w:r>
    </w:p>
    <w:p w14:paraId="5A733D83" w14:textId="55DFAFC8" w:rsidR="00BE7C20" w:rsidRPr="002D56F3" w:rsidRDefault="00BE7C20" w:rsidP="00B10C4A">
      <w:pPr>
        <w:pStyle w:val="Heading2"/>
        <w:shd w:val="clear" w:color="auto" w:fill="auto"/>
      </w:pPr>
      <w:r w:rsidRPr="002D56F3">
        <w:lastRenderedPageBreak/>
        <w:t>Technological barriers</w:t>
      </w:r>
    </w:p>
    <w:p w14:paraId="120BB4EB" w14:textId="77777777" w:rsidR="00BE7C20" w:rsidRPr="002D56F3" w:rsidRDefault="00BE7C20" w:rsidP="00B10C4A">
      <w:pPr>
        <w:shd w:val="clear" w:color="auto" w:fill="auto"/>
      </w:pPr>
      <w:r w:rsidRPr="002D56F3">
        <w:t>To find technological barriers ask if:</w:t>
      </w:r>
    </w:p>
    <w:p w14:paraId="6628452E" w14:textId="77777777" w:rsidR="00BE7C20" w:rsidRPr="002D56F3" w:rsidRDefault="00BE7C20" w:rsidP="00B10C4A">
      <w:pPr>
        <w:pStyle w:val="ListParagraph"/>
        <w:numPr>
          <w:ilvl w:val="0"/>
          <w:numId w:val="10"/>
        </w:numPr>
        <w:shd w:val="clear" w:color="auto" w:fill="auto"/>
      </w:pPr>
      <w:r w:rsidRPr="002D56F3">
        <w:t>phones, computers and other devices have a user-friendly design</w:t>
      </w:r>
    </w:p>
    <w:p w14:paraId="31F2DD30" w14:textId="77777777" w:rsidR="00BE7C20" w:rsidRPr="002D56F3" w:rsidRDefault="00BE7C20" w:rsidP="00B10C4A">
      <w:pPr>
        <w:pStyle w:val="ListParagraph"/>
        <w:numPr>
          <w:ilvl w:val="0"/>
          <w:numId w:val="10"/>
        </w:numPr>
        <w:shd w:val="clear" w:color="auto" w:fill="auto"/>
      </w:pPr>
      <w:r w:rsidRPr="002D56F3">
        <w:t>people can fix their mistakes easily</w:t>
      </w:r>
    </w:p>
    <w:p w14:paraId="4D1C4E5B" w14:textId="77777777" w:rsidR="00BE7C20" w:rsidRPr="002D56F3" w:rsidRDefault="00BE7C20" w:rsidP="00B10C4A">
      <w:pPr>
        <w:pStyle w:val="ListParagraph"/>
        <w:numPr>
          <w:ilvl w:val="0"/>
          <w:numId w:val="10"/>
        </w:numPr>
        <w:shd w:val="clear" w:color="auto" w:fill="auto"/>
      </w:pPr>
      <w:r w:rsidRPr="002D56F3">
        <w:t>web connectivity is strong enough</w:t>
      </w:r>
    </w:p>
    <w:p w14:paraId="51F6E3AE" w14:textId="77777777" w:rsidR="00BE7C20" w:rsidRPr="002D56F3" w:rsidRDefault="00BE7C20" w:rsidP="00B10C4A">
      <w:pPr>
        <w:pStyle w:val="ListParagraph"/>
        <w:numPr>
          <w:ilvl w:val="0"/>
          <w:numId w:val="10"/>
        </w:numPr>
        <w:shd w:val="clear" w:color="auto" w:fill="auto"/>
      </w:pPr>
      <w:r w:rsidRPr="002D56F3">
        <w:t>the technology needed to use the service is affordable and accessible</w:t>
      </w:r>
    </w:p>
    <w:p w14:paraId="07897643" w14:textId="77777777" w:rsidR="00BE7C20" w:rsidRPr="002D56F3" w:rsidRDefault="00BE7C20" w:rsidP="00B10C4A">
      <w:pPr>
        <w:pStyle w:val="ListParagraph"/>
        <w:numPr>
          <w:ilvl w:val="0"/>
          <w:numId w:val="10"/>
        </w:numPr>
        <w:shd w:val="clear" w:color="auto" w:fill="auto"/>
      </w:pPr>
      <w:r w:rsidRPr="002D56F3">
        <w:t>information about the service is available in several formats</w:t>
      </w:r>
    </w:p>
    <w:p w14:paraId="3F8A98F8" w14:textId="77777777" w:rsidR="00BE7C20" w:rsidRPr="002D56F3" w:rsidRDefault="00BE7C20" w:rsidP="00B10C4A">
      <w:pPr>
        <w:pStyle w:val="ListParagraph"/>
        <w:numPr>
          <w:ilvl w:val="0"/>
          <w:numId w:val="10"/>
        </w:numPr>
        <w:shd w:val="clear" w:color="auto" w:fill="auto"/>
      </w:pPr>
      <w:r w:rsidRPr="002D56F3">
        <w:t>users need to have technical skills to feel comfortable using the service</w:t>
      </w:r>
    </w:p>
    <w:p w14:paraId="431B3783" w14:textId="77777777" w:rsidR="00BE7C20" w:rsidRPr="002D56F3" w:rsidRDefault="00BE7C20" w:rsidP="00B10C4A">
      <w:pPr>
        <w:pStyle w:val="ListParagraph"/>
        <w:numPr>
          <w:ilvl w:val="0"/>
          <w:numId w:val="10"/>
        </w:numPr>
        <w:shd w:val="clear" w:color="auto" w:fill="auto"/>
      </w:pPr>
      <w:r w:rsidRPr="002D56F3">
        <w:t>the user must have full vision, hearing or be able to use a mouse to use and understand the website, service or content</w:t>
      </w:r>
    </w:p>
    <w:p w14:paraId="062D7921" w14:textId="77777777" w:rsidR="00BE7C20" w:rsidRPr="002D56F3" w:rsidRDefault="00BE7C20" w:rsidP="00B10C4A">
      <w:pPr>
        <w:pStyle w:val="Heading2"/>
        <w:shd w:val="clear" w:color="auto" w:fill="auto"/>
      </w:pPr>
      <w:r w:rsidRPr="002D56F3">
        <w:t>Policy and procedural barriers</w:t>
      </w:r>
    </w:p>
    <w:p w14:paraId="198CA6FB" w14:textId="77777777" w:rsidR="00BE7C20" w:rsidRPr="002D56F3" w:rsidRDefault="00BE7C20" w:rsidP="00B10C4A">
      <w:pPr>
        <w:shd w:val="clear" w:color="auto" w:fill="auto"/>
      </w:pPr>
      <w:r w:rsidRPr="002D56F3">
        <w:t>To find policy and procedural barriers ask if:</w:t>
      </w:r>
    </w:p>
    <w:p w14:paraId="43EEA34E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affected communities or groups were consulted </w:t>
      </w:r>
      <w:r w:rsidRPr="00B10C4A">
        <w:rPr>
          <w:b/>
          <w:bCs/>
        </w:rPr>
        <w:t>before</w:t>
      </w:r>
      <w:r w:rsidRPr="002D56F3">
        <w:t> the policies or procedures were developed</w:t>
      </w:r>
    </w:p>
    <w:p w14:paraId="34FBC30D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the service allows people with disabilities to get help from their support person</w:t>
      </w:r>
    </w:p>
    <w:p w14:paraId="397689C9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accommodation options are offered upfront</w:t>
      </w:r>
    </w:p>
    <w:p w14:paraId="1390C97A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people with disabilities have equitable access to information, services, goods</w:t>
      </w:r>
    </w:p>
    <w:p w14:paraId="348DFE8D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affected communities or groups were sufficiently consulted </w:t>
      </w:r>
      <w:r w:rsidRPr="00B10C4A">
        <w:rPr>
          <w:b/>
          <w:bCs/>
        </w:rPr>
        <w:t>before</w:t>
      </w:r>
      <w:r w:rsidRPr="002D56F3">
        <w:t> you began developing the policies</w:t>
      </w:r>
    </w:p>
    <w:p w14:paraId="466B27A9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the policies allow for guide dogs</w:t>
      </w:r>
    </w:p>
    <w:p w14:paraId="17DD6054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enough time is given to submit the information needed to access the service</w:t>
      </w:r>
    </w:p>
    <w:p w14:paraId="22C53981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there are processes in place to report, prevent, and address discrimination and harassment</w:t>
      </w:r>
    </w:p>
    <w:p w14:paraId="033BCC2E" w14:textId="77777777" w:rsidR="00BE7C20" w:rsidRPr="002D56F3" w:rsidRDefault="00BE7C20" w:rsidP="00B10C4A">
      <w:pPr>
        <w:pStyle w:val="ListParagraph"/>
        <w:numPr>
          <w:ilvl w:val="0"/>
          <w:numId w:val="11"/>
        </w:numPr>
        <w:shd w:val="clear" w:color="auto" w:fill="auto"/>
      </w:pPr>
      <w:r w:rsidRPr="002D56F3">
        <w:t>process for people to identify barriers to using the service</w:t>
      </w:r>
    </w:p>
    <w:p w14:paraId="2814AAAC" w14:textId="77777777" w:rsidR="00BE7C20" w:rsidRPr="002D56F3" w:rsidRDefault="00BE7C20" w:rsidP="00B10C4A">
      <w:pPr>
        <w:pStyle w:val="Heading2"/>
        <w:shd w:val="clear" w:color="auto" w:fill="auto"/>
      </w:pPr>
      <w:r w:rsidRPr="002D56F3">
        <w:lastRenderedPageBreak/>
        <w:t>Attitudinal barriers</w:t>
      </w:r>
    </w:p>
    <w:p w14:paraId="3BE45789" w14:textId="77777777" w:rsidR="00BE7C20" w:rsidRPr="002D56F3" w:rsidRDefault="00BE7C20" w:rsidP="00B10C4A">
      <w:pPr>
        <w:shd w:val="clear" w:color="auto" w:fill="auto"/>
      </w:pPr>
      <w:r w:rsidRPr="002D56F3">
        <w:t>To find potential attitudinal barriers, ask if:</w:t>
      </w:r>
    </w:p>
    <w:p w14:paraId="41FF0573" w14:textId="4DDD5229" w:rsidR="00BE7C20" w:rsidRPr="002D56F3" w:rsidRDefault="00BE7C20" w:rsidP="00B10C4A">
      <w:pPr>
        <w:pStyle w:val="ListParagraph"/>
        <w:numPr>
          <w:ilvl w:val="0"/>
          <w:numId w:val="12"/>
        </w:numPr>
        <w:shd w:val="clear" w:color="auto" w:fill="auto"/>
      </w:pPr>
      <w:r w:rsidRPr="002D56F3">
        <w:t>your service only works for </w:t>
      </w:r>
      <w:hyperlink r:id="rId7" w:anchor="discovery" w:history="1">
        <w:r w:rsidRPr="000B6902">
          <w:rPr>
            <w:color w:val="4472C4" w:themeColor="accent1"/>
            <w:u w:val="single"/>
          </w:rPr>
          <w:t>users with specific abilities</w:t>
        </w:r>
      </w:hyperlink>
      <w:r w:rsidRPr="002D56F3">
        <w:t> </w:t>
      </w:r>
      <w:r w:rsidR="00B10C4A">
        <w:br/>
      </w:r>
      <w:r w:rsidRPr="002D56F3">
        <w:t>(for example, hearing, sight or speech)</w:t>
      </w:r>
    </w:p>
    <w:p w14:paraId="6F80EF15" w14:textId="3EA5D1BA" w:rsidR="00BE7C20" w:rsidRPr="002D56F3" w:rsidRDefault="00BE7C20" w:rsidP="00B10C4A">
      <w:pPr>
        <w:pStyle w:val="ListParagraph"/>
        <w:numPr>
          <w:ilvl w:val="0"/>
          <w:numId w:val="12"/>
        </w:numPr>
        <w:shd w:val="clear" w:color="auto" w:fill="auto"/>
      </w:pPr>
      <w:r w:rsidRPr="002D56F3">
        <w:t xml:space="preserve">there </w:t>
      </w:r>
      <w:bookmarkStart w:id="0" w:name="_GoBack"/>
      <w:bookmarkEnd w:id="0"/>
      <w:r w:rsidRPr="002D56F3">
        <w:t>are incidents of </w:t>
      </w:r>
      <w:hyperlink r:id="rId8" w:history="1">
        <w:r w:rsidRPr="000B6902">
          <w:rPr>
            <w:color w:val="4472C4" w:themeColor="accent1"/>
            <w:u w:val="single"/>
          </w:rPr>
          <w:t>discrimination based on ableism</w:t>
        </w:r>
      </w:hyperlink>
      <w:r w:rsidRPr="002D56F3">
        <w:t xml:space="preserve">, </w:t>
      </w:r>
      <w:r w:rsidR="00B10C4A">
        <w:br/>
      </w:r>
      <w:r w:rsidRPr="002D56F3">
        <w:t>age, race, gender or other human rights code grounds</w:t>
      </w:r>
    </w:p>
    <w:p w14:paraId="4060DE75" w14:textId="77777777" w:rsidR="00BE7C20" w:rsidRPr="002D56F3" w:rsidRDefault="00BE7C20" w:rsidP="00B10C4A">
      <w:pPr>
        <w:pStyle w:val="ListParagraph"/>
        <w:numPr>
          <w:ilvl w:val="0"/>
          <w:numId w:val="12"/>
        </w:numPr>
        <w:shd w:val="clear" w:color="auto" w:fill="auto"/>
      </w:pPr>
      <w:r w:rsidRPr="002D56F3">
        <w:t>parts of your service delivery process – online, in-person or phone – exclude people with disabilities</w:t>
      </w:r>
    </w:p>
    <w:p w14:paraId="5F4302A6" w14:textId="77777777" w:rsidR="00BE7C20" w:rsidRPr="002D56F3" w:rsidRDefault="00BE7C20" w:rsidP="00B10C4A">
      <w:pPr>
        <w:pStyle w:val="ListParagraph"/>
        <w:numPr>
          <w:ilvl w:val="0"/>
          <w:numId w:val="12"/>
        </w:numPr>
        <w:shd w:val="clear" w:color="auto" w:fill="auto"/>
      </w:pPr>
      <w:r w:rsidRPr="002D56F3">
        <w:t>your service follows </w:t>
      </w:r>
      <w:hyperlink r:id="rId9" w:history="1">
        <w:r w:rsidRPr="000B6902">
          <w:rPr>
            <w:color w:val="4472C4" w:themeColor="accent1"/>
            <w:u w:val="single"/>
          </w:rPr>
          <w:t>inclusive design practices</w:t>
        </w:r>
      </w:hyperlink>
    </w:p>
    <w:p w14:paraId="28C97379" w14:textId="77777777" w:rsidR="00BE7C20" w:rsidRPr="002D56F3" w:rsidRDefault="00BE7C20" w:rsidP="00B10C4A">
      <w:pPr>
        <w:pStyle w:val="Heading2"/>
        <w:shd w:val="clear" w:color="auto" w:fill="auto"/>
      </w:pPr>
      <w:r w:rsidRPr="002D56F3">
        <w:t>Physical barriers</w:t>
      </w:r>
    </w:p>
    <w:p w14:paraId="535FA247" w14:textId="7A6B9672" w:rsidR="00BE7C20" w:rsidRPr="002D56F3" w:rsidRDefault="00BE7C20" w:rsidP="00B10C4A">
      <w:pPr>
        <w:shd w:val="clear" w:color="auto" w:fill="auto"/>
      </w:pPr>
      <w:r w:rsidRPr="002D56F3">
        <w:t xml:space="preserve">Aspects of your digital service may still be delivered in person </w:t>
      </w:r>
      <w:r w:rsidR="00B10C4A">
        <w:br/>
      </w:r>
      <w:r w:rsidRPr="002D56F3">
        <w:t>(for example, at a kiosk or in a building). To identify physical barriers, find out if:</w:t>
      </w:r>
    </w:p>
    <w:p w14:paraId="16E155E9" w14:textId="77777777" w:rsidR="00BE7C20" w:rsidRPr="002D56F3" w:rsidRDefault="00BE7C20" w:rsidP="00B10C4A">
      <w:pPr>
        <w:pStyle w:val="ListParagraph"/>
        <w:numPr>
          <w:ilvl w:val="0"/>
          <w:numId w:val="13"/>
        </w:numPr>
        <w:shd w:val="clear" w:color="auto" w:fill="auto"/>
      </w:pPr>
      <w:r w:rsidRPr="002D56F3">
        <w:t>there are elevators, ramps and washrooms for people with mobility needs</w:t>
      </w:r>
    </w:p>
    <w:p w14:paraId="5DA9967F" w14:textId="77777777" w:rsidR="00BE7C20" w:rsidRPr="002D56F3" w:rsidRDefault="00BE7C20" w:rsidP="00B10C4A">
      <w:pPr>
        <w:pStyle w:val="ListParagraph"/>
        <w:numPr>
          <w:ilvl w:val="0"/>
          <w:numId w:val="13"/>
        </w:numPr>
        <w:shd w:val="clear" w:color="auto" w:fill="auto"/>
      </w:pPr>
      <w:r w:rsidRPr="002D56F3">
        <w:t>hallways and ramps are wide enough to allow people to move freely</w:t>
      </w:r>
    </w:p>
    <w:p w14:paraId="4DFF7195" w14:textId="77777777" w:rsidR="00BE7C20" w:rsidRPr="002D56F3" w:rsidRDefault="00BE7C20" w:rsidP="00B10C4A">
      <w:pPr>
        <w:pStyle w:val="ListParagraph"/>
        <w:numPr>
          <w:ilvl w:val="0"/>
          <w:numId w:val="13"/>
        </w:numPr>
        <w:shd w:val="clear" w:color="auto" w:fill="auto"/>
      </w:pPr>
      <w:r w:rsidRPr="002D56F3">
        <w:t>the doors have an automatic opener</w:t>
      </w:r>
    </w:p>
    <w:p w14:paraId="5BB54D19" w14:textId="77777777" w:rsidR="00BE7C20" w:rsidRPr="002D56F3" w:rsidRDefault="00BE7C20" w:rsidP="00B10C4A">
      <w:pPr>
        <w:pStyle w:val="ListParagraph"/>
        <w:numPr>
          <w:ilvl w:val="0"/>
          <w:numId w:val="13"/>
        </w:numPr>
        <w:shd w:val="clear" w:color="auto" w:fill="auto"/>
      </w:pPr>
      <w:r w:rsidRPr="002D56F3">
        <w:t>pathways and entrances are cleared of snow and ice</w:t>
      </w:r>
    </w:p>
    <w:p w14:paraId="555BAE78" w14:textId="77777777" w:rsidR="00BE7C20" w:rsidRPr="002D56F3" w:rsidRDefault="00BE7C20" w:rsidP="00B10C4A">
      <w:pPr>
        <w:pStyle w:val="ListParagraph"/>
        <w:numPr>
          <w:ilvl w:val="0"/>
          <w:numId w:val="13"/>
        </w:numPr>
        <w:shd w:val="clear" w:color="auto" w:fill="auto"/>
      </w:pPr>
      <w:r w:rsidRPr="002D56F3">
        <w:t>locations are accessible by public transit</w:t>
      </w:r>
    </w:p>
    <w:p w14:paraId="3429E95D" w14:textId="14CF559F" w:rsidR="00E61B77" w:rsidRPr="002D56F3" w:rsidRDefault="00BE7C20" w:rsidP="00B10C4A">
      <w:pPr>
        <w:pStyle w:val="ListParagraph"/>
        <w:numPr>
          <w:ilvl w:val="0"/>
          <w:numId w:val="13"/>
        </w:numPr>
        <w:shd w:val="clear" w:color="auto" w:fill="auto"/>
      </w:pPr>
      <w:r w:rsidRPr="002D56F3">
        <w:t>the lighting in the space is bright or dim enough</w:t>
      </w:r>
    </w:p>
    <w:sectPr w:rsidR="00E61B77" w:rsidRPr="002D56F3" w:rsidSect="00032F2C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8E7C7" w14:textId="77777777" w:rsidR="00CF0CDD" w:rsidRDefault="00CF0CDD" w:rsidP="002D56F3">
      <w:pPr>
        <w:spacing w:before="0" w:after="0"/>
      </w:pPr>
      <w:r>
        <w:separator/>
      </w:r>
    </w:p>
  </w:endnote>
  <w:endnote w:type="continuationSeparator" w:id="0">
    <w:p w14:paraId="5B0FE527" w14:textId="77777777" w:rsidR="00CF0CDD" w:rsidRDefault="00CF0CDD" w:rsidP="002D56F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9D202" w14:textId="77777777" w:rsidR="00CF0CDD" w:rsidRDefault="00CF0CDD" w:rsidP="002D56F3">
      <w:pPr>
        <w:spacing w:before="0" w:after="0"/>
      </w:pPr>
      <w:r>
        <w:separator/>
      </w:r>
    </w:p>
  </w:footnote>
  <w:footnote w:type="continuationSeparator" w:id="0">
    <w:p w14:paraId="7D55044E" w14:textId="77777777" w:rsidR="00CF0CDD" w:rsidRDefault="00CF0CDD" w:rsidP="002D56F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3F24E" w14:textId="4D740AFF" w:rsidR="00B21EB4" w:rsidRDefault="00B21EB4" w:rsidP="00C73502">
    <w:pPr>
      <w:pStyle w:val="Header"/>
      <w:shd w:val="clear" w:color="auto" w:fill="auto"/>
    </w:pPr>
    <w:r w:rsidRPr="000F7F0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7D6BA57" wp14:editId="3BDF19B2">
          <wp:simplePos x="0" y="0"/>
          <wp:positionH relativeFrom="page">
            <wp:posOffset>2711302</wp:posOffset>
          </wp:positionH>
          <wp:positionV relativeFrom="paragraph">
            <wp:posOffset>-436570</wp:posOffset>
          </wp:positionV>
          <wp:extent cx="5060425" cy="2724150"/>
          <wp:effectExtent l="0" t="0" r="6985" b="0"/>
          <wp:wrapNone/>
          <wp:docPr id="29" name="Shape 7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Shape 70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857" b="65625"/>
                  <a:stretch/>
                </pic:blipFill>
                <pic:spPr>
                  <a:xfrm>
                    <a:off x="0" y="0"/>
                    <a:ext cx="5060425" cy="272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1B07"/>
    <w:multiLevelType w:val="hybridMultilevel"/>
    <w:tmpl w:val="F342D908"/>
    <w:lvl w:ilvl="0" w:tplc="D4D8EB3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3BFB"/>
    <w:multiLevelType w:val="multilevel"/>
    <w:tmpl w:val="8528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B6A32"/>
    <w:multiLevelType w:val="multilevel"/>
    <w:tmpl w:val="AFBC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833C8"/>
    <w:multiLevelType w:val="hybridMultilevel"/>
    <w:tmpl w:val="9F422176"/>
    <w:lvl w:ilvl="0" w:tplc="D4D8EB3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B573A9"/>
    <w:multiLevelType w:val="hybridMultilevel"/>
    <w:tmpl w:val="B7329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8531C"/>
    <w:multiLevelType w:val="multilevel"/>
    <w:tmpl w:val="4414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C0FE9"/>
    <w:multiLevelType w:val="hybridMultilevel"/>
    <w:tmpl w:val="2874676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6B6D53"/>
    <w:multiLevelType w:val="hybridMultilevel"/>
    <w:tmpl w:val="8C4000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4453"/>
    <w:multiLevelType w:val="hybridMultilevel"/>
    <w:tmpl w:val="B3764CCA"/>
    <w:lvl w:ilvl="0" w:tplc="D4D8EB3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796621"/>
    <w:multiLevelType w:val="hybridMultilevel"/>
    <w:tmpl w:val="AC582C6A"/>
    <w:lvl w:ilvl="0" w:tplc="D4D8EB3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7B13EC"/>
    <w:multiLevelType w:val="multilevel"/>
    <w:tmpl w:val="114C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01895"/>
    <w:multiLevelType w:val="hybridMultilevel"/>
    <w:tmpl w:val="86060622"/>
    <w:lvl w:ilvl="0" w:tplc="D4D8EB3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6C53D3"/>
    <w:multiLevelType w:val="multilevel"/>
    <w:tmpl w:val="0DD6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0"/>
  </w:num>
  <w:num w:numId="5">
    <w:abstractNumId w:val="1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20"/>
    <w:rsid w:val="00032F2C"/>
    <w:rsid w:val="000B6902"/>
    <w:rsid w:val="002D56F3"/>
    <w:rsid w:val="003E4323"/>
    <w:rsid w:val="0078359C"/>
    <w:rsid w:val="00A66C06"/>
    <w:rsid w:val="00B10C4A"/>
    <w:rsid w:val="00B21EB4"/>
    <w:rsid w:val="00BE7C20"/>
    <w:rsid w:val="00C73502"/>
    <w:rsid w:val="00CF0CDD"/>
    <w:rsid w:val="00E6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D37F8"/>
  <w15:chartTrackingRefBased/>
  <w15:docId w15:val="{4CB2F414-D28A-E94E-95B2-1A6779E1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56F3"/>
    <w:pPr>
      <w:shd w:val="clear" w:color="auto" w:fill="FFFFFF"/>
      <w:spacing w:before="100" w:beforeAutospacing="1" w:after="100" w:afterAutospacing="1"/>
    </w:pPr>
    <w:rPr>
      <w:rFonts w:ascii="Open Sans" w:eastAsia="Times New Roman" w:hAnsi="Open Sans" w:cs="Open Sans"/>
      <w:color w:val="4D4D4D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6F3"/>
    <w:pPr>
      <w:outlineLvl w:val="0"/>
    </w:pPr>
    <w:rPr>
      <w:rFonts w:ascii="Raleway" w:hAnsi="Raleway" w:cs="Times New Roman"/>
      <w:b/>
      <w:bCs/>
      <w:color w:val="0F413C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6F3"/>
    <w:pPr>
      <w:outlineLvl w:val="1"/>
    </w:pPr>
    <w:rPr>
      <w:rFonts w:ascii="Raleway" w:hAnsi="Raleway" w:cs="Times New Roman"/>
      <w:b/>
      <w:bCs/>
      <w:color w:val="118C7B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7C20"/>
    <w:pPr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7C20"/>
    <w:pPr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C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7C20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E7C20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E7C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7C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7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6F3"/>
    <w:rPr>
      <w:rFonts w:ascii="Raleway" w:eastAsia="Times New Roman" w:hAnsi="Raleway" w:cs="Times New Roman"/>
      <w:b/>
      <w:bCs/>
      <w:color w:val="0F413C"/>
      <w:sz w:val="60"/>
      <w:szCs w:val="60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2D56F3"/>
    <w:rPr>
      <w:rFonts w:ascii="Raleway" w:eastAsia="Times New Roman" w:hAnsi="Raleway" w:cs="Times New Roman"/>
      <w:b/>
      <w:bCs/>
      <w:color w:val="118C7B"/>
      <w:sz w:val="36"/>
      <w:szCs w:val="36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2D56F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D56F3"/>
    <w:rPr>
      <w:rFonts w:ascii="Open Sans" w:eastAsia="Times New Roman" w:hAnsi="Open Sans" w:cs="Open Sans"/>
      <w:color w:val="4D4D4D"/>
      <w:sz w:val="28"/>
      <w:szCs w:val="28"/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rsid w:val="002D56F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D56F3"/>
    <w:rPr>
      <w:rFonts w:ascii="Open Sans" w:eastAsia="Times New Roman" w:hAnsi="Open Sans" w:cs="Open Sans"/>
      <w:color w:val="4D4D4D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hrc.on.ca/en/policy-ableism-and-discrimination-based-disability/11-preventing-and-responding-discrimin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tario.ca/page/making-government-services-accessib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ontario.ca/inclusivedesig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Kalcevich</dc:creator>
  <cp:keywords/>
  <dc:description/>
  <cp:lastModifiedBy>Kalcevich, Kate (MSAA)</cp:lastModifiedBy>
  <cp:revision>4</cp:revision>
  <cp:lastPrinted>2019-05-21T16:41:00Z</cp:lastPrinted>
  <dcterms:created xsi:type="dcterms:W3CDTF">2019-05-16T13:17:00Z</dcterms:created>
  <dcterms:modified xsi:type="dcterms:W3CDTF">2019-05-21T16:42:00Z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Kate.Kalcevich@ontario.ca</vt:lpwstr>
  </property>
  <property fmtid="{D5CDD505-2E9C-101B-9397-08002B2CF9AE}" pid="5" name="MSIP_Label_034a106e-6316-442c-ad35-738afd673d2b_SetDate">
    <vt:lpwstr>2019-05-21T16:39:52.1860851Z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Extended_MSFT_Method">
    <vt:lpwstr>Automatic</vt:lpwstr>
  </property>
  <property fmtid="{D5CDD505-2E9C-101B-9397-08002B2CF9AE}" pid="9" name="Sensitivity">
    <vt:lpwstr>OPS - Unclassified Information</vt:lpwstr>
  </property>
</Properties>
</file>