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B3C3" w14:textId="77777777" w:rsidR="00CE5E1C" w:rsidRPr="00423341" w:rsidRDefault="00CE5E1C" w:rsidP="00423341">
      <w:pPr>
        <w:pStyle w:val="Heading1"/>
        <w:shd w:val="clear" w:color="auto" w:fill="auto"/>
        <w:rPr>
          <w:sz w:val="44"/>
          <w:szCs w:val="44"/>
          <w:lang w:val="fr-CA"/>
        </w:rPr>
      </w:pPr>
      <w:r w:rsidRPr="00423341">
        <w:rPr>
          <w:sz w:val="44"/>
          <w:szCs w:val="44"/>
          <w:lang w:val="fr-CA"/>
        </w:rPr>
        <w:t>Questions à poser pour trouver les obstacles</w:t>
      </w:r>
    </w:p>
    <w:p w14:paraId="170F6009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t>Obstacles à l’information et à la communication</w:t>
      </w:r>
    </w:p>
    <w:p w14:paraId="1D9BC36B" w14:textId="2A2D7481" w:rsidR="00423341" w:rsidRPr="00423341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>Pour trouver les obstacles à l’information et à la communication, demandez si :</w:t>
      </w:r>
    </w:p>
    <w:p w14:paraId="7BA4A2A1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présentation de votre service en ligne est claire pour les personnes de toutes capacités</w:t>
      </w:r>
    </w:p>
    <w:p w14:paraId="75FFF49E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taille de la police sur les écrans des ordinateurs de bureau, des téléphones mobiles et des tablettes est suffisamment grande</w:t>
      </w:r>
    </w:p>
    <w:p w14:paraId="77585498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contraste entre l’avant-plan et l’arrière-plan est assez fort</w:t>
      </w:r>
    </w:p>
    <w:p w14:paraId="12B24D86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formulaires offrent des choix de genre autres que masculin et féminin</w:t>
      </w:r>
    </w:p>
    <w:p w14:paraId="5D54BC5C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sur le genre de la personne est vraiment nécessaire pour que cette personne puisse utiliser le service</w:t>
      </w:r>
    </w:p>
    <w:p w14:paraId="16CAF57C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principes de conception du contenu ont été suivis dans le but de rendre l’information facile à trouver, à lire et à comprendre</w:t>
      </w:r>
    </w:p>
    <w:p w14:paraId="03384448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est bien structurée en vue de la technologie d’assistance au moyen de titres, d’en-têtes, de listes et de paragraphes</w:t>
      </w:r>
    </w:p>
    <w:p w14:paraId="20A03468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contenu de votre page Web ou de votre application est rédigé en langage clair et simple</w:t>
      </w:r>
    </w:p>
    <w:p w14:paraId="3D0740BE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matériel de communication, comme les fiches de renseignements, les dépliants, les courriels ou les publicités, répond aux besoins linguistiques et culturels de l’utilisateur</w:t>
      </w:r>
    </w:p>
    <w:p w14:paraId="5A4B8406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texte de vos documents imprimés utilise une police de caractères sans empattement et est assez gros pour être lu</w:t>
      </w:r>
    </w:p>
    <w:p w14:paraId="1E14D391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existe d’autres façons d’obtenir le service ou d’accomplir la tâche, par exemple par téléphone, en personne ou en ligne</w:t>
      </w:r>
    </w:p>
    <w:p w14:paraId="20051F0B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une assistance téléphonique accessible suffisante pour les personnes qui ont besoin d’appeler pour obtenir de l’aide</w:t>
      </w:r>
    </w:p>
    <w:p w14:paraId="7F84B9C4" w14:textId="77777777" w:rsidR="00423341" w:rsidRPr="00423341" w:rsidRDefault="00423341" w:rsidP="00423341">
      <w:pPr>
        <w:pStyle w:val="ListParagraph"/>
        <w:numPr>
          <w:ilvl w:val="0"/>
          <w:numId w:val="14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un processus en place pour donner des renseignements à quelqu’un sur un autre média</w:t>
      </w:r>
    </w:p>
    <w:p w14:paraId="21D78D11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lastRenderedPageBreak/>
        <w:t>Obstacles technologiques</w:t>
      </w:r>
    </w:p>
    <w:p w14:paraId="1B4F311E" w14:textId="4A0A608E" w:rsidR="00423341" w:rsidRPr="00423341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>Pour trouver les obstacles technologiques, demandez si :</w:t>
      </w:r>
    </w:p>
    <w:p w14:paraId="481C17A7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téléphones, ordinateurs et autres appareils sont conçus pour être utilisés facilement</w:t>
      </w:r>
    </w:p>
    <w:p w14:paraId="78C42DA4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est facile de corriger ses erreurs</w:t>
      </w:r>
    </w:p>
    <w:p w14:paraId="1917F3D4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connectivité Internet est suffisamment forte</w:t>
      </w:r>
    </w:p>
    <w:p w14:paraId="46F1BA3F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la</w:t>
      </w:r>
      <w:proofErr w:type="gramEnd"/>
      <w:r w:rsidRPr="00423341">
        <w:rPr>
          <w:lang w:val="fr-CA"/>
        </w:rPr>
        <w:t xml:space="preserve"> technologie nécessaire pour utiliser le service est abordable et accessible</w:t>
      </w:r>
    </w:p>
    <w:p w14:paraId="4282DF80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l’information</w:t>
      </w:r>
      <w:proofErr w:type="gramEnd"/>
      <w:r w:rsidRPr="00423341">
        <w:rPr>
          <w:lang w:val="fr-CA"/>
        </w:rPr>
        <w:t xml:space="preserve"> sur le service est disponible dans plusieurs formats</w:t>
      </w:r>
    </w:p>
    <w:p w14:paraId="31C4F875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utilisateurs doivent avoir des compétences techniques pour utiliser le service avec aisance</w:t>
      </w:r>
    </w:p>
    <w:p w14:paraId="6C7C7ADD" w14:textId="77777777" w:rsidR="00423341" w:rsidRPr="00423341" w:rsidRDefault="00423341" w:rsidP="00423341">
      <w:pPr>
        <w:pStyle w:val="ListParagraph"/>
        <w:numPr>
          <w:ilvl w:val="0"/>
          <w:numId w:val="15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l’utilisateur</w:t>
      </w:r>
      <w:proofErr w:type="gramEnd"/>
      <w:r w:rsidRPr="00423341">
        <w:rPr>
          <w:lang w:val="fr-CA"/>
        </w:rPr>
        <w:t xml:space="preserve"> doit avoir une bonne vision ou audition, ou être capable de se servir d’une souris pour parcourir et comprendre le site Web, le service ou le contenu</w:t>
      </w:r>
    </w:p>
    <w:p w14:paraId="65BFBF4E" w14:textId="77777777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t>Obstacles physiques</w:t>
      </w:r>
    </w:p>
    <w:p w14:paraId="081AF6C5" w14:textId="77777777" w:rsidR="00423341" w:rsidRPr="00423341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>Certains aspects de votre service numérique peuvent encore être fournis en personne (par exemple, à un kiosque ou dans un bâtiment). Pour repérer les obstacles physiques, vérifiez ce qui suit :</w:t>
      </w:r>
    </w:p>
    <w:p w14:paraId="0D799878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des ascenseurs, des rampes d’accès et des toilettes pour les personnes à mobilité réduite</w:t>
      </w:r>
    </w:p>
    <w:p w14:paraId="0CDAF037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corridors et les rampes sont suffisamment larges pour permettre aux gens de se déplacer librement</w:t>
      </w:r>
    </w:p>
    <w:p w14:paraId="463E1F6F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portes ont un dispositif d’ouverture automatique</w:t>
      </w:r>
    </w:p>
    <w:p w14:paraId="5848BAAB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allées et les entrées sont déneigées et déglacées</w:t>
      </w:r>
    </w:p>
    <w:p w14:paraId="792E07B0" w14:textId="77777777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on</w:t>
      </w:r>
      <w:proofErr w:type="gramEnd"/>
      <w:r w:rsidRPr="00423341">
        <w:rPr>
          <w:lang w:val="fr-CA"/>
        </w:rPr>
        <w:t xml:space="preserve"> peut s’y rendre par transport en commun</w:t>
      </w:r>
    </w:p>
    <w:p w14:paraId="77648142" w14:textId="79F1AC3E" w:rsidR="00423341" w:rsidRPr="00423341" w:rsidRDefault="00423341" w:rsidP="00423341">
      <w:pPr>
        <w:pStyle w:val="ListParagraph"/>
        <w:numPr>
          <w:ilvl w:val="0"/>
          <w:numId w:val="18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l’éclairage</w:t>
      </w:r>
      <w:proofErr w:type="gramEnd"/>
      <w:r w:rsidRPr="00423341">
        <w:rPr>
          <w:lang w:val="fr-CA"/>
        </w:rPr>
        <w:t xml:space="preserve"> dans l’espace est suffisamment fort ou faible</w:t>
      </w:r>
    </w:p>
    <w:p w14:paraId="3CFA21C6" w14:textId="77777777" w:rsidR="00423341" w:rsidRDefault="00423341">
      <w:pPr>
        <w:shd w:val="clear" w:color="auto" w:fill="auto"/>
        <w:spacing w:before="0" w:beforeAutospacing="0" w:after="0" w:afterAutospacing="0"/>
        <w:rPr>
          <w:rFonts w:ascii="Raleway" w:hAnsi="Raleway" w:cs="Times New Roman"/>
          <w:b/>
          <w:bCs/>
          <w:color w:val="118C7B"/>
          <w:sz w:val="36"/>
          <w:szCs w:val="36"/>
          <w:lang w:val="fr-CA"/>
        </w:rPr>
      </w:pPr>
      <w:r>
        <w:rPr>
          <w:lang w:val="fr-CA"/>
        </w:rPr>
        <w:br w:type="page"/>
      </w:r>
    </w:p>
    <w:p w14:paraId="0556AAA1" w14:textId="4769B2B8" w:rsidR="00423341" w:rsidRPr="00423341" w:rsidRDefault="00423341" w:rsidP="00423341">
      <w:pPr>
        <w:pStyle w:val="Heading2"/>
        <w:shd w:val="clear" w:color="auto" w:fill="auto"/>
        <w:rPr>
          <w:lang w:val="fr-CA"/>
        </w:rPr>
      </w:pPr>
      <w:r w:rsidRPr="00423341">
        <w:rPr>
          <w:lang w:val="fr-CA"/>
        </w:rPr>
        <w:lastRenderedPageBreak/>
        <w:t>Obstacles comportementaux</w:t>
      </w:r>
    </w:p>
    <w:p w14:paraId="68DC8926" w14:textId="77777777" w:rsidR="00423341" w:rsidRPr="00423341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>Pour trouver les obstacles comportementaux, demandez si :</w:t>
      </w:r>
    </w:p>
    <w:p w14:paraId="6F866C84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votre</w:t>
      </w:r>
      <w:proofErr w:type="gramEnd"/>
      <w:r w:rsidRPr="00423341">
        <w:rPr>
          <w:lang w:val="fr-CA"/>
        </w:rPr>
        <w:t xml:space="preserve"> service ne fonctionne que pour les utilisateurs ayant des capacités particulières (par exemple, l’ouïe, la vue ou la parole)</w:t>
      </w:r>
    </w:p>
    <w:p w14:paraId="12FDEB82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des cas de discrimination fondée sur le capacitisme, l’âge, la race, le sexe ou d’autres motifs prévus par le Code des droits de la personne</w:t>
      </w:r>
    </w:p>
    <w:p w14:paraId="32408EE7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certaines</w:t>
      </w:r>
      <w:proofErr w:type="gramEnd"/>
      <w:r w:rsidRPr="00423341">
        <w:rPr>
          <w:lang w:val="fr-CA"/>
        </w:rPr>
        <w:t xml:space="preserve"> parties de votre processus de prestation de services, en </w:t>
      </w:r>
      <w:bookmarkStart w:id="0" w:name="_GoBack"/>
      <w:bookmarkEnd w:id="0"/>
      <w:r w:rsidRPr="00423341">
        <w:rPr>
          <w:lang w:val="fr-CA"/>
        </w:rPr>
        <w:t>ligne, en personne ou par téléphone, excluent les personnes handicapées</w:t>
      </w:r>
    </w:p>
    <w:p w14:paraId="71B701FE" w14:textId="77777777" w:rsidR="00423341" w:rsidRPr="00423341" w:rsidRDefault="00423341" w:rsidP="00423341">
      <w:pPr>
        <w:pStyle w:val="ListParagraph"/>
        <w:numPr>
          <w:ilvl w:val="0"/>
          <w:numId w:val="17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votre</w:t>
      </w:r>
      <w:proofErr w:type="gramEnd"/>
      <w:r w:rsidRPr="00423341">
        <w:rPr>
          <w:lang w:val="fr-CA"/>
        </w:rPr>
        <w:t xml:space="preserve"> service respecte les pratiques de conception inclusive</w:t>
      </w:r>
    </w:p>
    <w:p w14:paraId="7E8272BB" w14:textId="7135C717" w:rsidR="00423341" w:rsidRPr="00423341" w:rsidRDefault="00423341" w:rsidP="00423341">
      <w:pPr>
        <w:pStyle w:val="Heading2"/>
        <w:rPr>
          <w:lang w:val="fr-CA"/>
        </w:rPr>
      </w:pPr>
      <w:r w:rsidRPr="00423341">
        <w:rPr>
          <w:lang w:val="fr-CA"/>
        </w:rPr>
        <w:t>Obstacles en matière de politiques et de procédures</w:t>
      </w:r>
    </w:p>
    <w:p w14:paraId="41D170AF" w14:textId="52850305" w:rsidR="00423341" w:rsidRPr="00423341" w:rsidRDefault="00423341" w:rsidP="00423341">
      <w:pPr>
        <w:shd w:val="clear" w:color="auto" w:fill="auto"/>
        <w:rPr>
          <w:lang w:val="fr-CA"/>
        </w:rPr>
      </w:pPr>
      <w:r w:rsidRPr="00423341">
        <w:rPr>
          <w:lang w:val="fr-CA"/>
        </w:rPr>
        <w:t>Pour trouver les obstacles en matière de politiques et de procédures, demandez si :</w:t>
      </w:r>
    </w:p>
    <w:p w14:paraId="1ADCC5F7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collectivités ou groupes touchés ont été consultés avant l’élaboration des politiques ou des procédures</w:t>
      </w:r>
    </w:p>
    <w:p w14:paraId="22A346C9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</w:t>
      </w:r>
      <w:proofErr w:type="gramEnd"/>
      <w:r w:rsidRPr="00423341">
        <w:rPr>
          <w:lang w:val="fr-CA"/>
        </w:rPr>
        <w:t xml:space="preserve"> service permet aux personnes handicapées d’obtenir de l’aide de leur personne de soutien</w:t>
      </w:r>
    </w:p>
    <w:p w14:paraId="6CDF4D61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un</w:t>
      </w:r>
      <w:proofErr w:type="gramEnd"/>
      <w:r w:rsidRPr="00423341">
        <w:rPr>
          <w:lang w:val="fr-CA"/>
        </w:rPr>
        <w:t xml:space="preserve"> accommodement est offert au départ</w:t>
      </w:r>
    </w:p>
    <w:p w14:paraId="4DA88390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personnes handicapées ont un accès équitable aux renseignements, aux services et aux biens</w:t>
      </w:r>
    </w:p>
    <w:p w14:paraId="54CC18EF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collectivités ou les groupes touchés ont été suffisamment consultés avant de commencer à élaborer les politiques</w:t>
      </w:r>
    </w:p>
    <w:p w14:paraId="34E558B3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les</w:t>
      </w:r>
      <w:proofErr w:type="gramEnd"/>
      <w:r w:rsidRPr="00423341">
        <w:rPr>
          <w:lang w:val="fr-CA"/>
        </w:rPr>
        <w:t xml:space="preserve"> politiques autorisent les chiens-guides</w:t>
      </w:r>
    </w:p>
    <w:p w14:paraId="5D8896A1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suffisamment</w:t>
      </w:r>
      <w:proofErr w:type="gramEnd"/>
      <w:r w:rsidRPr="00423341">
        <w:rPr>
          <w:lang w:val="fr-CA"/>
        </w:rPr>
        <w:t xml:space="preserve"> de temps est accordé pour envoyer les renseignements nécessaires pour accéder au service</w:t>
      </w:r>
    </w:p>
    <w:p w14:paraId="5C0782E4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des</w:t>
      </w:r>
      <w:proofErr w:type="gramEnd"/>
      <w:r w:rsidRPr="00423341">
        <w:rPr>
          <w:lang w:val="fr-CA"/>
        </w:rPr>
        <w:t xml:space="preserve"> processus sont en place pour signaler, prévenir et combattre la discrimination et le harcèlement</w:t>
      </w:r>
    </w:p>
    <w:p w14:paraId="27354DF4" w14:textId="77777777" w:rsidR="00423341" w:rsidRPr="00423341" w:rsidRDefault="00423341" w:rsidP="00423341">
      <w:pPr>
        <w:pStyle w:val="ListParagraph"/>
        <w:numPr>
          <w:ilvl w:val="0"/>
          <w:numId w:val="16"/>
        </w:numPr>
        <w:shd w:val="clear" w:color="auto" w:fill="auto"/>
        <w:rPr>
          <w:lang w:val="fr-CA"/>
        </w:rPr>
      </w:pPr>
      <w:proofErr w:type="gramStart"/>
      <w:r w:rsidRPr="00423341">
        <w:rPr>
          <w:lang w:val="fr-CA"/>
        </w:rPr>
        <w:t>il</w:t>
      </w:r>
      <w:proofErr w:type="gramEnd"/>
      <w:r w:rsidRPr="00423341">
        <w:rPr>
          <w:lang w:val="fr-CA"/>
        </w:rPr>
        <w:t xml:space="preserve"> y a un processus permettant aux gens de repérer les obstacles qui empêchent d’utiliser le service</w:t>
      </w:r>
    </w:p>
    <w:sectPr w:rsidR="00423341" w:rsidRPr="00423341" w:rsidSect="00032F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682DB" w14:textId="77777777" w:rsidR="0009508E" w:rsidRDefault="0009508E" w:rsidP="002D56F3">
      <w:pPr>
        <w:spacing w:before="0" w:after="0"/>
      </w:pPr>
      <w:r>
        <w:separator/>
      </w:r>
    </w:p>
  </w:endnote>
  <w:endnote w:type="continuationSeparator" w:id="0">
    <w:p w14:paraId="1746FAF9" w14:textId="77777777" w:rsidR="0009508E" w:rsidRDefault="0009508E" w:rsidP="002D56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326E5" w14:textId="77777777" w:rsidR="0009508E" w:rsidRDefault="0009508E" w:rsidP="002D56F3">
      <w:pPr>
        <w:spacing w:before="0" w:after="0"/>
      </w:pPr>
      <w:r>
        <w:separator/>
      </w:r>
    </w:p>
  </w:footnote>
  <w:footnote w:type="continuationSeparator" w:id="0">
    <w:p w14:paraId="7E76B069" w14:textId="77777777" w:rsidR="0009508E" w:rsidRDefault="0009508E" w:rsidP="002D56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F24E" w14:textId="4D740AFF" w:rsidR="00B21EB4" w:rsidRDefault="00B21EB4" w:rsidP="00C73502">
    <w:pPr>
      <w:pStyle w:val="Header"/>
      <w:shd w:val="clear" w:color="auto" w:fill="auto"/>
    </w:pPr>
    <w:r w:rsidRPr="000F7F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D6BA57" wp14:editId="3BDF19B2">
          <wp:simplePos x="0" y="0"/>
          <wp:positionH relativeFrom="page">
            <wp:posOffset>2711302</wp:posOffset>
          </wp:positionH>
          <wp:positionV relativeFrom="paragraph">
            <wp:posOffset>-436570</wp:posOffset>
          </wp:positionV>
          <wp:extent cx="5060425" cy="2724150"/>
          <wp:effectExtent l="0" t="0" r="6985" b="0"/>
          <wp:wrapNone/>
          <wp:docPr id="29" name="Shape 7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71E0"/>
    <w:multiLevelType w:val="hybridMultilevel"/>
    <w:tmpl w:val="F2B25C9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DA5"/>
    <w:multiLevelType w:val="hybridMultilevel"/>
    <w:tmpl w:val="FB885A9E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1B07"/>
    <w:multiLevelType w:val="hybridMultilevel"/>
    <w:tmpl w:val="F342D908"/>
    <w:lvl w:ilvl="0" w:tplc="D4D8EB3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3BFB"/>
    <w:multiLevelType w:val="multilevel"/>
    <w:tmpl w:val="852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20908"/>
    <w:multiLevelType w:val="hybridMultilevel"/>
    <w:tmpl w:val="582854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6A32"/>
    <w:multiLevelType w:val="multilevel"/>
    <w:tmpl w:val="AFB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A7292"/>
    <w:multiLevelType w:val="hybridMultilevel"/>
    <w:tmpl w:val="CEF29F3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833C8"/>
    <w:multiLevelType w:val="hybridMultilevel"/>
    <w:tmpl w:val="9F422176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573A9"/>
    <w:multiLevelType w:val="hybridMultilevel"/>
    <w:tmpl w:val="B73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8531C"/>
    <w:multiLevelType w:val="multilevel"/>
    <w:tmpl w:val="4414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C0FE9"/>
    <w:multiLevelType w:val="hybridMultilevel"/>
    <w:tmpl w:val="2874676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13277"/>
    <w:multiLevelType w:val="hybridMultilevel"/>
    <w:tmpl w:val="8166C4F0"/>
    <w:lvl w:ilvl="0" w:tplc="98A81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D53"/>
    <w:multiLevelType w:val="hybridMultilevel"/>
    <w:tmpl w:val="8C400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94453"/>
    <w:multiLevelType w:val="hybridMultilevel"/>
    <w:tmpl w:val="B3764CC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796621"/>
    <w:multiLevelType w:val="hybridMultilevel"/>
    <w:tmpl w:val="AC582C6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7B13EC"/>
    <w:multiLevelType w:val="multilevel"/>
    <w:tmpl w:val="114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95"/>
    <w:multiLevelType w:val="hybridMultilevel"/>
    <w:tmpl w:val="86060622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6C53D3"/>
    <w:multiLevelType w:val="multilevel"/>
    <w:tmpl w:val="0DD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5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14"/>
  </w:num>
  <w:num w:numId="11">
    <w:abstractNumId w:val="16"/>
  </w:num>
  <w:num w:numId="12">
    <w:abstractNumId w:val="13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20"/>
    <w:rsid w:val="00032F2C"/>
    <w:rsid w:val="0009508E"/>
    <w:rsid w:val="000B6902"/>
    <w:rsid w:val="002D56F3"/>
    <w:rsid w:val="003E4323"/>
    <w:rsid w:val="00423341"/>
    <w:rsid w:val="0078359C"/>
    <w:rsid w:val="00A66C06"/>
    <w:rsid w:val="00B10C4A"/>
    <w:rsid w:val="00B21EB4"/>
    <w:rsid w:val="00BE7C20"/>
    <w:rsid w:val="00C73502"/>
    <w:rsid w:val="00CE5E1C"/>
    <w:rsid w:val="00CF0CDD"/>
    <w:rsid w:val="00E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37F8"/>
  <w15:chartTrackingRefBased/>
  <w15:docId w15:val="{4CB2F414-D28A-E94E-95B2-1A6779E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6F3"/>
    <w:pPr>
      <w:shd w:val="clear" w:color="auto" w:fill="FFFFFF"/>
      <w:spacing w:before="100" w:beforeAutospacing="1" w:after="100" w:afterAutospacing="1"/>
    </w:pPr>
    <w:rPr>
      <w:rFonts w:ascii="Open Sans" w:eastAsia="Times New Roman" w:hAnsi="Open Sans" w:cs="Open Sans"/>
      <w:color w:val="4D4D4D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F3"/>
    <w:pPr>
      <w:outlineLvl w:val="0"/>
    </w:pPr>
    <w:rPr>
      <w:rFonts w:ascii="Raleway" w:hAnsi="Raleway" w:cs="Times New Roman"/>
      <w:b/>
      <w:bCs/>
      <w:color w:val="0F413C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F3"/>
    <w:pPr>
      <w:outlineLvl w:val="1"/>
    </w:pPr>
    <w:rPr>
      <w:rFonts w:ascii="Raleway" w:hAnsi="Raleway" w:cs="Times New Roman"/>
      <w:b/>
      <w:bCs/>
      <w:color w:val="118C7B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C20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7C20"/>
    <w:pPr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7C2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7C2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7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6F3"/>
    <w:rPr>
      <w:rFonts w:ascii="Raleway" w:eastAsia="Times New Roman" w:hAnsi="Raleway" w:cs="Times New Roman"/>
      <w:b/>
      <w:bCs/>
      <w:color w:val="0F413C"/>
      <w:sz w:val="60"/>
      <w:szCs w:val="6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D56F3"/>
    <w:rPr>
      <w:rFonts w:ascii="Raleway" w:eastAsia="Times New Roman" w:hAnsi="Raleway" w:cs="Times New Roman"/>
      <w:b/>
      <w:bCs/>
      <w:color w:val="118C7B"/>
      <w:sz w:val="36"/>
      <w:szCs w:val="3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F4355-4924-4382-897A-62947729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à poser pour trouver les obstacles</vt:lpstr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à poser pour trouver les obstacles</dc:title>
  <dc:subject/>
  <dc:creator>Kate Kalcevich</dc:creator>
  <cp:keywords/>
  <dc:description/>
  <cp:lastModifiedBy>Kalcevich, Kate (MSAA)</cp:lastModifiedBy>
  <cp:revision>3</cp:revision>
  <cp:lastPrinted>2019-05-21T16:48:00Z</cp:lastPrinted>
  <dcterms:created xsi:type="dcterms:W3CDTF">2019-05-21T16:49:00Z</dcterms:created>
  <dcterms:modified xsi:type="dcterms:W3CDTF">2019-05-21T16:54:00Z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2019-05-21T16:39:52.1860851Z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