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38A5" w14:textId="77777777" w:rsidR="004C5B0B" w:rsidRPr="00805A8F" w:rsidRDefault="00D8035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805A8F">
        <w:rPr>
          <w:rFonts w:ascii="Times New Roman" w:hAnsi="Times New Roman" w:cs="Times New Roman"/>
          <w:sz w:val="24"/>
          <w:szCs w:val="24"/>
          <w:lang w:val="sr-Latn-RS"/>
        </w:rPr>
        <w:t>Customer is coming in retail object and buy goods</w:t>
      </w:r>
      <w:r w:rsidR="00896917" w:rsidRPr="00805A8F">
        <w:rPr>
          <w:rFonts w:ascii="Times New Roman" w:hAnsi="Times New Roman" w:cs="Times New Roman"/>
          <w:sz w:val="24"/>
          <w:szCs w:val="24"/>
          <w:lang w:val="sr-Latn-RS"/>
        </w:rPr>
        <w:t xml:space="preserve"> in a certain amount. Gives the cashier a cheque with the </w:t>
      </w:r>
      <w:r w:rsidR="00B61EB9" w:rsidRPr="00805A8F">
        <w:rPr>
          <w:rFonts w:ascii="Times New Roman" w:hAnsi="Times New Roman" w:cs="Times New Roman"/>
          <w:sz w:val="24"/>
          <w:szCs w:val="24"/>
          <w:lang w:val="sr-Latn-RS"/>
        </w:rPr>
        <w:t>completed personal date</w:t>
      </w:r>
      <w:r w:rsidR="00462044" w:rsidRPr="00805A8F">
        <w:rPr>
          <w:rFonts w:ascii="Times New Roman" w:hAnsi="Times New Roman" w:cs="Times New Roman"/>
          <w:sz w:val="24"/>
          <w:szCs w:val="24"/>
          <w:lang w:val="sr-Latn-RS"/>
        </w:rPr>
        <w:t>, amount an maturity date cheque,  as well as an identity card for identity verification</w:t>
      </w:r>
      <w:r w:rsidR="006E500C" w:rsidRPr="00805A8F">
        <w:rPr>
          <w:rFonts w:ascii="Times New Roman" w:hAnsi="Times New Roman" w:cs="Times New Roman"/>
          <w:sz w:val="24"/>
          <w:szCs w:val="24"/>
          <w:lang w:val="sr-Latn-RS"/>
        </w:rPr>
        <w:t>. Number rate depends on the seller ( for example up to 270 days). The cashier enters the check number and the bank that issued the cheque into the program</w:t>
      </w:r>
      <w:r w:rsidR="00AF7E05" w:rsidRPr="00805A8F">
        <w:rPr>
          <w:rFonts w:ascii="Times New Roman" w:hAnsi="Times New Roman" w:cs="Times New Roman"/>
          <w:sz w:val="24"/>
          <w:szCs w:val="24"/>
          <w:lang w:val="sr-Latn-RS"/>
        </w:rPr>
        <w:t>, data on the natural person</w:t>
      </w:r>
      <w:r w:rsidR="004C5B0B" w:rsidRPr="00805A8F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787DC6DB" w14:textId="77777777" w:rsidR="004C5B0B" w:rsidRPr="00805A8F" w:rsidRDefault="004C5B0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805A8F">
        <w:rPr>
          <w:rFonts w:ascii="Times New Roman" w:hAnsi="Times New Roman" w:cs="Times New Roman"/>
          <w:sz w:val="24"/>
          <w:szCs w:val="24"/>
          <w:lang w:val="sr-Latn-RS"/>
        </w:rPr>
        <w:t>The maximum amount for which the cheque is filed in is 5000. The amount can be smaller.</w:t>
      </w:r>
    </w:p>
    <w:p w14:paraId="735282EB" w14:textId="677A6229" w:rsidR="003B34DE" w:rsidRDefault="004C5B0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805A8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The first case</w:t>
      </w:r>
      <w:r w:rsidRPr="00805A8F">
        <w:rPr>
          <w:rFonts w:ascii="Times New Roman" w:hAnsi="Times New Roman" w:cs="Times New Roman"/>
          <w:sz w:val="24"/>
          <w:szCs w:val="24"/>
          <w:lang w:val="sr-Latn-RS"/>
        </w:rPr>
        <w:t>: Goods where purchased</w:t>
      </w:r>
      <w:r w:rsidR="00805A8F" w:rsidRPr="00805A8F">
        <w:rPr>
          <w:rFonts w:ascii="Times New Roman" w:hAnsi="Times New Roman" w:cs="Times New Roman"/>
          <w:sz w:val="24"/>
          <w:szCs w:val="24"/>
          <w:lang w:val="sr-Latn-RS"/>
        </w:rPr>
        <w:t xml:space="preserve"> in  the amount </w:t>
      </w:r>
      <w:r w:rsidRPr="00805A8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E500C" w:rsidRPr="00805A8F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05A8F" w:rsidRPr="00805A8F">
        <w:rPr>
          <w:rFonts w:ascii="Times New Roman" w:hAnsi="Times New Roman" w:cs="Times New Roman"/>
          <w:sz w:val="24"/>
          <w:szCs w:val="24"/>
          <w:lang w:val="sr-Latn-RS"/>
        </w:rPr>
        <w:t xml:space="preserve">of </w:t>
      </w:r>
      <w:r w:rsidR="006A736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05A8F" w:rsidRPr="00805A8F">
        <w:rPr>
          <w:rFonts w:ascii="Times New Roman" w:hAnsi="Times New Roman" w:cs="Times New Roman"/>
          <w:sz w:val="24"/>
          <w:szCs w:val="24"/>
          <w:lang w:val="sr-Latn-RS"/>
        </w:rPr>
        <w:t xml:space="preserve">8000 dinars. </w:t>
      </w:r>
      <w:r w:rsidR="00805A8F">
        <w:rPr>
          <w:rFonts w:ascii="Times New Roman" w:hAnsi="Times New Roman" w:cs="Times New Roman"/>
          <w:sz w:val="24"/>
          <w:szCs w:val="24"/>
          <w:lang w:val="sr-Latn-RS"/>
        </w:rPr>
        <w:t xml:space="preserve">The customer pays  part </w:t>
      </w:r>
      <w:r w:rsidR="004B1532">
        <w:rPr>
          <w:rFonts w:ascii="Times New Roman" w:hAnsi="Times New Roman" w:cs="Times New Roman"/>
          <w:sz w:val="24"/>
          <w:szCs w:val="24"/>
          <w:lang w:val="sr-Latn-RS"/>
        </w:rPr>
        <w:t xml:space="preserve"> by cheque in the  amount of 5000 and the rest in cash or by card.</w:t>
      </w:r>
    </w:p>
    <w:p w14:paraId="7FFF9B66" w14:textId="65DE6AE4" w:rsidR="004B1532" w:rsidRDefault="008278C4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8278C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The second case:</w:t>
      </w:r>
      <w:r w:rsidR="005110A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  <w:r w:rsidR="005110AE" w:rsidRPr="005110AE">
        <w:rPr>
          <w:rFonts w:ascii="Times New Roman" w:hAnsi="Times New Roman" w:cs="Times New Roman"/>
          <w:sz w:val="24"/>
          <w:szCs w:val="24"/>
          <w:lang w:val="sr-Latn-RS"/>
        </w:rPr>
        <w:t>Goods where purchased</w:t>
      </w:r>
      <w:r w:rsidR="005110AE">
        <w:rPr>
          <w:rFonts w:ascii="Times New Roman" w:hAnsi="Times New Roman" w:cs="Times New Roman"/>
          <w:sz w:val="24"/>
          <w:szCs w:val="24"/>
          <w:lang w:val="sr-Latn-RS"/>
        </w:rPr>
        <w:t xml:space="preserve"> in the amount of 20.000 dinars. The Customer pays  the full amount by cheque</w:t>
      </w:r>
      <w:r w:rsidR="00542970">
        <w:rPr>
          <w:rFonts w:ascii="Times New Roman" w:hAnsi="Times New Roman" w:cs="Times New Roman"/>
          <w:sz w:val="24"/>
          <w:szCs w:val="24"/>
          <w:lang w:val="sr-Latn-RS"/>
        </w:rPr>
        <w:t>, for a period of 6 mounth.</w:t>
      </w:r>
    </w:p>
    <w:p w14:paraId="20B7A906" w14:textId="40DC1476" w:rsidR="009044EE" w:rsidRDefault="009044E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609BF11" w14:textId="4EF3E4F6" w:rsidR="009044EE" w:rsidRDefault="009044E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DA39FE2" w14:textId="09399E3C" w:rsidR="009044EE" w:rsidRDefault="009044E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CFD9774" w14:textId="77777777" w:rsidR="009044EE" w:rsidRPr="009044EE" w:rsidRDefault="009044EE" w:rsidP="009044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Program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predviđa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mogućnost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obračuna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lične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prodaje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kada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prodaja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svakog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proizvoda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vezana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određenog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menadžera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trgovačkog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prostora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radi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daljeg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utvrđivanja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rezultata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njihovog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rada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. Da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biste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to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uradili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, u RMK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podešavanju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označite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polje za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potvrdu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polju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Menadžer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područja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proofErr w:type="gram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prodaje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.</w:t>
      </w:r>
      <w:proofErr w:type="gram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Prilikom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registracije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prodaje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biće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moguće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navesti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konkretnog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menadžera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(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zaposlenog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) koji je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odgovoran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ovu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prodaju</w:t>
      </w:r>
      <w:proofErr w:type="spellEnd"/>
      <w:r w:rsidRPr="009044EE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02782477" w14:textId="2E9249F5" w:rsidR="009044EE" w:rsidRDefault="009044EE">
      <w:p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18EC0D98" w14:textId="77777777" w:rsidR="009044EE" w:rsidRDefault="009044EE" w:rsidP="009044EE">
      <w:pPr>
        <w:rPr>
          <w:b/>
          <w:bCs/>
          <w:sz w:val="28"/>
          <w:szCs w:val="28"/>
          <w:lang w:val="sr-Latn-RS"/>
        </w:rPr>
      </w:pPr>
    </w:p>
    <w:p w14:paraId="44698D18" w14:textId="77777777" w:rsidR="009044EE" w:rsidRDefault="009044EE" w:rsidP="009044EE">
      <w:pPr>
        <w:rPr>
          <w:b/>
          <w:bCs/>
          <w:sz w:val="28"/>
          <w:szCs w:val="28"/>
          <w:lang w:val="sr-Latn-RS"/>
        </w:rPr>
      </w:pPr>
    </w:p>
    <w:p w14:paraId="3A7E81E9" w14:textId="77777777" w:rsidR="009044EE" w:rsidRDefault="009044EE" w:rsidP="009044EE">
      <w:pPr>
        <w:rPr>
          <w:b/>
          <w:bCs/>
          <w:sz w:val="28"/>
          <w:szCs w:val="28"/>
          <w:lang w:val="sr-Latn-RS"/>
        </w:rPr>
      </w:pPr>
    </w:p>
    <w:p w14:paraId="2675D1A0" w14:textId="77777777" w:rsidR="009044EE" w:rsidRDefault="009044EE" w:rsidP="009044EE">
      <w:pPr>
        <w:rPr>
          <w:b/>
          <w:bCs/>
          <w:color w:val="FF0000"/>
          <w:sz w:val="28"/>
          <w:szCs w:val="28"/>
          <w:highlight w:val="yellow"/>
        </w:rPr>
      </w:pPr>
    </w:p>
    <w:p w14:paraId="06155612" w14:textId="77777777" w:rsidR="009044EE" w:rsidRDefault="009044EE" w:rsidP="009044EE">
      <w:pPr>
        <w:rPr>
          <w:b/>
          <w:bCs/>
          <w:color w:val="FF0000"/>
          <w:sz w:val="28"/>
          <w:szCs w:val="28"/>
          <w:highlight w:val="yellow"/>
        </w:rPr>
      </w:pPr>
    </w:p>
    <w:p w14:paraId="684D530A" w14:textId="77777777" w:rsidR="009044EE" w:rsidRDefault="009044EE" w:rsidP="009044EE">
      <w:pPr>
        <w:rPr>
          <w:b/>
          <w:bCs/>
          <w:color w:val="FF0000"/>
          <w:sz w:val="28"/>
          <w:szCs w:val="28"/>
          <w:highlight w:val="yellow"/>
        </w:rPr>
      </w:pPr>
    </w:p>
    <w:p w14:paraId="7B965073" w14:textId="77777777" w:rsidR="009044EE" w:rsidRDefault="009044EE" w:rsidP="009044EE">
      <w:pPr>
        <w:rPr>
          <w:b/>
          <w:bCs/>
          <w:color w:val="FF0000"/>
          <w:sz w:val="28"/>
          <w:szCs w:val="28"/>
          <w:highlight w:val="yellow"/>
        </w:rPr>
      </w:pPr>
    </w:p>
    <w:p w14:paraId="3D2C0AC1" w14:textId="22580D04" w:rsidR="009044EE" w:rsidRDefault="009044EE" w:rsidP="009044EE">
      <w:pPr>
        <w:rPr>
          <w:b/>
          <w:bCs/>
          <w:sz w:val="28"/>
          <w:szCs w:val="28"/>
          <w:lang w:val="sr-Latn-RS"/>
        </w:rPr>
      </w:pPr>
      <w:r w:rsidRPr="009044EE">
        <w:rPr>
          <w:b/>
          <w:bCs/>
          <w:noProof/>
          <w:color w:val="FF0000"/>
          <w:sz w:val="28"/>
          <w:szCs w:val="28"/>
          <w:highlight w:val="yellow"/>
        </w:rPr>
        <w:lastRenderedPageBreak/>
        <w:drawing>
          <wp:anchor distT="0" distB="0" distL="114300" distR="114300" simplePos="0" relativeHeight="251658240" behindDoc="0" locked="0" layoutInCell="1" allowOverlap="1" wp14:anchorId="0304D386" wp14:editId="087337F2">
            <wp:simplePos x="0" y="0"/>
            <wp:positionH relativeFrom="margin">
              <wp:posOffset>257175</wp:posOffset>
            </wp:positionH>
            <wp:positionV relativeFrom="paragraph">
              <wp:posOffset>0</wp:posOffset>
            </wp:positionV>
            <wp:extent cx="4873752" cy="4974336"/>
            <wp:effectExtent l="0" t="0" r="3175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44EE">
        <w:rPr>
          <w:b/>
          <w:bCs/>
          <w:sz w:val="28"/>
          <w:szCs w:val="28"/>
          <w:lang w:val="sr-Latn-RS"/>
        </w:rPr>
        <w:t>CWP- podesavanja za aktuelno radno mesto-  Koristi autorizaciju</w:t>
      </w:r>
    </w:p>
    <w:p w14:paraId="26F8269A" w14:textId="18EDA323" w:rsidR="00A8001A" w:rsidRDefault="00A8001A" w:rsidP="009044EE">
      <w:pPr>
        <w:rPr>
          <w:b/>
          <w:bCs/>
          <w:sz w:val="28"/>
          <w:szCs w:val="28"/>
          <w:lang w:val="sr-Latn-RS"/>
        </w:rPr>
      </w:pPr>
    </w:p>
    <w:p w14:paraId="6F982A3D" w14:textId="3B994CAA" w:rsidR="00A8001A" w:rsidRDefault="00A8001A" w:rsidP="009044EE">
      <w:pPr>
        <w:rPr>
          <w:b/>
          <w:bCs/>
          <w:sz w:val="28"/>
          <w:szCs w:val="28"/>
          <w:lang w:val="sr-Latn-RS"/>
        </w:rPr>
      </w:pPr>
    </w:p>
    <w:p w14:paraId="267AB412" w14:textId="77777777" w:rsidR="00A8001A" w:rsidRDefault="00A8001A" w:rsidP="00A8001A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Otvaranje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</w:p>
    <w:p w14:paraId="4C5AD51B" w14:textId="77777777" w:rsidR="00A8001A" w:rsidRDefault="00A8001A" w:rsidP="00A8001A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otvara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radno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mesto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gramStart"/>
      <w:r>
        <w:rPr>
          <w:rStyle w:val="y2iqfc"/>
          <w:rFonts w:ascii="inherit" w:hAnsi="inherit"/>
          <w:color w:val="70757A"/>
          <w:sz w:val="24"/>
          <w:szCs w:val="24"/>
        </w:rPr>
        <w:t xml:space="preserve">(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Prodaja</w:t>
      </w:r>
      <w:proofErr w:type="spellEnd"/>
      <w:proofErr w:type="gram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Radno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mesto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).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Ako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datu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podešavanjima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RMK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definisana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jedna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radi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režimu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fiskalnog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registra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će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određena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automatski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Otvara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obrazac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radno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mesto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otvara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pomoću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operacije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POS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štampača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komande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Otvori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53AE39FC" w14:textId="77777777" w:rsidR="00A8001A" w:rsidRDefault="00A8001A" w:rsidP="00A8001A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5DF355D5" w14:textId="77777777" w:rsidR="00A8001A" w:rsidRDefault="00A8001A" w:rsidP="00A8001A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Nakon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toga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možete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pristupiti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registraciji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maloprodaje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izdavanju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blagajničkih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5B30ABB0" w14:textId="77777777" w:rsidR="00A8001A" w:rsidRDefault="00A8001A" w:rsidP="00A8001A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75375A92" w14:textId="77777777" w:rsidR="00A8001A" w:rsidRDefault="00A8001A" w:rsidP="00A8001A">
      <w:pPr>
        <w:pStyle w:val="HTMLPreformatted"/>
        <w:shd w:val="clear" w:color="auto" w:fill="F8F9FA"/>
        <w:spacing w:line="360" w:lineRule="atLeast"/>
        <w:rPr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lastRenderedPageBreak/>
        <w:t>Blagajna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može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otvoriti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zatvoriti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bilo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trenutku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Trajanje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ne bi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trebalo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prelazi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24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sata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Nekoliko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može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radi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jednoj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kasi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tokom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jednog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dana.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Prilikom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prenosa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zatvara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predaje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prihod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izlazi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programa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Novi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ulazi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program pod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svojim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imenom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otvara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novu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031EDBD2" w14:textId="353C2F65" w:rsidR="00A8001A" w:rsidRDefault="00A8001A" w:rsidP="009044EE">
      <w:pPr>
        <w:rPr>
          <w:b/>
          <w:bCs/>
          <w:sz w:val="28"/>
          <w:szCs w:val="28"/>
          <w:lang w:val="sr-Latn-RS"/>
        </w:rPr>
      </w:pPr>
    </w:p>
    <w:p w14:paraId="60F3161F" w14:textId="68A49AB2" w:rsidR="00CF373C" w:rsidRDefault="00CF373C" w:rsidP="009044EE">
      <w:pPr>
        <w:rPr>
          <w:b/>
          <w:bCs/>
          <w:sz w:val="28"/>
          <w:szCs w:val="28"/>
          <w:lang w:val="sr-Latn-RS"/>
        </w:rPr>
      </w:pPr>
    </w:p>
    <w:p w14:paraId="0DCF8D09" w14:textId="68A604BE" w:rsidR="00CF373C" w:rsidRDefault="00CF373C" w:rsidP="009044EE">
      <w:p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PRODAJA</w:t>
      </w:r>
    </w:p>
    <w:p w14:paraId="0E433D96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obliku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plaćanja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možete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navesti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e-mail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adresu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/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ili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broj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telefona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slanje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bušenje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Pogledajte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Razbijanje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slanje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čekova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Podržano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nekoliko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metoda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određivanje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kontakt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informacija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kupca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(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broj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telefona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adresa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e-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pošte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):</w:t>
      </w:r>
    </w:p>
    <w:p w14:paraId="449E66DA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0BDC9E5A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■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ručni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unos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podataka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;</w:t>
      </w:r>
    </w:p>
    <w:p w14:paraId="29B39E6A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6AD1196E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■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automatsko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popunjavanje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podataka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prilikom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čitanja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kartice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lojalnosti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partnera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(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kupca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).</w:t>
      </w:r>
    </w:p>
    <w:p w14:paraId="72C97164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351000D7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Nakon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što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navedete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kontakt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informacije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odredite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iznos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primljenog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novca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možete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ići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direktno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pauzu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(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dugme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Prekini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proofErr w:type="gramStart"/>
      <w:r>
        <w:rPr>
          <w:rStyle w:val="y2iqfc"/>
          <w:rFonts w:ascii="inherit" w:hAnsi="inherit"/>
          <w:color w:val="70757A"/>
          <w:sz w:val="24"/>
          <w:szCs w:val="24"/>
        </w:rPr>
        <w:t>ček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)</w:t>
      </w:r>
      <w:proofErr w:type="gramEnd"/>
      <w:r>
        <w:rPr>
          <w:rStyle w:val="y2iqfc"/>
          <w:rFonts w:ascii="inherit" w:hAnsi="inherit"/>
          <w:color w:val="70757A"/>
          <w:sz w:val="24"/>
          <w:szCs w:val="24"/>
        </w:rPr>
        <w:t xml:space="preserve">.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ovom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trenutku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podaci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prenose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KKM, koji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štampa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priznanicu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prenosi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podatke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OFD,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smatra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da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završena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Program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kreira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provjeru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POS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štampača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dokumenta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kojoj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kartici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Dodatno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naznačena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Pored toga, ova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stranica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kartice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prikazuje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vezu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Obrađeni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br. ... do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fiskalnih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podataka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bušenog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Informacije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svim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računima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prikazane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listi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Maloprodaja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POS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štampač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41FD0728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23085536" w14:textId="77777777" w:rsidR="00CF373C" w:rsidRDefault="00CF373C" w:rsidP="00CF373C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Da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biste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prešli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sledeću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morate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kliknuti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dugme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Nova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provera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4410CCEF" w14:textId="2B2C52CA" w:rsidR="00CF373C" w:rsidRDefault="00CF373C" w:rsidP="009044EE">
      <w:pPr>
        <w:rPr>
          <w:b/>
          <w:bCs/>
          <w:sz w:val="28"/>
          <w:szCs w:val="28"/>
          <w:lang w:val="sr-Latn-RS"/>
        </w:rPr>
      </w:pPr>
    </w:p>
    <w:p w14:paraId="5E70CF12" w14:textId="28C4CE84" w:rsidR="00EE38C9" w:rsidRDefault="00EE38C9" w:rsidP="009044EE">
      <w:pPr>
        <w:rPr>
          <w:b/>
          <w:bCs/>
          <w:sz w:val="28"/>
          <w:szCs w:val="28"/>
          <w:lang w:val="sr-Latn-RS"/>
        </w:rPr>
      </w:pPr>
    </w:p>
    <w:p w14:paraId="213363CA" w14:textId="4B87FAF3" w:rsidR="00EE38C9" w:rsidRDefault="00EE38C9" w:rsidP="009044EE">
      <w:pPr>
        <w:rPr>
          <w:b/>
          <w:bCs/>
          <w:sz w:val="28"/>
          <w:szCs w:val="28"/>
          <w:lang w:val="sr-Latn-RS"/>
        </w:rPr>
      </w:pPr>
    </w:p>
    <w:p w14:paraId="3AB30974" w14:textId="017E846E" w:rsidR="00EE38C9" w:rsidRDefault="00EE38C9" w:rsidP="009044EE">
      <w:pPr>
        <w:rPr>
          <w:b/>
          <w:bCs/>
          <w:sz w:val="28"/>
          <w:szCs w:val="28"/>
          <w:lang w:val="sr-Latn-RS"/>
        </w:rPr>
      </w:pPr>
    </w:p>
    <w:p w14:paraId="6DAB28E7" w14:textId="5A4D27EB" w:rsidR="00EE38C9" w:rsidRDefault="00EE38C9" w:rsidP="009044EE">
      <w:pPr>
        <w:rPr>
          <w:b/>
          <w:bCs/>
          <w:sz w:val="28"/>
          <w:szCs w:val="28"/>
          <w:lang w:val="sr-Latn-RS"/>
        </w:rPr>
      </w:pPr>
    </w:p>
    <w:p w14:paraId="5D014D71" w14:textId="1604D78C" w:rsidR="00EE38C9" w:rsidRDefault="00EE38C9" w:rsidP="009044EE">
      <w:pPr>
        <w:rPr>
          <w:b/>
          <w:bCs/>
          <w:sz w:val="28"/>
          <w:szCs w:val="28"/>
          <w:lang w:val="sr-Latn-RS"/>
        </w:rPr>
      </w:pPr>
    </w:p>
    <w:p w14:paraId="52CDD420" w14:textId="3D4FA74B" w:rsidR="00EE38C9" w:rsidRDefault="00EE38C9" w:rsidP="009044EE">
      <w:pPr>
        <w:rPr>
          <w:b/>
          <w:bCs/>
          <w:sz w:val="28"/>
          <w:szCs w:val="28"/>
          <w:lang w:val="sr-Latn-RS"/>
        </w:rPr>
      </w:pPr>
    </w:p>
    <w:p w14:paraId="44AB5EDB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lastRenderedPageBreak/>
        <w:t>Prilikom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zatvaranja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nepotpunog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mora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izabrati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željenu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akciju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:</w:t>
      </w:r>
    </w:p>
    <w:p w14:paraId="7D62C5C8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514A7BC5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■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Zatvori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bez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čuvanja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će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izbrisan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317B26FC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5C935308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■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Odloži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bez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rezervacije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će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sačuvan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listi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bez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pomeranja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Roba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navedena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ostaje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dostupna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Kasnije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možete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vratiti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njega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(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Ostale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operacije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Nastavi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proveriti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).</w:t>
      </w:r>
    </w:p>
    <w:p w14:paraId="1AE550AC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6A548623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■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Rezervišite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do ...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sačuvan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stavka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navedena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njoj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postaje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nedostupna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drugim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računima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Koristi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kada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verovatno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će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proizvod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biti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prodat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ovom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kupcu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ovom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slučaju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roba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povlači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trgovačkog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prostora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Opcija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odlaganja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prijema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rezervacijom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dostupna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samo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ako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magacinskoj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kartici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prostora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izabrano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polje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Kontrola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kolaterala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47AADAA2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0092649A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■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Otkaži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—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nastavite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radite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trenutnom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proverom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0B2A2311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6A9002B7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svakom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trenutku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može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da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pozove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dalju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obradu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prethodno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odloženog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čeka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svrhu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koristite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komandu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Ostale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operacije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Nastavi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proofErr w:type="gramStart"/>
      <w:r>
        <w:rPr>
          <w:rStyle w:val="y2iqfc"/>
          <w:rFonts w:ascii="inherit" w:hAnsi="inherit"/>
          <w:color w:val="70757A"/>
          <w:sz w:val="24"/>
          <w:szCs w:val="24"/>
        </w:rPr>
        <w:t>proveru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.</w:t>
      </w:r>
      <w:proofErr w:type="gramEnd"/>
    </w:p>
    <w:p w14:paraId="31C50D05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6F915593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Zatvaranje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</w:p>
    <w:p w14:paraId="358CE3A9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Zatvaranje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kasi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generisanje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izveštaja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prometu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malo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vrši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radnog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mesta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blagajnika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pritiskom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dugme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Poslovi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kasom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-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Zatvori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proofErr w:type="gramStart"/>
      <w:r>
        <w:rPr>
          <w:rStyle w:val="y2iqfc"/>
          <w:rFonts w:ascii="inherit" w:hAnsi="inherit"/>
          <w:color w:val="70757A"/>
          <w:sz w:val="24"/>
          <w:szCs w:val="24"/>
        </w:rPr>
        <w:t>smenu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.</w:t>
      </w:r>
      <w:proofErr w:type="gramEnd"/>
    </w:p>
    <w:p w14:paraId="79069C96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Style w:val="y2iqfc"/>
          <w:rFonts w:ascii="inherit" w:hAnsi="inherit"/>
          <w:color w:val="70757A"/>
          <w:sz w:val="24"/>
          <w:szCs w:val="24"/>
        </w:rPr>
      </w:pPr>
    </w:p>
    <w:p w14:paraId="0DB230AA" w14:textId="77777777" w:rsidR="00EE38C9" w:rsidRDefault="00EE38C9" w:rsidP="00EE38C9">
      <w:pPr>
        <w:pStyle w:val="HTMLPreformatted"/>
        <w:shd w:val="clear" w:color="auto" w:fill="F8F9FA"/>
        <w:spacing w:line="360" w:lineRule="atLeast"/>
        <w:rPr>
          <w:rFonts w:ascii="inherit" w:hAnsi="inherit"/>
          <w:color w:val="70757A"/>
          <w:sz w:val="24"/>
          <w:szCs w:val="24"/>
        </w:rPr>
      </w:pPr>
      <w:r>
        <w:rPr>
          <w:rStyle w:val="y2iqfc"/>
          <w:rFonts w:ascii="inherit" w:hAnsi="inherit"/>
          <w:color w:val="70757A"/>
          <w:sz w:val="24"/>
          <w:szCs w:val="24"/>
        </w:rPr>
        <w:t xml:space="preserve">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izdate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račune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će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se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generisati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štampati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Z-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izveštaj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za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automatski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generisan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dokument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Izveštaj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prodaji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malo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izveštaju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prometu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malo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dat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zbir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sve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robe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koja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je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probušena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na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kasama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u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toku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smene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kase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.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Dokument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takođe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beleži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informacije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o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plaćanju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platnim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karticama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, bonus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poenima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 xml:space="preserve"> </w:t>
      </w:r>
      <w:proofErr w:type="spellStart"/>
      <w:r>
        <w:rPr>
          <w:rStyle w:val="y2iqfc"/>
          <w:rFonts w:ascii="inherit" w:hAnsi="inherit"/>
          <w:color w:val="70757A"/>
          <w:sz w:val="24"/>
          <w:szCs w:val="24"/>
        </w:rPr>
        <w:t>itd</w:t>
      </w:r>
      <w:proofErr w:type="spellEnd"/>
      <w:r>
        <w:rPr>
          <w:rStyle w:val="y2iqfc"/>
          <w:rFonts w:ascii="inherit" w:hAnsi="inherit"/>
          <w:color w:val="70757A"/>
          <w:sz w:val="24"/>
          <w:szCs w:val="24"/>
        </w:rPr>
        <w:t>.</w:t>
      </w:r>
    </w:p>
    <w:p w14:paraId="33D1AFA7" w14:textId="77777777" w:rsidR="00EE38C9" w:rsidRDefault="00EE38C9" w:rsidP="009044EE">
      <w:pPr>
        <w:rPr>
          <w:b/>
          <w:bCs/>
          <w:sz w:val="28"/>
          <w:szCs w:val="28"/>
          <w:lang w:val="sr-Latn-RS"/>
        </w:rPr>
      </w:pPr>
    </w:p>
    <w:p w14:paraId="24F0DA69" w14:textId="77777777" w:rsidR="009044EE" w:rsidRPr="009044EE" w:rsidRDefault="009044EE" w:rsidP="009044EE">
      <w:pPr>
        <w:rPr>
          <w:b/>
          <w:bCs/>
          <w:sz w:val="28"/>
          <w:szCs w:val="28"/>
          <w:lang w:val="sr-Latn-RS"/>
        </w:rPr>
      </w:pPr>
    </w:p>
    <w:p w14:paraId="3BC3058E" w14:textId="77777777" w:rsidR="00FF5C2A" w:rsidRPr="00FF5C2A" w:rsidRDefault="00FF5C2A" w:rsidP="00FF5C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Na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osnovu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dokumenta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Povrat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robe od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kupca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možete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sastaviti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dokument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Nalog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odliv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gotovine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ili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Transakciju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preuzimanja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sa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vrstom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transakcije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Povrat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plaćanja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kupcu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43B8EA68" w14:textId="77777777" w:rsidR="00FF5C2A" w:rsidRPr="00FF5C2A" w:rsidRDefault="00FF5C2A" w:rsidP="00FF5C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</w:p>
    <w:p w14:paraId="28057F1C" w14:textId="77777777" w:rsidR="00FF5C2A" w:rsidRPr="00FF5C2A" w:rsidRDefault="00FF5C2A" w:rsidP="00FF5C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Prilikom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sastavljanja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dokumenta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vraćanje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robe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maloprodajnom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kupcu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moguće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je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izdati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štampani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obrazac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Zahteva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povraćaj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.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Podaci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ovo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štampanje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se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popunjavaju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u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lastRenderedPageBreak/>
        <w:t>posebnom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dijaloškom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okviru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, koji se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poziva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preko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hiperlinka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Detalji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štampanje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zahteva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vraćanje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na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stranici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Dodatno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.</w:t>
      </w:r>
    </w:p>
    <w:p w14:paraId="75EA1B27" w14:textId="77777777" w:rsidR="00FF5C2A" w:rsidRPr="00FF5C2A" w:rsidRDefault="00FF5C2A" w:rsidP="00FF5C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</w:p>
    <w:p w14:paraId="31209A09" w14:textId="77777777" w:rsidR="00FF5C2A" w:rsidRPr="00FF5C2A" w:rsidRDefault="00FF5C2A" w:rsidP="00FF5C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</w:rPr>
      </w:pPr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više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detalja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o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različitim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scenarijima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izdavanje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povraćaja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pogledajte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Dodatak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Metode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za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obradu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maloprodaje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,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povraćaja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i</w:t>
      </w:r>
      <w:proofErr w:type="spellEnd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 xml:space="preserve"> </w:t>
      </w:r>
      <w:proofErr w:type="spellStart"/>
      <w:r w:rsidRPr="00FF5C2A">
        <w:rPr>
          <w:rFonts w:ascii="inherit" w:eastAsia="Times New Roman" w:hAnsi="inherit" w:cs="Courier New"/>
          <w:color w:val="70757A"/>
          <w:sz w:val="24"/>
          <w:szCs w:val="24"/>
        </w:rPr>
        <w:t>čekova</w:t>
      </w:r>
      <w:proofErr w:type="spellEnd"/>
    </w:p>
    <w:p w14:paraId="2BF9F9CC" w14:textId="77777777" w:rsidR="009044EE" w:rsidRPr="00154A2A" w:rsidRDefault="009044EE" w:rsidP="00FF5C2A"/>
    <w:sectPr w:rsidR="009044EE" w:rsidRPr="0015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50"/>
    <w:rsid w:val="00133E56"/>
    <w:rsid w:val="00154A2A"/>
    <w:rsid w:val="003B34DE"/>
    <w:rsid w:val="00462044"/>
    <w:rsid w:val="004B1532"/>
    <w:rsid w:val="004C5B0B"/>
    <w:rsid w:val="005110AE"/>
    <w:rsid w:val="00542970"/>
    <w:rsid w:val="006A736D"/>
    <w:rsid w:val="006E500C"/>
    <w:rsid w:val="00805A8F"/>
    <w:rsid w:val="008278C4"/>
    <w:rsid w:val="00896917"/>
    <w:rsid w:val="009044EE"/>
    <w:rsid w:val="00A8001A"/>
    <w:rsid w:val="00AF7E05"/>
    <w:rsid w:val="00B61EB9"/>
    <w:rsid w:val="00CF373C"/>
    <w:rsid w:val="00D80350"/>
    <w:rsid w:val="00EE38C9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EF77"/>
  <w15:chartTrackingRefBased/>
  <w15:docId w15:val="{50DA5BE5-8478-4269-B859-9FCB73D4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4E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0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</cp:revision>
  <dcterms:created xsi:type="dcterms:W3CDTF">2021-12-15T09:00:00Z</dcterms:created>
  <dcterms:modified xsi:type="dcterms:W3CDTF">2021-12-27T12:30:00Z</dcterms:modified>
</cp:coreProperties>
</file>