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bookmarkStart w:id="0" w:name="_GoBack"/>
      <w:bookmarkEnd w:id="0"/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B27F56">
        <w:rPr>
          <w:rFonts w:ascii="Times New Roman" w:hAnsi="Times New Roman" w:cs="Times New Roman"/>
        </w:rPr>
        <w:t xml:space="preserve">,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«Наймодатель»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г. Серов Свердловской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Наймодатель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Наймодателю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Наймодателю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" w:name="Par102"/>
      <w:bookmarkEnd w:id="1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2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2"/>
    </w:p>
    <w:p w14:paraId="2E64F85F" w14:textId="03A28B3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3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Наймодателя,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3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24AEA0E" w14:textId="6C51F286" w:rsidR="009A70E7" w:rsidRDefault="000324AB" w:rsidP="009A70E7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4" w:name="_Ref357252193"/>
      <w:r w:rsidRPr="00F334E0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 xml:space="preserve">ользоваться общим имуществом в многоквартирном доме, в котором находится </w:t>
      </w:r>
      <w:r w:rsidR="00C73191" w:rsidRPr="00F334E0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F334E0">
        <w:rPr>
          <w:rFonts w:ascii="Times New Roman" w:hAnsi="Times New Roman"/>
          <w:sz w:val="20"/>
          <w:szCs w:val="20"/>
          <w:lang w:val="ru-RU"/>
        </w:rPr>
        <w:t>, не причиняя вреда этому имуществу, не загрязняя и не засоряя его</w:t>
      </w:r>
      <w:bookmarkStart w:id="5" w:name="_Ref358150002"/>
      <w:bookmarkEnd w:id="4"/>
      <w:r w:rsidR="00B92CFF">
        <w:rPr>
          <w:rFonts w:ascii="Times New Roman" w:hAnsi="Times New Roman"/>
          <w:sz w:val="20"/>
          <w:szCs w:val="20"/>
          <w:lang w:val="ru-RU"/>
        </w:rPr>
        <w:t>.</w:t>
      </w:r>
    </w:p>
    <w:p w14:paraId="5F003684" w14:textId="0D79D133" w:rsidR="0021463A" w:rsidRPr="00F334E0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F334E0">
        <w:rPr>
          <w:rFonts w:ascii="Times New Roman" w:hAnsi="Times New Roman"/>
          <w:sz w:val="20"/>
          <w:szCs w:val="20"/>
          <w:lang w:val="ru-RU"/>
        </w:rPr>
        <w:t>, в Объект следующих третьих лиц:</w:t>
      </w:r>
      <w:r w:rsidRPr="00F334E0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7DA04247" w14:textId="4312345F" w:rsidR="009A70E7" w:rsidRDefault="0021463A" w:rsidP="00DE7B6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b/>
          <w:sz w:val="20"/>
          <w:szCs w:val="20"/>
          <w:lang w:val="ru-RU"/>
        </w:rPr>
        <w:t>____________________________________________________________________________________//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(е</w:t>
      </w:r>
      <w:r w:rsidRPr="00B92CFF">
        <w:rPr>
          <w:rFonts w:ascii="Times New Roman" w:hAnsi="Times New Roman"/>
          <w:sz w:val="20"/>
          <w:szCs w:val="20"/>
          <w:lang w:val="ru-RU"/>
        </w:rPr>
        <w:t>сли кроме нанимателя в Объекте больше никто не будет проживать (например</w:t>
      </w:r>
      <w:r w:rsidR="00B92CFF">
        <w:rPr>
          <w:rFonts w:ascii="Times New Roman" w:hAnsi="Times New Roman"/>
          <w:sz w:val="20"/>
          <w:szCs w:val="20"/>
          <w:lang w:val="ru-RU"/>
        </w:rPr>
        <w:t>,</w:t>
      </w:r>
      <w:r w:rsidRPr="00B92CFF">
        <w:rPr>
          <w:rFonts w:ascii="Times New Roman" w:hAnsi="Times New Roman"/>
          <w:sz w:val="20"/>
          <w:szCs w:val="20"/>
          <w:lang w:val="ru-RU"/>
        </w:rPr>
        <w:t xml:space="preserve"> дети)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–</w:t>
      </w:r>
      <w:r w:rsidR="00F334E0" w:rsidRPr="00B92CFF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92CFF" w:rsidRPr="00B92CFF">
        <w:rPr>
          <w:rFonts w:ascii="Times New Roman" w:hAnsi="Times New Roman"/>
          <w:sz w:val="20"/>
          <w:szCs w:val="20"/>
          <w:lang w:val="ru-RU"/>
        </w:rPr>
        <w:t>поставьте прочерк в этом пункте)</w:t>
      </w:r>
    </w:p>
    <w:p w14:paraId="28EFEE27" w14:textId="0B1D20D2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Вселить в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своего питомца (домашнее животное) _________________.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иных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ТОЛЬКО 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ПИСЬМЕННОГО СОГЛАСИЯ Наймодателя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8150097"/>
      <w:bookmarkEnd w:id="5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Наймодателя,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6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7" w:name="_Ref357252215"/>
      <w:bookmarkStart w:id="8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7"/>
      <w:bookmarkEnd w:id="8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9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Наймодателя и получения соответствующего согласования, предусмотренного жилищным законодательством Российской Федерации</w:t>
      </w:r>
      <w:bookmarkEnd w:id="10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1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Наймодателя (бытовой технике) - незамедлительно уведомить об этом Наймодателя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Наймодателем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Наймодатель.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Наймодателя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Наймодателем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2"/>
    <w:p w14:paraId="3059D461" w14:textId="4BA8AA6C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мебели, в т.ч. повреждений, причиненных домашними животными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Наймодателю (представителю </w:t>
      </w:r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аймодателя)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станций, Госпожнадзора,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Приказом Минстроя России от 14.05.2021 N 292/пр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5E5799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, в т.ч. кальянов, вейпов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Наймодателю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  <w:r w:rsidR="00B92CFF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Наймодателем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Наймодателем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Наймодателя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аймодателя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Наймодателю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Наймодатель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Наймодателем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5EB36B2A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 обязан:</w:t>
      </w:r>
    </w:p>
    <w:p w14:paraId="0B26811A" w14:textId="451CE433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3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требованиям;</w:t>
      </w:r>
      <w:bookmarkEnd w:id="13"/>
    </w:p>
    <w:p w14:paraId="0B422E87" w14:textId="57A5C89D" w:rsidR="00B33E95" w:rsidRPr="00287205" w:rsidRDefault="00211CE8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154208"/>
      <w:r w:rsidRPr="00B33E95"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EE4B27" w:rsidRPr="00B33E95">
        <w:rPr>
          <w:rFonts w:ascii="Times New Roman" w:hAnsi="Times New Roman"/>
          <w:sz w:val="20"/>
          <w:szCs w:val="20"/>
          <w:lang w:val="ru-RU"/>
        </w:rPr>
        <w:t>позднее,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чем за 14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(четырнадцати)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</w:t>
      </w:r>
      <w:r w:rsidRPr="00B33E95">
        <w:rPr>
          <w:rFonts w:ascii="Times New Roman" w:hAnsi="Times New Roman"/>
          <w:sz w:val="20"/>
          <w:szCs w:val="20"/>
          <w:lang w:val="ru-RU"/>
        </w:rPr>
        <w:t>дней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, до истечения срока действия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сообщить 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об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отказе от продления</w:t>
      </w:r>
      <w:bookmarkEnd w:id="14"/>
      <w:r w:rsidR="008E7C52" w:rsidRPr="00B33E95">
        <w:rPr>
          <w:rFonts w:ascii="Times New Roman" w:hAnsi="Times New Roman"/>
          <w:sz w:val="20"/>
          <w:szCs w:val="20"/>
          <w:lang w:val="ru-RU"/>
        </w:rPr>
        <w:t xml:space="preserve"> Договора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02275C3B" w14:textId="22D13604" w:rsidR="00AA39E5" w:rsidRPr="00B27F56" w:rsidRDefault="00AA39E5" w:rsidP="00AA39E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5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5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6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Наймодателю не позднее 3-х календарных дней с момента получения фотографии квитанций от Наймодателя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Наймодателю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Наймодатель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Наймодатель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Наймодателю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Наймодатель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Наймодателю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клининга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Наймодателя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20D533D0" w14:textId="6DC662C4" w:rsidR="009A1C1F" w:rsidRPr="009A1C1F" w:rsidRDefault="009A1C1F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согласовали, что в случае одностороннего отказа Нанимателя от исполнения Договора найма в пользу Наймодателя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депозита.</w:t>
      </w:r>
    </w:p>
    <w:p w14:paraId="083CA134" w14:textId="2E317A92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трахового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Н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аймодатель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контактных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средств Страхового депозита Наймодателем,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B08C722" w14:textId="65E91DCA" w:rsidR="00B117B2" w:rsidRPr="00287205" w:rsidRDefault="00684674" w:rsidP="00B117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705511FE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33225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Наймодателя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769AF59B" w14:textId="689AAED1" w:rsidR="00996406" w:rsidRPr="00B117B2" w:rsidRDefault="00996406" w:rsidP="00996406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Наниматель, желающий пролонгировать действие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обязан уведомить Наймодателя в письменной форме не менее чем за 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30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="00211CE8" w:rsidRPr="00B117B2">
        <w:rPr>
          <w:rFonts w:ascii="Times New Roman" w:hAnsi="Times New Roman"/>
          <w:sz w:val="20"/>
          <w:szCs w:val="20"/>
          <w:lang w:val="ru-RU"/>
        </w:rPr>
        <w:t xml:space="preserve"> календарных дней до истечения срока действия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510E64">
        <w:rPr>
          <w:rFonts w:ascii="Times New Roman" w:hAnsi="Times New Roman"/>
          <w:sz w:val="20"/>
          <w:szCs w:val="20"/>
          <w:lang w:val="ru-RU"/>
        </w:rPr>
        <w:t>Возможные варианты уведомлений перечислены в п. 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510E64">
        <w:rPr>
          <w:rFonts w:ascii="Times New Roman" w:hAnsi="Times New Roman"/>
          <w:sz w:val="20"/>
          <w:szCs w:val="20"/>
          <w:lang w:val="ru-RU"/>
        </w:rPr>
        <w:t xml:space="preserve">.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При получении настоящего уведомления </w:t>
      </w:r>
      <w:r w:rsidR="00510E64">
        <w:rPr>
          <w:rFonts w:ascii="Times New Roman" w:hAnsi="Times New Roman"/>
          <w:sz w:val="20"/>
          <w:szCs w:val="20"/>
          <w:lang w:val="ru-RU"/>
        </w:rPr>
        <w:t>Договор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считается продленным, на условиях, действующих в момент окончания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963B0B" w:rsidRPr="00B117B2">
        <w:rPr>
          <w:rFonts w:ascii="Times New Roman" w:hAnsi="Times New Roman"/>
          <w:sz w:val="20"/>
          <w:szCs w:val="20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Наймодателя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При выселении Наниматель обязан обеспечить полный клининг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клиниг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7" w:name="Par194"/>
      <w:bookmarkEnd w:id="17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.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Наймодатель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8" w:name="Par197"/>
      <w:bookmarkStart w:id="19" w:name="Par198"/>
      <w:bookmarkEnd w:id="18"/>
      <w:bookmarkEnd w:id="19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найм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2436E67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0" w:name="Par226"/>
      <w:bookmarkEnd w:id="20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Наймодателем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Наймодателя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ведома Нанимателя с согласия или без согласия Наймодателя, а также животных.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Наймодателя,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Наймодатель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Верх-Исетстком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//(Указать удобный для Наймодателя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lastRenderedPageBreak/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согласованный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</w:p>
    <w:p w14:paraId="4570E455" w14:textId="481641FD" w:rsidR="00BB52AE" w:rsidRPr="00287205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Наймодатель: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 xml:space="preserve">Отделением УФМС России по  </w:t>
      </w:r>
      <w:r w:rsidRPr="007868E1">
        <w:rPr>
          <w:rFonts w:ascii="Times New Roman" w:hAnsi="Times New Roman" w:cs="Times New Roman"/>
        </w:rPr>
        <w:t xml:space="preserve">,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«Наймодатель», и</w:t>
      </w:r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Свердловской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 ,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Наймодатель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(ов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Сторонами, при подписании настоящего акта произведена фотофиксация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Эл.-энергия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1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  <w:t>возврата </w:t>
      </w:r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г. Екатеринбург</w:t>
            </w:r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  , дата выдачи: 11.11.2011г., код подразделения 666-000, зарегистрирован(а): 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«Наймодатель», и</w:t>
      </w:r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Свердловской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по ,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080ec722ac7945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Наймодатель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3" w:name="_ref_1-d54d6b1656b44d"/>
      <w:bookmarkEnd w:id="23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Наймодателю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4" w:name="_ref_1-e67ed8bb379e48"/>
            <w:bookmarkStart w:id="25" w:name="_ref_1-35f4485007b843"/>
            <w:bookmarkEnd w:id="24"/>
            <w:bookmarkEnd w:id="25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Stinol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(Трёхкамерный)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Elenberg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«Еврокнижка» корич.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«Книжка» светлокорич.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sz w:val="20"/>
          <w:szCs w:val="20"/>
          <w:lang w:eastAsia="ru-RU"/>
        </w:rPr>
        <w:t>осмотр имущества;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Наймодателю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4807050b2dce4d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- Имущество осмотрено и проверено Наймодателем.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 В противном случае его следует удалить, а последующую нумерацию пунктов изменить.)</w:t>
      </w:r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7" w:name="_ref_1-79d3a21810024f"/>
      <w:bookmarkEnd w:id="27"/>
      <w:r w:rsidRPr="007868E1">
        <w:rPr>
          <w:rFonts w:ascii="Times New Roman" w:hAnsi="Times New Roman"/>
          <w:i/>
          <w:sz w:val="20"/>
          <w:szCs w:val="20"/>
          <w:lang w:eastAsia="ru-RU"/>
        </w:rPr>
        <w:t>(выбрать нужное)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Наймодатель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Нанимательа, понесенные на устранение этих недостатков.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 возмещаются в сумме, подтвержденной предоставленными Наймодателем документами.</w:t>
      </w:r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(иное)                                                                  .</w:t>
      </w:r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8" w:name="_ref_1-9d936311240447"/>
      <w:bookmarkEnd w:id="28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9" w:name="_ref_1-ae147a7aae7d43"/>
      <w:bookmarkEnd w:id="29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Наймодатель: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61172" w14:textId="77777777" w:rsidR="00EE50FF" w:rsidRDefault="00EE50FF" w:rsidP="00641419">
      <w:r>
        <w:separator/>
      </w:r>
    </w:p>
  </w:endnote>
  <w:endnote w:type="continuationSeparator" w:id="0">
    <w:p w14:paraId="6D325187" w14:textId="77777777" w:rsidR="00EE50FF" w:rsidRDefault="00EE50FF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ru-RU"/>
      </w:rPr>
      <w:t xml:space="preserve">Наймодатель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E1B4F" w:rsidRPr="00DE1B4F">
      <w:rPr>
        <w:rFonts w:asciiTheme="majorHAnsi" w:eastAsiaTheme="majorEastAsia" w:hAnsiTheme="majorHAnsi" w:cstheme="majorBidi"/>
        <w:noProof/>
        <w:lang w:val="ru-RU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84B1F" w14:textId="77777777" w:rsidR="00EE50FF" w:rsidRDefault="00EE50FF" w:rsidP="00641419">
      <w:r>
        <w:separator/>
      </w:r>
    </w:p>
  </w:footnote>
  <w:footnote w:type="continuationSeparator" w:id="0">
    <w:p w14:paraId="1A35DC28" w14:textId="77777777" w:rsidR="00EE50FF" w:rsidRDefault="00EE50FF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23300"/>
    <w:rsid w:val="000324AB"/>
    <w:rsid w:val="00034F76"/>
    <w:rsid w:val="00046068"/>
    <w:rsid w:val="00057289"/>
    <w:rsid w:val="000653E1"/>
    <w:rsid w:val="00066A62"/>
    <w:rsid w:val="00083ACC"/>
    <w:rsid w:val="00084A79"/>
    <w:rsid w:val="000866BA"/>
    <w:rsid w:val="00086979"/>
    <w:rsid w:val="000B4502"/>
    <w:rsid w:val="000C727F"/>
    <w:rsid w:val="000D02C2"/>
    <w:rsid w:val="000F1889"/>
    <w:rsid w:val="000F6307"/>
    <w:rsid w:val="00100193"/>
    <w:rsid w:val="00100B92"/>
    <w:rsid w:val="00105087"/>
    <w:rsid w:val="00107EB7"/>
    <w:rsid w:val="0016245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1E55"/>
    <w:rsid w:val="0027682D"/>
    <w:rsid w:val="00287205"/>
    <w:rsid w:val="002935DC"/>
    <w:rsid w:val="002D1B3B"/>
    <w:rsid w:val="002D6DDA"/>
    <w:rsid w:val="002E05CD"/>
    <w:rsid w:val="002E4DCE"/>
    <w:rsid w:val="00316FFF"/>
    <w:rsid w:val="0033225B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1673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2F76"/>
    <w:rsid w:val="00854A01"/>
    <w:rsid w:val="0088775D"/>
    <w:rsid w:val="008947E8"/>
    <w:rsid w:val="008B3DD2"/>
    <w:rsid w:val="008B5E5D"/>
    <w:rsid w:val="008E7C52"/>
    <w:rsid w:val="008F0A47"/>
    <w:rsid w:val="008F111A"/>
    <w:rsid w:val="00906065"/>
    <w:rsid w:val="00916146"/>
    <w:rsid w:val="00917E0D"/>
    <w:rsid w:val="00921F4C"/>
    <w:rsid w:val="009319E0"/>
    <w:rsid w:val="0094556F"/>
    <w:rsid w:val="00955F70"/>
    <w:rsid w:val="009577F1"/>
    <w:rsid w:val="00962DA5"/>
    <w:rsid w:val="00963B0B"/>
    <w:rsid w:val="00981AF3"/>
    <w:rsid w:val="00982FC0"/>
    <w:rsid w:val="00996406"/>
    <w:rsid w:val="009A1C1F"/>
    <w:rsid w:val="009A70E7"/>
    <w:rsid w:val="009A7926"/>
    <w:rsid w:val="009C6F8B"/>
    <w:rsid w:val="009D0A3A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40507"/>
    <w:rsid w:val="00B60A13"/>
    <w:rsid w:val="00B621D7"/>
    <w:rsid w:val="00B92CFF"/>
    <w:rsid w:val="00BB52AE"/>
    <w:rsid w:val="00BB73FF"/>
    <w:rsid w:val="00BC43E3"/>
    <w:rsid w:val="00BD08EC"/>
    <w:rsid w:val="00BD7998"/>
    <w:rsid w:val="00BF138C"/>
    <w:rsid w:val="00C01B26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E18C0"/>
    <w:rsid w:val="00DE1B4F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EE50FF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77E2-E64D-44A4-ADB6-CBFC1A43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4289</Words>
  <Characters>24448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2</cp:revision>
  <cp:lastPrinted>2022-03-24T10:09:00Z</cp:lastPrinted>
  <dcterms:created xsi:type="dcterms:W3CDTF">2023-05-18T13:52:00Z</dcterms:created>
  <dcterms:modified xsi:type="dcterms:W3CDTF">2023-05-18T13:52:00Z</dcterms:modified>
</cp:coreProperties>
</file>