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Plan Maestro de Pruebas</w:t>
      </w:r>
    </w:p>
    <w:p>
      <w:pPr>
        <w:spacing w:after="80"/>
        <w:jc w:val="center"/>
      </w:pPr>
      <w:r>
        <w:rPr>
          <w:b/>
          <w:bCs/>
          <w:sz w:val="24"/>
          <w:szCs w:val="24"/>
        </w:rPr>
        <w:t xml:space="preserve">P-QA-09</w:t>
      </w:r>
    </w:p>
    <w:p>
      <w:pPr>
        <w:spacing w:after="60"/>
        <w:jc w:val="center"/>
      </w:pPr>
      <w:r>
        <w:rPr>
          <w:sz w:val="26"/>
          <w:szCs w:val="26"/>
        </w:rPr>
        <w:t xml:space="preserve">Sistema de Gestión de Órdenes de Servicio Técnico — RocketService</w:t>
      </w:r>
    </w:p>
    <w:p>
      <w:pPr>
        <w:spacing w:after="60"/>
        <w:jc w:val="center"/>
      </w:pPr>
      <w:r>
        <w:rPr>
          <w:i/>
          <w:iCs/>
          <w:sz w:val="20"/>
          <w:szCs w:val="20"/>
        </w:rPr>
        <w:t xml:space="preserve">Código: P-QA-09 · Versión: 1.0 · Fecha: 06/08/2026</w:t>
      </w:r>
    </w:p>
    <w:p>
      <w:pPr>
        <w:spacing w:after="300"/>
        <w:jc w:val="center"/>
      </w:pPr>
      <w:r>
        <w:rPr>
          <w:i/>
          <w:iCs/>
          <w:sz w:val="18"/>
          <w:szCs w:val="18"/>
        </w:rPr>
        <w:t xml:space="preserve">Nota: los campos de nombre de empresa/entidad, personal asignado y fechas de calendario se dejaron genéricos o en blanco; ajústalos si este plan corresponde a un contexto institucional específico (por ejemplo, un programa formativo).</w:t>
      </w:r>
    </w:p>
    <w:p>
      <w:pPr>
        <w:pStyle w:val="Heading1"/>
        <w:spacing w:after="140" w:before="280"/>
      </w:pPr>
      <w:r>
        <w:t xml:space="preserve">1. Información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2F5496" w:val="clear"/>
          </w:tcPr>
          <w:p>
            <w:r>
              <w:rPr>
                <w:b/>
                <w:bCs/>
                <w:color w:val="FFFFFF"/>
              </w:rPr>
              <w:t xml:space="preserve">Campo</w:t>
            </w:r>
          </w:p>
        </w:tc>
        <w:tc>
          <w:tcPr>
            <w:tcW w:type="dxa" w:w="6226"/>
            <w:shd w:fill="2F5496" w:val="clear"/>
          </w:tcPr>
          <w:p>
            <w:r>
              <w:rPr>
                <w:b/>
                <w:bCs/>
                <w:color w:val="FFFFFF"/>
              </w:rPr>
              <w:t xml:space="preserve">Valor</w:t>
            </w:r>
          </w:p>
        </w:tc>
      </w:tr>
      <w:tr>
        <w:tc>
          <w:tcPr>
            <w:tcW w:type="dxa" w:w="2800"/>
          </w:tcPr>
          <w:p>
            <w:pPr>
              <w:spacing w:after="100"/>
            </w:pPr>
            <w:r>
              <w:t xml:space="preserve">Empresa / Entidad</w:t>
            </w:r>
          </w:p>
        </w:tc>
        <w:tc>
          <w:tcPr>
            <w:tcW w:type="dxa" w:w="6226"/>
          </w:tcPr>
          <w:p>
            <w:pPr>
              <w:spacing w:after="100"/>
            </w:pPr>
            <w:r>
              <w:t xml:space="preserve">RocketService</w:t>
            </w:r>
          </w:p>
        </w:tc>
      </w:tr>
      <w:tr>
        <w:tc>
          <w:tcPr>
            <w:tcW w:type="dxa" w:w="2800"/>
          </w:tcPr>
          <w:p>
            <w:pPr>
              <w:spacing w:after="100"/>
            </w:pPr>
            <w:r>
              <w:t xml:space="preserve">Proyecto</w:t>
            </w:r>
          </w:p>
        </w:tc>
        <w:tc>
          <w:tcPr>
            <w:tcW w:type="dxa" w:w="6226"/>
          </w:tcPr>
          <w:p>
            <w:pPr>
              <w:spacing w:after="100"/>
            </w:pPr>
            <w:r>
              <w:t xml:space="preserve">Sistema de Gestión de Órdenes de Servicio Técnico (SIGAT / RocketService)</w:t>
            </w:r>
          </w:p>
        </w:tc>
      </w:tr>
      <w:tr>
        <w:tc>
          <w:tcPr>
            <w:tcW w:type="dxa" w:w="2800"/>
          </w:tcPr>
          <w:p>
            <w:pPr>
              <w:spacing w:after="100"/>
            </w:pPr>
            <w:r>
              <w:t xml:space="preserve">Ciclo de pruebas</w:t>
            </w:r>
          </w:p>
        </w:tc>
        <w:tc>
          <w:tcPr>
            <w:tcW w:type="dxa" w:w="6226"/>
          </w:tcPr>
          <w:p>
            <w:pPr>
              <w:spacing w:after="100"/>
            </w:pPr>
            <w:r>
              <w:t xml:space="preserve">Ciclo de pruebas QA, transversal a los 9 sprints de desarrollo ya planeados (ver Épicas e Historias de Usuario v1.0)</w:t>
            </w:r>
          </w:p>
        </w:tc>
      </w:tr>
      <w:tr>
        <w:tc>
          <w:tcPr>
            <w:tcW w:type="dxa" w:w="2800"/>
          </w:tcPr>
          <w:p>
            <w:pPr>
              <w:spacing w:after="100"/>
            </w:pPr>
            <w:r>
              <w:t xml:space="preserve">Fecha de diligenciamiento</w:t>
            </w:r>
          </w:p>
        </w:tc>
        <w:tc>
          <w:tcPr>
            <w:tcW w:type="dxa" w:w="6226"/>
          </w:tcPr>
          <w:p>
            <w:pPr>
              <w:spacing w:after="100"/>
            </w:pPr>
            <w:r>
              <w:t xml:space="preserve">06/08/2026</w:t>
            </w:r>
          </w:p>
        </w:tc>
      </w:tr>
      <w:tr>
        <w:tc>
          <w:tcPr>
            <w:tcW w:type="dxa" w:w="2800"/>
          </w:tcPr>
          <w:p>
            <w:pPr>
              <w:spacing w:after="100"/>
            </w:pPr>
            <w:r>
              <w:t xml:space="preserve">Cliente / Product Owner</w:t>
            </w:r>
          </w:p>
        </w:tc>
        <w:tc>
          <w:tcPr>
            <w:tcW w:type="dxa" w:w="6226"/>
          </w:tcPr>
          <w:p>
            <w:pPr>
              <w:spacing w:after="100"/>
            </w:pPr>
            <w:r>
              <w:t xml:space="preserve">(a asignar)</w:t>
            </w:r>
          </w:p>
        </w:tc>
      </w:tr>
      <w:tr>
        <w:tc>
          <w:tcPr>
            <w:tcW w:type="dxa" w:w="2800"/>
          </w:tcPr>
          <w:p>
            <w:pPr>
              <w:spacing w:after="100"/>
            </w:pPr>
            <w:r>
              <w:t xml:space="preserve">Líder de Proyecto</w:t>
            </w:r>
          </w:p>
        </w:tc>
        <w:tc>
          <w:tcPr>
            <w:tcW w:type="dxa" w:w="6226"/>
          </w:tcPr>
          <w:p>
            <w:pPr>
              <w:spacing w:after="100"/>
            </w:pPr>
            <w:r>
              <w:t xml:space="preserve">(a asignar)</w:t>
            </w:r>
          </w:p>
        </w:tc>
      </w:tr>
      <w:tr>
        <w:tc>
          <w:tcPr>
            <w:tcW w:type="dxa" w:w="2800"/>
          </w:tcPr>
          <w:p>
            <w:pPr>
              <w:spacing w:after="100"/>
            </w:pPr>
            <w:r>
              <w:t xml:space="preserve">Líder de QA</w:t>
            </w:r>
          </w:p>
        </w:tc>
        <w:tc>
          <w:tcPr>
            <w:tcW w:type="dxa" w:w="6226"/>
          </w:tcPr>
          <w:p>
            <w:pPr>
              <w:spacing w:after="100"/>
            </w:pPr>
            <w:r>
              <w:t xml:space="preserve">(a asignar)</w:t>
            </w:r>
          </w:p>
        </w:tc>
      </w:tr>
    </w:tbl>
    <w:p>
      <w:pPr>
        <w:pStyle w:val="Heading1"/>
        <w:spacing w:after="140" w:before="280"/>
      </w:pPr>
      <w:r>
        <w:t xml:space="preserve">2. Aprobaciones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200"/>
        <w:gridCol w:w="1826"/>
      </w:tblGrid>
      <w:tr>
        <w:trPr>
          <w:tblHeader/>
        </w:trPr>
        <w:tc>
          <w:tcPr>
            <w:tcW w:type="dxa" w:w="2400"/>
            <w:shd w:fill="2F5496" w:val="clear"/>
          </w:tcPr>
          <w:p>
            <w:r>
              <w:rPr>
                <w:b/>
                <w:bCs/>
                <w:color w:val="FFFFFF"/>
              </w:rPr>
              <w:t xml:space="preserve">Nombre y Apellido</w:t>
            </w:r>
          </w:p>
        </w:tc>
        <w:tc>
          <w:tcPr>
            <w:tcW w:type="dxa" w:w="1800"/>
            <w:shd w:fill="2F5496" w:val="clear"/>
          </w:tcPr>
          <w:p>
            <w:r>
              <w:rPr>
                <w:b/>
                <w:bCs/>
                <w:color w:val="FFFFFF"/>
              </w:rPr>
              <w:t xml:space="preserve">Cargo</w:t>
            </w:r>
          </w:p>
        </w:tc>
        <w:tc>
          <w:tcPr>
            <w:tcW w:type="dxa" w:w="1800"/>
            <w:shd w:fill="2F5496" w:val="clear"/>
          </w:tcPr>
          <w:p>
            <w:r>
              <w:rPr>
                <w:b/>
                <w:bCs/>
                <w:color w:val="FFFFFF"/>
              </w:rPr>
              <w:t xml:space="preserve">Dependencia</w:t>
            </w:r>
          </w:p>
        </w:tc>
        <w:tc>
          <w:tcPr>
            <w:tcW w:type="dxa" w:w="1200"/>
            <w:shd w:fill="2F5496" w:val="clear"/>
          </w:tcPr>
          <w:p>
            <w:r>
              <w:rPr>
                <w:b/>
                <w:bCs/>
                <w:color w:val="FFFFFF"/>
              </w:rPr>
              <w:t xml:space="preserve">Fecha</w:t>
            </w:r>
          </w:p>
        </w:tc>
        <w:tc>
          <w:tcPr>
            <w:tcW w:type="dxa" w:w="1826"/>
            <w:shd w:fill="2F5496" w:val="clear"/>
          </w:tcPr>
          <w:p>
            <w:r>
              <w:rPr>
                <w:b/>
                <w:bCs/>
                <w:color w:val="FFFFFF"/>
              </w:rPr>
              <w:t xml:space="preserve">Firma</w:t>
            </w:r>
          </w:p>
        </w:tc>
      </w:tr>
      <w:tr>
        <w:tc>
          <w:tcPr>
            <w:tcW w:type="dxa" w:w="2400"/>
          </w:tcPr>
          <w:p>
            <w:pPr>
              <w:spacing w:after="100"/>
            </w:pPr>
            <w:r>
              <w:t xml:space="preserve"/>
            </w:r>
          </w:p>
        </w:tc>
        <w:tc>
          <w:tcPr>
            <w:tcW w:type="dxa" w:w="1800"/>
          </w:tcPr>
          <w:p>
            <w:pPr>
              <w:spacing w:after="100"/>
            </w:pPr>
            <w:r>
              <w:t xml:space="preserve">Product Owner</w:t>
            </w:r>
          </w:p>
        </w:tc>
        <w:tc>
          <w:tcPr>
            <w:tcW w:type="dxa" w:w="1800"/>
          </w:tcPr>
          <w:p>
            <w:pPr>
              <w:spacing w:after="100"/>
            </w:pPr>
            <w:r>
              <w:t xml:space="preserve">RocketService</w:t>
            </w:r>
          </w:p>
        </w:tc>
        <w:tc>
          <w:tcPr>
            <w:tcW w:type="dxa" w:w="1200"/>
          </w:tcPr>
          <w:p>
            <w:pPr>
              <w:spacing w:after="100"/>
            </w:pPr>
            <w:r>
              <w:t xml:space="preserve"/>
            </w:r>
          </w:p>
        </w:tc>
        <w:tc>
          <w:tcPr>
            <w:tcW w:type="dxa" w:w="1826"/>
          </w:tcPr>
          <w:p>
            <w:pPr>
              <w:spacing w:after="100"/>
            </w:pPr>
            <w:r>
              <w:t xml:space="preserve"/>
            </w:r>
          </w:p>
        </w:tc>
      </w:tr>
      <w:tr>
        <w:tc>
          <w:tcPr>
            <w:tcW w:type="dxa" w:w="2400"/>
          </w:tcPr>
          <w:p>
            <w:pPr>
              <w:spacing w:after="100"/>
            </w:pPr>
            <w:r>
              <w:t xml:space="preserve"/>
            </w:r>
          </w:p>
        </w:tc>
        <w:tc>
          <w:tcPr>
            <w:tcW w:type="dxa" w:w="1800"/>
          </w:tcPr>
          <w:p>
            <w:pPr>
              <w:spacing w:after="100"/>
            </w:pPr>
            <w:r>
              <w:t xml:space="preserve">Líder de QA</w:t>
            </w:r>
          </w:p>
        </w:tc>
        <w:tc>
          <w:tcPr>
            <w:tcW w:type="dxa" w:w="1800"/>
          </w:tcPr>
          <w:p>
            <w:pPr>
              <w:spacing w:after="100"/>
            </w:pPr>
            <w:r>
              <w:t xml:space="preserve">RocketService</w:t>
            </w:r>
          </w:p>
        </w:tc>
        <w:tc>
          <w:tcPr>
            <w:tcW w:type="dxa" w:w="1200"/>
          </w:tcPr>
          <w:p>
            <w:pPr>
              <w:spacing w:after="100"/>
            </w:pPr>
            <w:r>
              <w:t xml:space="preserve"/>
            </w:r>
          </w:p>
        </w:tc>
        <w:tc>
          <w:tcPr>
            <w:tcW w:type="dxa" w:w="1826"/>
          </w:tcPr>
          <w:p>
            <w:pPr>
              <w:spacing w:after="100"/>
            </w:pPr>
            <w:r>
              <w:t xml:space="preserve"/>
            </w:r>
          </w:p>
        </w:tc>
      </w:tr>
      <w:tr>
        <w:tc>
          <w:tcPr>
            <w:tcW w:type="dxa" w:w="2400"/>
          </w:tcPr>
          <w:p>
            <w:pPr>
              <w:spacing w:after="100"/>
            </w:pPr>
            <w:r>
              <w:t xml:space="preserve"/>
            </w:r>
          </w:p>
        </w:tc>
        <w:tc>
          <w:tcPr>
            <w:tcW w:type="dxa" w:w="1800"/>
          </w:tcPr>
          <w:p>
            <w:pPr>
              <w:spacing w:after="100"/>
            </w:pPr>
            <w:r>
              <w:t xml:space="preserve">Líder de Desarrollo</w:t>
            </w:r>
          </w:p>
        </w:tc>
        <w:tc>
          <w:tcPr>
            <w:tcW w:type="dxa" w:w="1800"/>
          </w:tcPr>
          <w:p>
            <w:pPr>
              <w:spacing w:after="100"/>
            </w:pPr>
            <w:r>
              <w:t xml:space="preserve">RocketService</w:t>
            </w:r>
          </w:p>
        </w:tc>
        <w:tc>
          <w:tcPr>
            <w:tcW w:type="dxa" w:w="1200"/>
          </w:tcPr>
          <w:p>
            <w:pPr>
              <w:spacing w:after="100"/>
            </w:pPr>
            <w:r>
              <w:t xml:space="preserve"/>
            </w:r>
          </w:p>
        </w:tc>
        <w:tc>
          <w:tcPr>
            <w:tcW w:type="dxa" w:w="1826"/>
          </w:tcPr>
          <w:p>
            <w:pPr>
              <w:spacing w:after="100"/>
            </w:pPr>
            <w:r>
              <w:t xml:space="preserve"/>
            </w:r>
          </w:p>
        </w:tc>
      </w:tr>
    </w:tbl>
    <w:p>
      <w:r>
        <w:br w:type="page"/>
      </w:r>
    </w:p>
    <w:p>
      <w:pPr>
        <w:pStyle w:val="Heading1"/>
        <w:spacing w:after="140" w:before="280"/>
      </w:pPr>
      <w:r>
        <w:t xml:space="preserve">3. Resumen ejecutivo</w:t>
      </w:r>
    </w:p>
    <w:p>
      <w:pPr>
        <w:spacing w:after="100"/>
      </w:pPr>
      <w:r>
        <w:t xml:space="preserve">El presente Plan Maestro de Pruebas establece el alcance, la estrategia, los recursos y el cronograma para la verificación del sistema RocketService, siguiendo los estándares de calidad ISO/IEC 25010 y las buenas prácticas del ISTQB, en línea con el Plan de Calidad ya elaborado para este proyecto.</w:t>
      </w:r>
    </w:p>
    <w:p>
      <w:pPr>
        <w:spacing w:after="100"/>
      </w:pPr>
      <w:r>
        <w:t xml:space="preserve">El sistema está documentado en 8 módulos (Usuarios, Repuestos, Historial, Motocicletas, Distribuidores, Entrada de Repuestos, Roles y Técnicos), con 39 Requisitos Funcionales, 8 Requisitos No Funcionales, 39 Casos de Uso Extendidos y 39 Historias de Usuario, distribuidas en 9 sprints estimados. Este plan cubre pruebas funcionales manuales sobre la interfaz web (React) y pruebas sobre la API REST (Node/Express, documentada parcialmente con Swagger), documentando los resultados a través de casos de prueba, una matriz de trazabilidad y un dashboard de calidad.</w:t>
      </w:r>
    </w:p>
    <w:p>
      <w:pPr>
        <w:spacing w:after="100"/>
      </w:pPr>
      <w:r>
        <w:t xml:space="preserve">A diferencia de un proyecto que inicia desde cero, RocketService ya cuenta con una base de código funcional; por lo tanto, este plan cubre tanto la verificación de las funcionalidades ya implementadas como de las que están documentadas pero aún pendientes de desarrollo (marcadas explícitamente en la sección 4.4).</w:t>
      </w:r>
    </w:p>
    <w:p>
      <w:pPr>
        <w:pStyle w:val="Heading1"/>
        <w:spacing w:after="140" w:before="280"/>
      </w:pPr>
      <w:r>
        <w:t xml:space="preserve">4. Alcance de las pruebas</w:t>
      </w:r>
    </w:p>
    <w:p>
      <w:pPr>
        <w:pStyle w:val="Heading2"/>
        <w:spacing w:after="140" w:before="280"/>
      </w:pPr>
      <w:r>
        <w:t xml:space="preserve">4.1 Elementos a probar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F5496" w:val="clear"/>
          </w:tcPr>
          <w:p>
            <w:r>
              <w:rPr>
                <w:b/>
                <w:bCs/>
                <w:color w:val="FFFFFF"/>
              </w:rPr>
              <w:t xml:space="preserve">Módulo</w:t>
            </w:r>
          </w:p>
        </w:tc>
        <w:tc>
          <w:tcPr>
            <w:tcW w:type="dxa" w:w="6426"/>
            <w:shd w:fill="2F5496" w:val="clear"/>
          </w:tcPr>
          <w:p>
            <w:r>
              <w:rPr>
                <w:b/>
                <w:bCs/>
                <w:color w:val="FFFFFF"/>
              </w:rPr>
              <w:t xml:space="preserve">Componentes / Funcionalidades</w:t>
            </w:r>
          </w:p>
        </w:tc>
      </w:tr>
      <w:tr>
        <w:tc>
          <w:tcPr>
            <w:tcW w:type="dxa" w:w="2600"/>
          </w:tcPr>
          <w:p>
            <w:pPr>
              <w:spacing w:after="100"/>
            </w:pPr>
            <w:r>
              <w:t xml:space="preserve">Usuarios (RF-M1)</w:t>
            </w:r>
          </w:p>
        </w:tc>
        <w:tc>
          <w:tcPr>
            <w:tcW w:type="dxa" w:w="6426"/>
          </w:tcPr>
          <w:p>
            <w:pPr>
              <w:spacing w:after="100"/>
            </w:pPr>
            <w:r>
              <w:t xml:space="preserve">Registro público y por personal interno, inicio y cierre de sesión, edición de perfil, consulta y eliminación de usuarios, carga masiva, asignación de roles (Cliente, Técnico, Recepcionista, Administrador, Súper Administrador).</w:t>
            </w:r>
          </w:p>
        </w:tc>
      </w:tr>
      <w:tr>
        <w:tc>
          <w:tcPr>
            <w:tcW w:type="dxa" w:w="2600"/>
          </w:tcPr>
          <w:p>
            <w:pPr>
              <w:spacing w:after="100"/>
            </w:pPr>
            <w:r>
              <w:t xml:space="preserve">Repuestos (RF-M2)</w:t>
            </w:r>
          </w:p>
        </w:tc>
        <w:tc>
          <w:tcPr>
            <w:tcW w:type="dxa" w:w="6426"/>
          </w:tcPr>
          <w:p>
            <w:pPr>
              <w:spacing w:after="100"/>
            </w:pPr>
            <w:r>
              <w:t xml:space="preserve">CRUD de repuestos del catálogo.</w:t>
            </w:r>
          </w:p>
        </w:tc>
      </w:tr>
      <w:tr>
        <w:tc>
          <w:tcPr>
            <w:tcW w:type="dxa" w:w="2600"/>
          </w:tcPr>
          <w:p>
            <w:pPr>
              <w:spacing w:after="100"/>
            </w:pPr>
            <w:r>
              <w:t xml:space="preserve">Historial (RF-M3)</w:t>
            </w:r>
          </w:p>
        </w:tc>
        <w:tc>
          <w:tcPr>
            <w:tcW w:type="dxa" w:w="6426"/>
          </w:tcPr>
          <w:p>
            <w:pPr>
              <w:spacing w:after="100"/>
            </w:pPr>
            <w:r>
              <w:t xml:space="preserve">Registro, consulta, modificación y eliminación de registros de historial (antes "órdenes de servicio"), asignación de técnico, generación de documentación.</w:t>
            </w:r>
          </w:p>
        </w:tc>
      </w:tr>
      <w:tr>
        <w:tc>
          <w:tcPr>
            <w:tcW w:type="dxa" w:w="2600"/>
          </w:tcPr>
          <w:p>
            <w:pPr>
              <w:spacing w:after="100"/>
            </w:pPr>
            <w:r>
              <w:t xml:space="preserve">Motocicletas (RF-M4)</w:t>
            </w:r>
          </w:p>
        </w:tc>
        <w:tc>
          <w:tcPr>
            <w:tcW w:type="dxa" w:w="6426"/>
          </w:tcPr>
          <w:p>
            <w:pPr>
              <w:spacing w:after="100"/>
            </w:pPr>
            <w:r>
              <w:t xml:space="preserve">CRUD de motocicletas asociadas a un cliente.</w:t>
            </w:r>
          </w:p>
        </w:tc>
      </w:tr>
      <w:tr>
        <w:tc>
          <w:tcPr>
            <w:tcW w:type="dxa" w:w="2600"/>
          </w:tcPr>
          <w:p>
            <w:pPr>
              <w:spacing w:after="100"/>
            </w:pPr>
            <w:r>
              <w:t xml:space="preserve">Distribuidores (RF-M5)</w:t>
            </w:r>
          </w:p>
        </w:tc>
        <w:tc>
          <w:tcPr>
            <w:tcW w:type="dxa" w:w="6426"/>
          </w:tcPr>
          <w:p>
            <w:pPr>
              <w:spacing w:after="100"/>
            </w:pPr>
            <w:r>
              <w:t xml:space="preserve">CRUD de distribuidores y gestión de repuestos por distribuidor.</w:t>
            </w:r>
          </w:p>
        </w:tc>
      </w:tr>
      <w:tr>
        <w:tc>
          <w:tcPr>
            <w:tcW w:type="dxa" w:w="2600"/>
          </w:tcPr>
          <w:p>
            <w:pPr>
              <w:spacing w:after="100"/>
            </w:pPr>
            <w:r>
              <w:t xml:space="preserve">Entrada de Repuestos (RF-M6)</w:t>
            </w:r>
          </w:p>
        </w:tc>
        <w:tc>
          <w:tcPr>
            <w:tcW w:type="dxa" w:w="6426"/>
          </w:tcPr>
          <w:p>
            <w:pPr>
              <w:spacing w:after="100"/>
            </w:pPr>
            <w:r>
              <w:t xml:space="preserve">CRUD de entradas de inventario y su efecto en el stock.</w:t>
            </w:r>
          </w:p>
        </w:tc>
      </w:tr>
      <w:tr>
        <w:tc>
          <w:tcPr>
            <w:tcW w:type="dxa" w:w="2600"/>
          </w:tcPr>
          <w:p>
            <w:pPr>
              <w:spacing w:after="100"/>
            </w:pPr>
            <w:r>
              <w:t xml:space="preserve">Roles (RF-M7)</w:t>
            </w:r>
          </w:p>
        </w:tc>
        <w:tc>
          <w:tcPr>
            <w:tcW w:type="dxa" w:w="6426"/>
          </w:tcPr>
          <w:p>
            <w:pPr>
              <w:spacing w:after="100"/>
            </w:pPr>
            <w:r>
              <w:t xml:space="preserve">CRUD de roles del sistema (exclusivo de Súper Administrador).</w:t>
            </w:r>
          </w:p>
        </w:tc>
      </w:tr>
      <w:tr>
        <w:tc>
          <w:tcPr>
            <w:tcW w:type="dxa" w:w="2600"/>
          </w:tcPr>
          <w:p>
            <w:pPr>
              <w:spacing w:after="100"/>
            </w:pPr>
            <w:r>
              <w:t xml:space="preserve">Técnicos (RF-M8)</w:t>
            </w:r>
          </w:p>
        </w:tc>
        <w:tc>
          <w:tcPr>
            <w:tcW w:type="dxa" w:w="6426"/>
          </w:tcPr>
          <w:p>
            <w:pPr>
              <w:spacing w:after="100"/>
            </w:pPr>
            <w:r>
              <w:t xml:space="preserve">Consulta, edición y eliminación de la ficha operativa de técnicos.</w:t>
            </w:r>
          </w:p>
        </w:tc>
      </w:tr>
    </w:tbl>
    <w:p>
      <w:pPr>
        <w:pStyle w:val="Heading2"/>
        <w:spacing w:after="140" w:before="280"/>
      </w:pPr>
      <w:r>
        <w:t xml:space="preserve">4.2 Nuevas funcionalidades a probar</w:t>
      </w:r>
    </w:p>
    <w:p>
      <w:pPr>
        <w:spacing w:after="60"/>
      </w:pPr>
      <w:r>
        <w:t xml:space="preserve">• Incorporación de los roles Súper Administrador y Recepcionista, y sus restricciones de creación de usuarios (RN-027 a RN-030).</w:t>
      </w:r>
    </w:p>
    <w:p>
      <w:pPr>
        <w:spacing w:after="60"/>
      </w:pPr>
      <w:r>
        <w:t xml:space="preserve">• RF-M1.9 — Registro de usuario por personal interno, incluida la creación automática de la ficha de técnico al asignar el rol Técnico.</w:t>
      </w:r>
    </w:p>
    <w:p>
      <w:pPr>
        <w:spacing w:after="60"/>
      </w:pPr>
      <w:r>
        <w:t xml:space="preserve">• RF-M3.6 — Generación de documentación de un registro de historial finalizado.</w:t>
      </w:r>
    </w:p>
    <w:p>
      <w:pPr>
        <w:spacing w:after="60"/>
      </w:pPr>
      <w:r>
        <w:t xml:space="preserve">• Restricción de edición del Recepcionista sobre el historial (solo datos administrativos, no diagnóstico técnico).</w:t>
      </w:r>
    </w:p>
    <w:p>
      <w:pPr>
        <w:spacing w:after="60"/>
      </w:pPr>
      <w:r>
        <w:t xml:space="preserve">• Matriz de permisos por rol revisada en todos los módulos (rutas *.js) a partir del análisis del código y del SQL real.</w:t>
      </w:r>
    </w:p>
    <w:p>
      <w:pPr>
        <w:pStyle w:val="Heading2"/>
        <w:spacing w:after="140" w:before="280"/>
      </w:pPr>
      <w:r>
        <w:t xml:space="preserve">4.3 Pruebas de regresión</w:t>
      </w:r>
    </w:p>
    <w:p>
      <w:pPr>
        <w:spacing w:after="60"/>
      </w:pPr>
      <w:r>
        <w:t xml:space="preserve">• Inicio y cierre de sesión para los cinco roles.</w:t>
      </w:r>
    </w:p>
    <w:p>
      <w:pPr>
        <w:spacing w:after="60"/>
      </w:pPr>
      <w:r>
        <w:t xml:space="preserve">• CRUD ya estable de Repuestos, Motocicletas y Distribuidores.</w:t>
      </w:r>
    </w:p>
    <w:p>
      <w:pPr>
        <w:spacing w:after="60"/>
      </w:pPr>
      <w:r>
        <w:t xml:space="preserve">• Navegación general del panel según el rol autenticado (Dashboard.js).</w:t>
      </w:r>
    </w:p>
    <w:p>
      <w:pPr>
        <w:spacing w:after="60"/>
      </w:pPr>
      <w:r>
        <w:t xml:space="preserve">• Disparadores de base de datos ya existentes: creación automática de ficha de técnico y actualización de stock al registrar una entrada de repuestos.</w:t>
      </w:r>
    </w:p>
    <w:p>
      <w:pPr>
        <w:pStyle w:val="Heading2"/>
        <w:spacing w:after="140" w:before="280"/>
      </w:pPr>
      <w:r>
        <w:t xml:space="preserve">4.4 Funcionalidades a NO probar en este ciclo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shd w:fill="2F5496" w:val="clear"/>
          </w:tcPr>
          <w:p>
            <w:r>
              <w:rPr>
                <w:b/>
                <w:bCs/>
                <w:color w:val="FFFFFF"/>
              </w:rPr>
              <w:t xml:space="preserve">Funcionalidad</w:t>
            </w:r>
          </w:p>
        </w:tc>
        <w:tc>
          <w:tcPr>
            <w:tcW w:type="dxa" w:w="3200"/>
            <w:shd w:fill="2F5496" w:val="clear"/>
          </w:tcPr>
          <w:p>
            <w:r>
              <w:rPr>
                <w:b/>
                <w:bCs/>
                <w:color w:val="FFFFFF"/>
              </w:rPr>
              <w:t xml:space="preserve">Razón</w:t>
            </w:r>
          </w:p>
        </w:tc>
        <w:tc>
          <w:tcPr>
            <w:tcW w:type="dxa" w:w="3026"/>
            <w:shd w:fill="2F5496" w:val="clear"/>
          </w:tcPr>
          <w:p>
            <w:r>
              <w:rPr>
                <w:b/>
                <w:bCs/>
                <w:color w:val="FFFFFF"/>
              </w:rPr>
              <w:t xml:space="preserve">Riesgo asumido</w:t>
            </w:r>
          </w:p>
        </w:tc>
      </w:tr>
      <w:tr>
        <w:tc>
          <w:tcPr>
            <w:tcW w:type="dxa" w:w="2800"/>
          </w:tcPr>
          <w:p>
            <w:pPr>
              <w:spacing w:after="100"/>
            </w:pPr>
            <w:r>
              <w:t xml:space="preserve">RF-M1.3 Recuperar contraseña</w:t>
            </w:r>
          </w:p>
        </w:tc>
        <w:tc>
          <w:tcPr>
            <w:tcW w:type="dxa" w:w="3200"/>
          </w:tcPr>
          <w:p>
            <w:pPr>
              <w:spacing w:after="100"/>
            </w:pPr>
            <w:r>
              <w:t xml:space="preserve">No implementada en backend ni frontend.</w:t>
            </w:r>
          </w:p>
        </w:tc>
        <w:tc>
          <w:tcPr>
            <w:tcW w:type="dxa" w:w="3026"/>
          </w:tcPr>
          <w:p>
            <w:pPr>
              <w:spacing w:after="100"/>
            </w:pPr>
            <w:r>
              <w:t xml:space="preserve">No se puede probar lo que no existe; queda pendiente para un sprint posterior.</w:t>
            </w:r>
          </w:p>
        </w:tc>
      </w:tr>
      <w:tr>
        <w:tc>
          <w:tcPr>
            <w:tcW w:type="dxa" w:w="2800"/>
          </w:tcPr>
          <w:p>
            <w:pPr>
              <w:spacing w:after="100"/>
            </w:pPr>
            <w:r>
              <w:t xml:space="preserve">RNF-003 Bloqueo por intentos fallidos</w:t>
            </w:r>
          </w:p>
        </w:tc>
        <w:tc>
          <w:tcPr>
            <w:tcW w:type="dxa" w:w="3200"/>
          </w:tcPr>
          <w:p>
            <w:pPr>
              <w:spacing w:after="100"/>
            </w:pPr>
            <w:r>
              <w:t xml:space="preserve">No implementado (sin conteo de intentos en auhtController.login).</w:t>
            </w:r>
          </w:p>
        </w:tc>
        <w:tc>
          <w:tcPr>
            <w:tcW w:type="dxa" w:w="3026"/>
          </w:tcPr>
          <w:p>
            <w:pPr>
              <w:spacing w:after="100"/>
            </w:pPr>
            <w:r>
              <w:t xml:space="preserve">El sistema queda expuesto a fuerza bruta hasta que se implemente.</w:t>
            </w:r>
          </w:p>
        </w:tc>
      </w:tr>
      <w:tr>
        <w:tc>
          <w:tcPr>
            <w:tcW w:type="dxa" w:w="2800"/>
          </w:tcPr>
          <w:p>
            <w:pPr>
              <w:spacing w:after="100"/>
            </w:pPr>
            <w:r>
              <w:t xml:space="preserve">RNF-006 Doble factor de autenticación</w:t>
            </w:r>
          </w:p>
        </w:tc>
        <w:tc>
          <w:tcPr>
            <w:tcW w:type="dxa" w:w="3200"/>
          </w:tcPr>
          <w:p>
            <w:pPr>
              <w:spacing w:after="100"/>
            </w:pPr>
            <w:r>
              <w:t xml:space="preserve">No implementado en authMiddleware.js.</w:t>
            </w:r>
          </w:p>
        </w:tc>
        <w:tc>
          <w:tcPr>
            <w:tcW w:type="dxa" w:w="3026"/>
          </w:tcPr>
          <w:p>
            <w:pPr>
              <w:spacing w:after="100"/>
            </w:pPr>
            <w:r>
              <w:t xml:space="preserve">Rutas administrativas críticas quedan protegidas solo por contraseña.</w:t>
            </w:r>
          </w:p>
        </w:tc>
      </w:tr>
      <w:tr>
        <w:tc>
          <w:tcPr>
            <w:tcW w:type="dxa" w:w="2800"/>
          </w:tcPr>
          <w:p>
            <w:pPr>
              <w:spacing w:after="100"/>
            </w:pPr>
            <w:r>
              <w:t xml:space="preserve">RNF-004 Cierre de sesión por inactividad</w:t>
            </w:r>
          </w:p>
        </w:tc>
        <w:tc>
          <w:tcPr>
            <w:tcW w:type="dxa" w:w="3200"/>
          </w:tcPr>
          <w:p>
            <w:pPr>
              <w:spacing w:after="100"/>
            </w:pPr>
            <w:r>
              <w:t xml:space="preserve">No implementado en el frontend.</w:t>
            </w:r>
          </w:p>
        </w:tc>
        <w:tc>
          <w:tcPr>
            <w:tcW w:type="dxa" w:w="3026"/>
          </w:tcPr>
          <w:p>
            <w:pPr>
              <w:spacing w:after="100"/>
            </w:pPr>
            <w:r>
              <w:t xml:space="preserve">Sesiones abiertas sin vigilancia no se cierran automáticamente.</w:t>
            </w:r>
          </w:p>
        </w:tc>
      </w:tr>
      <w:tr>
        <w:tc>
          <w:tcPr>
            <w:tcW w:type="dxa" w:w="2800"/>
          </w:tcPr>
          <w:p>
            <w:pPr>
              <w:spacing w:after="100"/>
            </w:pPr>
            <w:r>
              <w:t xml:space="preserve">RF-M3.6 Generación de documentación de historial</w:t>
            </w:r>
          </w:p>
        </w:tc>
        <w:tc>
          <w:tcPr>
            <w:tcW w:type="dxa" w:w="3200"/>
          </w:tcPr>
          <w:p>
            <w:pPr>
              <w:spacing w:after="100"/>
            </w:pPr>
            <w:r>
              <w:t xml:space="preserve">No implementada (no hay librería ni ruta de generación de PDF/documento).</w:t>
            </w:r>
          </w:p>
        </w:tc>
        <w:tc>
          <w:tcPr>
            <w:tcW w:type="dxa" w:w="3026"/>
          </w:tcPr>
          <w:p>
            <w:pPr>
              <w:spacing w:after="100"/>
            </w:pPr>
            <w:r>
              <w:t xml:space="preserve">Se prueba solo el criterio de aceptación de bloqueo (registro no finalizado) una vez exista una versión mínima.</w:t>
            </w:r>
          </w:p>
        </w:tc>
      </w:tr>
    </w:tbl>
    <w:p>
      <w:r>
        <w:br w:type="page"/>
      </w:r>
    </w:p>
    <w:p>
      <w:pPr>
        <w:pStyle w:val="Heading1"/>
        <w:spacing w:after="140" w:before="280"/>
      </w:pPr>
      <w:r>
        <w:t xml:space="preserve">5. Criterios de aceptación, suspensión y reanudación</w:t>
      </w:r>
    </w:p>
    <w:p>
      <w:pPr>
        <w:pStyle w:val="Heading2"/>
        <w:spacing w:after="140" w:before="280"/>
      </w:pPr>
      <w:r>
        <w:t xml:space="preserve">5.1 Criterios de entrada (para iniciar las pruebas)</w:t>
      </w:r>
    </w:p>
    <w:p>
      <w:pPr>
        <w:spacing w:after="80"/>
      </w:pPr>
      <w:r>
        <w:t xml:space="preserve">☐ El código fuente de las funcionalidades a probar está desplegado en el entorno de pruebas.</w:t>
      </w:r>
    </w:p>
    <w:p>
      <w:pPr>
        <w:spacing w:after="80"/>
      </w:pPr>
      <w:r>
        <w:t xml:space="preserve">☐ La base de datos de pruebas contiene datos representativos y conocidos para cada uno de los cinco roles (Cliente, Técnico, Recepcionista, Administrador, Súper Administrador).</w:t>
      </w:r>
    </w:p>
    <w:p>
      <w:pPr>
        <w:spacing w:after="80"/>
      </w:pPr>
      <w:r>
        <w:t xml:space="preserve">☐ El equipo de desarrollo ha completado las pruebas unitarias y de integración básicas.</w:t>
      </w:r>
    </w:p>
    <w:p>
      <w:pPr>
        <w:spacing w:after="80"/>
      </w:pPr>
      <w:r>
        <w:t xml:space="preserve">☐ Los casos de prueba (CP-xxx) han sido diseñados y aprobados por el Líder de QA, con base en los criterios de aceptación de cada RF.</w:t>
      </w:r>
    </w:p>
    <w:p>
      <w:pPr>
        <w:spacing w:after="80"/>
      </w:pPr>
      <w:r>
        <w:t xml:space="preserve">☐ La documentación de la API (Swagger, generada con swagger-autogen en /doc) está disponible y actualizada.</w:t>
      </w:r>
    </w:p>
    <w:p>
      <w:pPr>
        <w:pStyle w:val="Heading2"/>
        <w:spacing w:after="140" w:before="280"/>
      </w:pPr>
      <w:r>
        <w:t xml:space="preserve">5.2 Criterios de salida (para dar por finalizadas las pruebas)</w:t>
      </w:r>
    </w:p>
    <w:p>
      <w:pPr>
        <w:spacing w:after="80"/>
      </w:pPr>
      <w:r>
        <w:t xml:space="preserve">☐ Se ha ejecutado el 100% de los casos de prueba de prioridad ALTA.</w:t>
      </w:r>
    </w:p>
    <w:p>
      <w:pPr>
        <w:spacing w:after="80"/>
      </w:pPr>
      <w:r>
        <w:t xml:space="preserve">☐ Se ha ejecutado al menos el 80% de los casos de prueba de prioridad MEDIA.</w:t>
      </w:r>
    </w:p>
    <w:p>
      <w:pPr>
        <w:spacing w:after="80"/>
      </w:pPr>
      <w:r>
        <w:t xml:space="preserve">☐ No existen defectos de severidad CRÍTICA abiertos (ver clasificación en el Plan de Calidad, sección 6.1).</w:t>
      </w:r>
    </w:p>
    <w:p>
      <w:pPr>
        <w:spacing w:after="80"/>
      </w:pPr>
      <w:r>
        <w:t xml:space="preserve">☐ Menos del 10% de los casos de prueba ejecutados han fallado.</w:t>
      </w:r>
    </w:p>
    <w:p>
      <w:pPr>
        <w:spacing w:after="80"/>
      </w:pPr>
      <w:r>
        <w:t xml:space="preserve">☐ El Dashboard de Calidad ha sido elaborado y presentado.</w:t>
      </w:r>
    </w:p>
    <w:p>
      <w:pPr>
        <w:spacing w:after="80"/>
      </w:pPr>
      <w:r>
        <w:t xml:space="preserve">☐ Se ha generado el Informe Ejecutivo del ciclo de pruebas.</w:t>
      </w:r>
    </w:p>
    <w:p>
      <w:pPr>
        <w:pStyle w:val="Heading2"/>
        <w:spacing w:after="140" w:before="280"/>
      </w:pPr>
      <w:r>
        <w:t xml:space="preserve">5.3 Criterios de suspensión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2F5496" w:val="clear"/>
          </w:tcPr>
          <w:p>
            <w:r>
              <w:rPr>
                <w:b/>
                <w:bCs/>
                <w:color w:val="FFFFFF"/>
              </w:rPr>
              <w:t xml:space="preserve">Condición</w:t>
            </w:r>
          </w:p>
        </w:tc>
        <w:tc>
          <w:tcPr>
            <w:tcW w:type="dxa" w:w="6826"/>
            <w:shd w:fill="2F5496" w:val="clear"/>
          </w:tcPr>
          <w:p>
            <w:r>
              <w:rPr>
                <w:b/>
                <w:bCs/>
                <w:color w:val="FFFFFF"/>
              </w:rPr>
              <w:t xml:space="preserve">Descripción</w:t>
            </w:r>
          </w:p>
        </w:tc>
      </w:tr>
      <w:tr>
        <w:tc>
          <w:tcPr>
            <w:tcW w:type="dxa" w:w="2200"/>
          </w:tcPr>
          <w:p>
            <w:pPr>
              <w:spacing w:after="100"/>
            </w:pPr>
            <w:r>
              <w:t xml:space="preserve">Defecto bloqueante</w:t>
            </w:r>
          </w:p>
        </w:tc>
        <w:tc>
          <w:tcPr>
            <w:tcW w:type="dxa" w:w="6826"/>
          </w:tcPr>
          <w:p>
            <w:pPr>
              <w:spacing w:after="100"/>
            </w:pPr>
            <w:r>
              <w:t xml:space="preserve">Se encuentra un defecto que impide ejecutar un conjunto significativo de casos de prueba (por ejemplo, si el inicio de sesión deja de funcionar para algún rol).</w:t>
            </w:r>
          </w:p>
        </w:tc>
      </w:tr>
      <w:tr>
        <w:tc>
          <w:tcPr>
            <w:tcW w:type="dxa" w:w="2200"/>
          </w:tcPr>
          <w:p>
            <w:pPr>
              <w:spacing w:after="100"/>
            </w:pPr>
            <w:r>
              <w:t xml:space="preserve">Entorno inestable</w:t>
            </w:r>
          </w:p>
        </w:tc>
        <w:tc>
          <w:tcPr>
            <w:tcW w:type="dxa" w:w="6826"/>
          </w:tcPr>
          <w:p>
            <w:pPr>
              <w:spacing w:after="100"/>
            </w:pPr>
            <w:r>
              <w:t xml:space="preserve">El entorno de pruebas sufre caídas frecuentes o fallos que impiden la ejecución normal.</w:t>
            </w:r>
          </w:p>
        </w:tc>
      </w:tr>
      <w:tr>
        <w:tc>
          <w:tcPr>
            <w:tcW w:type="dxa" w:w="2200"/>
          </w:tcPr>
          <w:p>
            <w:pPr>
              <w:spacing w:after="100"/>
            </w:pPr>
            <w:r>
              <w:t xml:space="preserve">Falta de datos</w:t>
            </w:r>
          </w:p>
        </w:tc>
        <w:tc>
          <w:tcPr>
            <w:tcW w:type="dxa" w:w="6826"/>
          </w:tcPr>
          <w:p>
            <w:pPr>
              <w:spacing w:after="100"/>
            </w:pPr>
            <w:r>
              <w:t xml:space="preserve">No se dispone de los datos de prueba necesarios (por ejemplo, usuarios de algún rol, motos o repuestos de prueba) para continuar.</w:t>
            </w:r>
          </w:p>
        </w:tc>
      </w:tr>
    </w:tbl>
    <w:p>
      <w:pPr>
        <w:pStyle w:val="Heading2"/>
        <w:spacing w:after="140" w:before="280"/>
      </w:pPr>
      <w:r>
        <w:t xml:space="preserve">5.4 Criterios de reanudación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2F5496" w:val="clear"/>
          </w:tcPr>
          <w:p>
            <w:r>
              <w:rPr>
                <w:b/>
                <w:bCs/>
                <w:color w:val="FFFFFF"/>
              </w:rPr>
              <w:t xml:space="preserve">Condición</w:t>
            </w:r>
          </w:p>
        </w:tc>
        <w:tc>
          <w:tcPr>
            <w:tcW w:type="dxa" w:w="6826"/>
            <w:shd w:fill="2F5496" w:val="clear"/>
          </w:tcPr>
          <w:p>
            <w:r>
              <w:rPr>
                <w:b/>
                <w:bCs/>
                <w:color w:val="FFFFFF"/>
              </w:rPr>
              <w:t xml:space="preserve">Descripción</w:t>
            </w:r>
          </w:p>
        </w:tc>
      </w:tr>
      <w:tr>
        <w:tc>
          <w:tcPr>
            <w:tcW w:type="dxa" w:w="2200"/>
          </w:tcPr>
          <w:p>
            <w:pPr>
              <w:spacing w:after="100"/>
            </w:pPr>
            <w:r>
              <w:t xml:space="preserve">Defecto resuelto</w:t>
            </w:r>
          </w:p>
        </w:tc>
        <w:tc>
          <w:tcPr>
            <w:tcW w:type="dxa" w:w="6826"/>
          </w:tcPr>
          <w:p>
            <w:pPr>
              <w:spacing w:after="100"/>
            </w:pPr>
            <w:r>
              <w:t xml:space="preserve">El defecto bloqueante ha sido corregido y desplegado en el entorno de pruebas.</w:t>
            </w:r>
          </w:p>
        </w:tc>
      </w:tr>
      <w:tr>
        <w:tc>
          <w:tcPr>
            <w:tcW w:type="dxa" w:w="2200"/>
          </w:tcPr>
          <w:p>
            <w:pPr>
              <w:spacing w:after="100"/>
            </w:pPr>
            <w:r>
              <w:t xml:space="preserve">Entorno estabilizado</w:t>
            </w:r>
          </w:p>
        </w:tc>
        <w:tc>
          <w:tcPr>
            <w:tcW w:type="dxa" w:w="6826"/>
          </w:tcPr>
          <w:p>
            <w:pPr>
              <w:spacing w:after="100"/>
            </w:pPr>
            <w:r>
              <w:t xml:space="preserve">El entorno de pruebas ha sido restaurado y verificado.</w:t>
            </w:r>
          </w:p>
        </w:tc>
      </w:tr>
      <w:tr>
        <w:tc>
          <w:tcPr>
            <w:tcW w:type="dxa" w:w="2200"/>
          </w:tcPr>
          <w:p>
            <w:pPr>
              <w:spacing w:after="100"/>
            </w:pPr>
            <w:r>
              <w:t xml:space="preserve">Datos disponibles</w:t>
            </w:r>
          </w:p>
        </w:tc>
        <w:tc>
          <w:tcPr>
            <w:tcW w:type="dxa" w:w="6826"/>
          </w:tcPr>
          <w:p>
            <w:pPr>
              <w:spacing w:after="100"/>
            </w:pPr>
            <w:r>
              <w:t xml:space="preserve">Los datos de prueba necesarios han sido preparados y cargados.</w:t>
            </w:r>
          </w:p>
        </w:tc>
      </w:tr>
    </w:tbl>
    <w:p>
      <w:r>
        <w:br w:type="page"/>
      </w:r>
    </w:p>
    <w:p>
      <w:pPr>
        <w:pStyle w:val="Heading1"/>
        <w:spacing w:after="140" w:before="280"/>
      </w:pPr>
      <w:r>
        <w:t xml:space="preserve">6. Entregables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4926"/>
      </w:tblGrid>
      <w:tr>
        <w:trPr>
          <w:tblHeader/>
        </w:trPr>
        <w:tc>
          <w:tcPr>
            <w:tcW w:type="dxa" w:w="1300"/>
            <w:shd w:fill="2F5496" w:val="clear"/>
          </w:tcPr>
          <w:p>
            <w:r>
              <w:rPr>
                <w:b/>
                <w:bCs/>
                <w:color w:val="FFFFFF"/>
              </w:rPr>
              <w:t xml:space="preserve">Código</w:t>
            </w:r>
          </w:p>
        </w:tc>
        <w:tc>
          <w:tcPr>
            <w:tcW w:type="dxa" w:w="2800"/>
            <w:shd w:fill="2F5496" w:val="clear"/>
          </w:tcPr>
          <w:p>
            <w:r>
              <w:rPr>
                <w:b/>
                <w:bCs/>
                <w:color w:val="FFFFFF"/>
              </w:rPr>
              <w:t xml:space="preserve">Artefacto</w:t>
            </w:r>
          </w:p>
        </w:tc>
        <w:tc>
          <w:tcPr>
            <w:tcW w:type="dxa" w:w="4926"/>
            <w:shd w:fill="2F5496" w:val="clear"/>
          </w:tcPr>
          <w:p>
            <w:r>
              <w:rPr>
                <w:b/>
                <w:bCs/>
                <w:color w:val="FFFFFF"/>
              </w:rPr>
              <w:t xml:space="preserve">Descripción</w:t>
            </w:r>
          </w:p>
        </w:tc>
      </w:tr>
      <w:tr>
        <w:tc>
          <w:tcPr>
            <w:tcW w:type="dxa" w:w="1300"/>
          </w:tcPr>
          <w:p>
            <w:pPr>
              <w:spacing w:after="100"/>
            </w:pPr>
            <w:r>
              <w:t xml:space="preserve">QA-A08</w:t>
            </w:r>
          </w:p>
        </w:tc>
        <w:tc>
          <w:tcPr>
            <w:tcW w:type="dxa" w:w="2800"/>
          </w:tcPr>
          <w:p>
            <w:pPr>
              <w:spacing w:after="100"/>
            </w:pPr>
            <w:r>
              <w:t xml:space="preserve">Plan Maestro de Pruebas (P-QA-09)</w:t>
            </w:r>
          </w:p>
        </w:tc>
        <w:tc>
          <w:tcPr>
            <w:tcW w:type="dxa" w:w="4926"/>
          </w:tcPr>
          <w:p>
            <w:pPr>
              <w:spacing w:after="100"/>
            </w:pPr>
            <w:r>
              <w:t xml:space="preserve">Este documento.</w:t>
            </w:r>
          </w:p>
        </w:tc>
      </w:tr>
      <w:tr>
        <w:tc>
          <w:tcPr>
            <w:tcW w:type="dxa" w:w="1300"/>
          </w:tcPr>
          <w:p>
            <w:pPr>
              <w:spacing w:after="100"/>
            </w:pPr>
            <w:r>
              <w:t xml:space="preserve">QA-A09</w:t>
            </w:r>
          </w:p>
        </w:tc>
        <w:tc>
          <w:tcPr>
            <w:tcW w:type="dxa" w:w="2800"/>
          </w:tcPr>
          <w:p>
            <w:pPr>
              <w:spacing w:after="100"/>
            </w:pPr>
            <w:r>
              <w:t xml:space="preserve">Casos de Prueba (P-QA-10)</w:t>
            </w:r>
          </w:p>
        </w:tc>
        <w:tc>
          <w:tcPr>
            <w:tcW w:type="dxa" w:w="4926"/>
          </w:tcPr>
          <w:p>
            <w:pPr>
              <w:spacing w:after="100"/>
            </w:pPr>
            <w:r>
              <w:t xml:space="preserve">Conjunto de casos de prueba en formato Excel, numerados según la serie CP-xxx ya referenciada en los documentos de RF y CU.</w:t>
            </w:r>
          </w:p>
        </w:tc>
      </w:tr>
      <w:tr>
        <w:tc>
          <w:tcPr>
            <w:tcW w:type="dxa" w:w="1300"/>
          </w:tcPr>
          <w:p>
            <w:pPr>
              <w:spacing w:after="100"/>
            </w:pPr>
            <w:r>
              <w:t xml:space="preserve">QA-A10</w:t>
            </w:r>
          </w:p>
        </w:tc>
        <w:tc>
          <w:tcPr>
            <w:tcW w:type="dxa" w:w="2800"/>
          </w:tcPr>
          <w:p>
            <w:pPr>
              <w:spacing w:after="100"/>
            </w:pPr>
            <w:r>
              <w:t xml:space="preserve">Matriz de Trazabilidad (P-QA-11)</w:t>
            </w:r>
          </w:p>
        </w:tc>
        <w:tc>
          <w:tcPr>
            <w:tcW w:type="dxa" w:w="4926"/>
          </w:tcPr>
          <w:p>
            <w:pPr>
              <w:spacing w:after="100"/>
            </w:pPr>
            <w:r>
              <w:t xml:space="preserve">Relación entre RF, RNF, CU, HU y casos de prueba; se apoya en el Checklist de trazabilidad ya elaborado (hojas RF, RNF, CUE, HU).</w:t>
            </w:r>
          </w:p>
        </w:tc>
      </w:tr>
      <w:tr>
        <w:tc>
          <w:tcPr>
            <w:tcW w:type="dxa" w:w="1300"/>
          </w:tcPr>
          <w:p>
            <w:pPr>
              <w:spacing w:after="100"/>
            </w:pPr>
            <w:r>
              <w:t xml:space="preserve">QA-A11</w:t>
            </w:r>
          </w:p>
        </w:tc>
        <w:tc>
          <w:tcPr>
            <w:tcW w:type="dxa" w:w="2800"/>
          </w:tcPr>
          <w:p>
            <w:pPr>
              <w:spacing w:after="100"/>
            </w:pPr>
            <w:r>
              <w:t xml:space="preserve">Evidencias de ejecución</w:t>
            </w:r>
          </w:p>
        </w:tc>
        <w:tc>
          <w:tcPr>
            <w:tcW w:type="dxa" w:w="4926"/>
          </w:tcPr>
          <w:p>
            <w:pPr>
              <w:spacing w:after="100"/>
            </w:pPr>
            <w:r>
              <w:t xml:space="preserve">Capturas de pantalla, videos, logs por cada caso de prueba ejecutado.</w:t>
            </w:r>
          </w:p>
        </w:tc>
      </w:tr>
      <w:tr>
        <w:tc>
          <w:tcPr>
            <w:tcW w:type="dxa" w:w="1300"/>
          </w:tcPr>
          <w:p>
            <w:pPr>
              <w:spacing w:after="100"/>
            </w:pPr>
            <w:r>
              <w:t xml:space="preserve">QA-A12</w:t>
            </w:r>
          </w:p>
        </w:tc>
        <w:tc>
          <w:tcPr>
            <w:tcW w:type="dxa" w:w="2800"/>
          </w:tcPr>
          <w:p>
            <w:pPr>
              <w:spacing w:after="100"/>
            </w:pPr>
            <w:r>
              <w:t xml:space="preserve">Registro de Defectos (P-QA-12)</w:t>
            </w:r>
          </w:p>
        </w:tc>
        <w:tc>
          <w:tcPr>
            <w:tcW w:type="dxa" w:w="4926"/>
          </w:tcPr>
          <w:p>
            <w:pPr>
              <w:spacing w:after="100"/>
            </w:pPr>
            <w:r>
              <w:t xml:space="preserve">Reporte de defectos, siguiendo la clasificación de severidad definida en el Plan de Calidad (sección 6).</w:t>
            </w:r>
          </w:p>
        </w:tc>
      </w:tr>
      <w:tr>
        <w:tc>
          <w:tcPr>
            <w:tcW w:type="dxa" w:w="1300"/>
          </w:tcPr>
          <w:p>
            <w:pPr>
              <w:spacing w:after="100"/>
            </w:pPr>
            <w:r>
              <w:t xml:space="preserve">QA-A13</w:t>
            </w:r>
          </w:p>
        </w:tc>
        <w:tc>
          <w:tcPr>
            <w:tcW w:type="dxa" w:w="2800"/>
          </w:tcPr>
          <w:p>
            <w:pPr>
              <w:spacing w:after="100"/>
            </w:pPr>
            <w:r>
              <w:t xml:space="preserve">Dashboard de Calidad</w:t>
            </w:r>
          </w:p>
        </w:tc>
        <w:tc>
          <w:tcPr>
            <w:tcW w:type="dxa" w:w="4926"/>
          </w:tcPr>
          <w:p>
            <w:pPr>
              <w:spacing w:after="100"/>
            </w:pPr>
            <w:r>
              <w:t xml:space="preserve">Tablero con indicadores del ciclo (cobertura, tasa de aprobación, defectos por severidad).</w:t>
            </w:r>
          </w:p>
        </w:tc>
      </w:tr>
      <w:tr>
        <w:tc>
          <w:tcPr>
            <w:tcW w:type="dxa" w:w="1300"/>
          </w:tcPr>
          <w:p>
            <w:pPr>
              <w:spacing w:after="100"/>
            </w:pPr>
            <w:r>
              <w:t xml:space="preserve">QA-A14</w:t>
            </w:r>
          </w:p>
        </w:tc>
        <w:tc>
          <w:tcPr>
            <w:tcW w:type="dxa" w:w="2800"/>
          </w:tcPr>
          <w:p>
            <w:pPr>
              <w:spacing w:after="100"/>
            </w:pPr>
            <w:r>
              <w:t xml:space="preserve">Informe Ejecutivo (P-QA-15)</w:t>
            </w:r>
          </w:p>
        </w:tc>
        <w:tc>
          <w:tcPr>
            <w:tcW w:type="dxa" w:w="4926"/>
          </w:tcPr>
          <w:p>
            <w:pPr>
              <w:spacing w:after="100"/>
            </w:pPr>
            <w:r>
              <w:t xml:space="preserve">Resumen de resultados, riesgos residuales y recomendaciones para el Product Owner.</w:t>
            </w:r>
          </w:p>
        </w:tc>
      </w:tr>
    </w:tbl>
    <w:p>
      <w:r>
        <w:br w:type="page"/>
      </w:r>
    </w:p>
    <w:p>
      <w:pPr>
        <w:pStyle w:val="Heading1"/>
        <w:spacing w:after="140" w:before="280"/>
      </w:pPr>
      <w:r>
        <w:t xml:space="preserve">7. Recursos</w:t>
      </w:r>
    </w:p>
    <w:p>
      <w:pPr>
        <w:pStyle w:val="Heading2"/>
        <w:spacing w:after="140" w:before="280"/>
      </w:pPr>
      <w:r>
        <w:t xml:space="preserve">7.1 Requerimientos de entorno —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F5496" w:val="clear"/>
          </w:tcPr>
          <w:p>
            <w:r>
              <w:rPr>
                <w:b/>
                <w:bCs/>
                <w:color w:val="FFFFFF"/>
              </w:rPr>
              <w:t xml:space="preserve">Recurso</w:t>
            </w:r>
          </w:p>
        </w:tc>
        <w:tc>
          <w:tcPr>
            <w:tcW w:type="dxa" w:w="6426"/>
            <w:shd w:fill="2F5496" w:val="clear"/>
          </w:tcPr>
          <w:p>
            <w:r>
              <w:rPr>
                <w:b/>
                <w:bCs/>
                <w:color w:val="FFFFFF"/>
              </w:rPr>
              <w:t xml:space="preserve">Especificación</w:t>
            </w:r>
          </w:p>
        </w:tc>
      </w:tr>
      <w:tr>
        <w:tc>
          <w:tcPr>
            <w:tcW w:type="dxa" w:w="2600"/>
          </w:tcPr>
          <w:p>
            <w:pPr>
              <w:spacing w:after="100"/>
            </w:pPr>
            <w:r>
              <w:t xml:space="preserve">Servidor de pruebas</w:t>
            </w:r>
          </w:p>
        </w:tc>
        <w:tc>
          <w:tcPr>
            <w:tcW w:type="dxa" w:w="6426"/>
          </w:tcPr>
          <w:p>
            <w:pPr>
              <w:spacing w:after="100"/>
            </w:pPr>
            <w:r>
              <w:t xml:space="preserve">Máquina virtual o contenedor con el backend (Node/Express, puerto 3100) y la base de datos MySQL desplegados.</w:t>
            </w:r>
          </w:p>
        </w:tc>
      </w:tr>
      <w:tr>
        <w:tc>
          <w:tcPr>
            <w:tcW w:type="dxa" w:w="2600"/>
          </w:tcPr>
          <w:p>
            <w:pPr>
              <w:spacing w:after="100"/>
            </w:pPr>
            <w:r>
              <w:t xml:space="preserve">Equipos de testers</w:t>
            </w:r>
          </w:p>
        </w:tc>
        <w:tc>
          <w:tcPr>
            <w:tcW w:type="dxa" w:w="6426"/>
          </w:tcPr>
          <w:p>
            <w:pPr>
              <w:spacing w:after="100"/>
            </w:pPr>
            <w:r>
              <w:t xml:space="preserve">Computadores con capacidad para ejecutar navegadores, Postman y las herramientas de prueba.</w:t>
            </w:r>
          </w:p>
        </w:tc>
      </w:tr>
      <w:tr>
        <w:tc>
          <w:tcPr>
            <w:tcW w:type="dxa" w:w="2600"/>
          </w:tcPr>
          <w:p>
            <w:pPr>
              <w:spacing w:after="100"/>
            </w:pPr>
            <w:r>
              <w:t xml:space="preserve">Red</w:t>
            </w:r>
          </w:p>
        </w:tc>
        <w:tc>
          <w:tcPr>
            <w:tcW w:type="dxa" w:w="6426"/>
          </w:tcPr>
          <w:p>
            <w:pPr>
              <w:spacing w:after="100"/>
            </w:pPr>
            <w:r>
              <w:t xml:space="preserve">Conectividad a internet y acceso a la red donde esté desplegado el servidor de pruebas.</w:t>
            </w:r>
          </w:p>
        </w:tc>
      </w:tr>
    </w:tbl>
    <w:p>
      <w:pPr>
        <w:pStyle w:val="Heading2"/>
        <w:spacing w:after="140" w:before="280"/>
      </w:pPr>
      <w:r>
        <w:t xml:space="preserve">7.2 Requerimientos de entorno —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F5496" w:val="clear"/>
          </w:tcPr>
          <w:p>
            <w:r>
              <w:rPr>
                <w:b/>
                <w:bCs/>
                <w:color w:val="FFFFFF"/>
              </w:rPr>
              <w:t xml:space="preserve">Recurso</w:t>
            </w:r>
          </w:p>
        </w:tc>
        <w:tc>
          <w:tcPr>
            <w:tcW w:type="dxa" w:w="6426"/>
            <w:shd w:fill="2F5496" w:val="clear"/>
          </w:tcPr>
          <w:p>
            <w:r>
              <w:rPr>
                <w:b/>
                <w:bCs/>
                <w:color w:val="FFFFFF"/>
              </w:rPr>
              <w:t xml:space="preserve">Especificación</w:t>
            </w:r>
          </w:p>
        </w:tc>
      </w:tr>
      <w:tr>
        <w:tc>
          <w:tcPr>
            <w:tcW w:type="dxa" w:w="2600"/>
          </w:tcPr>
          <w:p>
            <w:pPr>
              <w:spacing w:after="100"/>
            </w:pPr>
            <w:r>
              <w:t xml:space="preserve">Sistema operativo</w:t>
            </w:r>
          </w:p>
        </w:tc>
        <w:tc>
          <w:tcPr>
            <w:tcW w:type="dxa" w:w="6426"/>
          </w:tcPr>
          <w:p>
            <w:pPr>
              <w:spacing w:after="100"/>
            </w:pPr>
            <w:r>
              <w:t xml:space="preserve">Windows, Linux o macOS (indiferente para pruebas web).</w:t>
            </w:r>
          </w:p>
        </w:tc>
      </w:tr>
      <w:tr>
        <w:tc>
          <w:tcPr>
            <w:tcW w:type="dxa" w:w="2600"/>
          </w:tcPr>
          <w:p>
            <w:pPr>
              <w:spacing w:after="100"/>
            </w:pPr>
            <w:r>
              <w:t xml:space="preserve">Navegadores</w:t>
            </w:r>
          </w:p>
        </w:tc>
        <w:tc>
          <w:tcPr>
            <w:tcW w:type="dxa" w:w="6426"/>
          </w:tcPr>
          <w:p>
            <w:pPr>
              <w:spacing w:after="100"/>
            </w:pPr>
            <w:r>
              <w:t xml:space="preserve">Google Chrome y Mozilla Firefox (últimas versiones).</w:t>
            </w:r>
          </w:p>
        </w:tc>
      </w:tr>
      <w:tr>
        <w:tc>
          <w:tcPr>
            <w:tcW w:type="dxa" w:w="2600"/>
          </w:tcPr>
          <w:p>
            <w:pPr>
              <w:spacing w:after="100"/>
            </w:pPr>
            <w:r>
              <w:t xml:space="preserve">Base de datos</w:t>
            </w:r>
          </w:p>
        </w:tc>
        <w:tc>
          <w:tcPr>
            <w:tcW w:type="dxa" w:w="6426"/>
          </w:tcPr>
          <w:p>
            <w:pPr>
              <w:spacing w:after="100"/>
            </w:pPr>
            <w:r>
              <w:t xml:space="preserve">MySQL (confirmado en el dump SQL del proyecto — sigat.sql).</w:t>
            </w:r>
          </w:p>
        </w:tc>
      </w:tr>
      <w:tr>
        <w:tc>
          <w:tcPr>
            <w:tcW w:type="dxa" w:w="2600"/>
          </w:tcPr>
          <w:p>
            <w:pPr>
              <w:spacing w:after="100"/>
            </w:pPr>
            <w:r>
              <w:t xml:space="preserve">Entorno de ejecución</w:t>
            </w:r>
          </w:p>
        </w:tc>
        <w:tc>
          <w:tcPr>
            <w:tcW w:type="dxa" w:w="6426"/>
          </w:tcPr>
          <w:p>
            <w:pPr>
              <w:spacing w:after="100"/>
            </w:pPr>
            <w:r>
              <w:t xml:space="preserve">Node.js / Express (backend) y React (frontend), según el código fuente ya revisado.</w:t>
            </w:r>
          </w:p>
        </w:tc>
      </w:tr>
    </w:tbl>
    <w:p>
      <w:pPr>
        <w:pStyle w:val="Heading2"/>
        <w:spacing w:after="140" w:before="280"/>
      </w:pPr>
      <w:r>
        <w:t xml:space="preserve">7.3 Herramientas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F5496" w:val="clear"/>
          </w:tcPr>
          <w:p>
            <w:r>
              <w:rPr>
                <w:b/>
                <w:bCs/>
                <w:color w:val="FFFFFF"/>
              </w:rPr>
              <w:t xml:space="preserve">Herramienta</w:t>
            </w:r>
          </w:p>
        </w:tc>
        <w:tc>
          <w:tcPr>
            <w:tcW w:type="dxa" w:w="6426"/>
            <w:shd w:fill="2F5496" w:val="clear"/>
          </w:tcPr>
          <w:p>
            <w:r>
              <w:rPr>
                <w:b/>
                <w:bCs/>
                <w:color w:val="FFFFFF"/>
              </w:rPr>
              <w:t xml:space="preserve">Función</w:t>
            </w:r>
          </w:p>
        </w:tc>
      </w:tr>
      <w:tr>
        <w:tc>
          <w:tcPr>
            <w:tcW w:type="dxa" w:w="2600"/>
          </w:tcPr>
          <w:p>
            <w:pPr>
              <w:spacing w:after="100"/>
            </w:pPr>
            <w:r>
              <w:t xml:space="preserve">Postman / Bruno</w:t>
            </w:r>
          </w:p>
        </w:tc>
        <w:tc>
          <w:tcPr>
            <w:tcW w:type="dxa" w:w="6426"/>
          </w:tcPr>
          <w:p>
            <w:pPr>
              <w:spacing w:after="100"/>
            </w:pPr>
            <w:r>
              <w:t xml:space="preserve">Pruebas de la API REST, apoyadas en la documentación Swagger ya generada (swagger.js / /doc).</w:t>
            </w:r>
          </w:p>
        </w:tc>
      </w:tr>
      <w:tr>
        <w:tc>
          <w:tcPr>
            <w:tcW w:type="dxa" w:w="2600"/>
          </w:tcPr>
          <w:p>
            <w:pPr>
              <w:spacing w:after="100"/>
            </w:pPr>
            <w:r>
              <w:t xml:space="preserve">Visual Studio Code</w:t>
            </w:r>
          </w:p>
        </w:tc>
        <w:tc>
          <w:tcPr>
            <w:tcW w:type="dxa" w:w="6426"/>
          </w:tcPr>
          <w:p>
            <w:pPr>
              <w:spacing w:after="100"/>
            </w:pPr>
            <w:r>
              <w:t xml:space="preserve">Edición de código y revisión de logs.</w:t>
            </w:r>
          </w:p>
        </w:tc>
      </w:tr>
      <w:tr>
        <w:tc>
          <w:tcPr>
            <w:tcW w:type="dxa" w:w="2600"/>
          </w:tcPr>
          <w:p>
            <w:pPr>
              <w:spacing w:after="100"/>
            </w:pPr>
            <w:r>
              <w:t xml:space="preserve">Git / GitHub</w:t>
            </w:r>
          </w:p>
        </w:tc>
        <w:tc>
          <w:tcPr>
            <w:tcW w:type="dxa" w:w="6426"/>
          </w:tcPr>
          <w:p>
            <w:pPr>
              <w:spacing w:after="100"/>
            </w:pPr>
            <w:r>
              <w:t xml:space="preserve">Control de versiones de los artefactos de prueba.</w:t>
            </w:r>
          </w:p>
        </w:tc>
      </w:tr>
      <w:tr>
        <w:tc>
          <w:tcPr>
            <w:tcW w:type="dxa" w:w="2600"/>
          </w:tcPr>
          <w:p>
            <w:pPr>
              <w:spacing w:after="100"/>
            </w:pPr>
            <w:r>
              <w:t xml:space="preserve">Microsoft Excel</w:t>
            </w:r>
          </w:p>
        </w:tc>
        <w:tc>
          <w:tcPr>
            <w:tcW w:type="dxa" w:w="6426"/>
          </w:tcPr>
          <w:p>
            <w:pPr>
              <w:spacing w:after="100"/>
            </w:pPr>
            <w:r>
              <w:t xml:space="preserve">Casos de prueba, matriz de trazabilidad y dashboard (mismo formato ya usado en el Checklist).</w:t>
            </w:r>
          </w:p>
        </w:tc>
      </w:tr>
      <w:tr>
        <w:tc>
          <w:tcPr>
            <w:tcW w:type="dxa" w:w="2600"/>
          </w:tcPr>
          <w:p>
            <w:pPr>
              <w:spacing w:after="100"/>
            </w:pPr>
            <w:r>
              <w:t xml:space="preserve">Draw.io / Mermaid</w:t>
            </w:r>
          </w:p>
        </w:tc>
        <w:tc>
          <w:tcPr>
            <w:tcW w:type="dxa" w:w="6426"/>
          </w:tcPr>
          <w:p>
            <w:pPr>
              <w:spacing w:after="100"/>
            </w:pPr>
            <w:r>
              <w:t xml:space="preserve">Diagramas de flujo o de arquitectura, si se requieren (opcional).</w:t>
            </w:r>
          </w:p>
        </w:tc>
      </w:tr>
    </w:tbl>
    <w:p>
      <w:pPr>
        <w:pStyle w:val="Heading2"/>
        <w:spacing w:after="140" w:before="280"/>
      </w:pPr>
      <w:r>
        <w:t xml:space="preserve">7.4 Personal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shd w:fill="2F5496" w:val="clear"/>
          </w:tcPr>
          <w:p>
            <w:r>
              <w:rPr>
                <w:b/>
                <w:bCs/>
                <w:color w:val="FFFFFF"/>
              </w:rPr>
              <w:t xml:space="preserve">Rol</w:t>
            </w:r>
          </w:p>
        </w:tc>
        <w:tc>
          <w:tcPr>
            <w:tcW w:type="dxa" w:w="4400"/>
            <w:shd w:fill="2F5496" w:val="clear"/>
          </w:tcPr>
          <w:p>
            <w:r>
              <w:rPr>
                <w:b/>
                <w:bCs/>
                <w:color w:val="FFFFFF"/>
              </w:rPr>
              <w:t xml:space="preserve">Responsabilidad</w:t>
            </w:r>
          </w:p>
        </w:tc>
        <w:tc>
          <w:tcPr>
            <w:tcW w:type="dxa" w:w="2426"/>
            <w:shd w:fill="2F5496" w:val="clear"/>
          </w:tcPr>
          <w:p>
            <w:r>
              <w:rPr>
                <w:b/>
                <w:bCs/>
                <w:color w:val="FFFFFF"/>
              </w:rPr>
              <w:t xml:space="preserve">Miembro asignado</w:t>
            </w:r>
          </w:p>
        </w:tc>
      </w:tr>
      <w:tr>
        <w:tc>
          <w:tcPr>
            <w:tcW w:type="dxa" w:w="2200"/>
          </w:tcPr>
          <w:p>
            <w:pPr>
              <w:spacing w:after="100"/>
            </w:pPr>
            <w:r>
              <w:t xml:space="preserve">Líder de QA</w:t>
            </w:r>
          </w:p>
        </w:tc>
        <w:tc>
          <w:tcPr>
            <w:tcW w:type="dxa" w:w="4400"/>
          </w:tcPr>
          <w:p>
            <w:pPr>
              <w:spacing w:after="100"/>
            </w:pPr>
            <w:r>
              <w:t xml:space="preserve">Coordinar el equipo de pruebas, revisar artefactos, reportar al Product Owner.</w:t>
            </w:r>
          </w:p>
        </w:tc>
        <w:tc>
          <w:tcPr>
            <w:tcW w:type="dxa" w:w="2426"/>
          </w:tcPr>
          <w:p>
            <w:pPr>
              <w:spacing w:after="100"/>
            </w:pPr>
            <w:r>
              <w:t xml:space="preserve">(a asignar)</w:t>
            </w:r>
          </w:p>
        </w:tc>
      </w:tr>
      <w:tr>
        <w:tc>
          <w:tcPr>
            <w:tcW w:type="dxa" w:w="2200"/>
          </w:tcPr>
          <w:p>
            <w:pPr>
              <w:spacing w:after="100"/>
            </w:pPr>
            <w:r>
              <w:t xml:space="preserve">Analista QA 1</w:t>
            </w:r>
          </w:p>
        </w:tc>
        <w:tc>
          <w:tcPr>
            <w:tcW w:type="dxa" w:w="4400"/>
          </w:tcPr>
          <w:p>
            <w:pPr>
              <w:spacing w:after="100"/>
            </w:pPr>
            <w:r>
              <w:t xml:space="preserve">Diseño de casos de prueba y pruebas funcionales (interfaz web).</w:t>
            </w:r>
          </w:p>
        </w:tc>
        <w:tc>
          <w:tcPr>
            <w:tcW w:type="dxa" w:w="2426"/>
          </w:tcPr>
          <w:p>
            <w:pPr>
              <w:spacing w:after="100"/>
            </w:pPr>
            <w:r>
              <w:t xml:space="preserve">(a asignar)</w:t>
            </w:r>
          </w:p>
        </w:tc>
      </w:tr>
      <w:tr>
        <w:tc>
          <w:tcPr>
            <w:tcW w:type="dxa" w:w="2200"/>
          </w:tcPr>
          <w:p>
            <w:pPr>
              <w:spacing w:after="100"/>
            </w:pPr>
            <w:r>
              <w:t xml:space="preserve">Analista QA 2</w:t>
            </w:r>
          </w:p>
        </w:tc>
        <w:tc>
          <w:tcPr>
            <w:tcW w:type="dxa" w:w="4400"/>
          </w:tcPr>
          <w:p>
            <w:pPr>
              <w:spacing w:after="100"/>
            </w:pPr>
            <w:r>
              <w:t xml:space="preserve">Diseño de casos de prueba y pruebas de API (backend/roles/permisos).</w:t>
            </w:r>
          </w:p>
        </w:tc>
        <w:tc>
          <w:tcPr>
            <w:tcW w:type="dxa" w:w="2426"/>
          </w:tcPr>
          <w:p>
            <w:pPr>
              <w:spacing w:after="100"/>
            </w:pPr>
            <w:r>
              <w:t xml:space="preserve">(a asignar)</w:t>
            </w:r>
          </w:p>
        </w:tc>
      </w:tr>
      <w:tr>
        <w:tc>
          <w:tcPr>
            <w:tcW w:type="dxa" w:w="2200"/>
          </w:tcPr>
          <w:p>
            <w:pPr>
              <w:spacing w:after="100"/>
            </w:pPr>
            <w:r>
              <w:t xml:space="preserve">Analista QA 3</w:t>
            </w:r>
          </w:p>
        </w:tc>
        <w:tc>
          <w:tcPr>
            <w:tcW w:type="dxa" w:w="4400"/>
          </w:tcPr>
          <w:p>
            <w:pPr>
              <w:spacing w:after="100"/>
            </w:pPr>
            <w:r>
              <w:t xml:space="preserve">Matriz de trazabilidad y Dashboard de Calidad.</w:t>
            </w:r>
          </w:p>
        </w:tc>
        <w:tc>
          <w:tcPr>
            <w:tcW w:type="dxa" w:w="2426"/>
          </w:tcPr>
          <w:p>
            <w:pPr>
              <w:spacing w:after="100"/>
            </w:pPr>
            <w:r>
              <w:t xml:space="preserve">(a asignar)</w:t>
            </w:r>
          </w:p>
        </w:tc>
      </w:tr>
    </w:tbl>
    <w:p>
      <w:pPr>
        <w:pStyle w:val="Heading2"/>
        <w:spacing w:after="140" w:before="280"/>
      </w:pPr>
      <w:r>
        <w:t xml:space="preserve">7.5 Entrenamiento</w:t>
      </w:r>
    </w:p>
    <w:p>
      <w:pPr>
        <w:spacing w:after="100"/>
      </w:pPr>
      <w:r>
        <w:t xml:space="preserve">No se requiere entrenamiento extenso, dado que el proyecto ya cuenta con documentación detallada (RF, RNF, CU, HU y Plan de Calidad). Se recomienda una sesión breve de repaso sobre la matriz de roles y permisos (Cliente, Técnico, Recepcionista, Administrador, Súper Administrador), ya que ha cambiado varias veces durante la documentación, y sobre el uso de Postman con la colección Swagger del proyecto.</w:t>
      </w:r>
    </w:p>
    <w:p>
      <w:r>
        <w:br w:type="page"/>
      </w:r>
    </w:p>
    <w:p>
      <w:pPr>
        <w:pStyle w:val="Heading1"/>
        <w:spacing w:after="140" w:before="280"/>
      </w:pPr>
      <w:r>
        <w:t xml:space="preserve">8. Planificación y organización</w:t>
      </w:r>
    </w:p>
    <w:p>
      <w:pPr>
        <w:pStyle w:val="Heading2"/>
        <w:spacing w:after="140" w:before="280"/>
      </w:pPr>
      <w:r>
        <w:t xml:space="preserve">8.1 Procedimientos para las pruebas</w:t>
      </w:r>
    </w:p>
    <w:p>
      <w:pPr>
        <w:spacing w:after="100"/>
      </w:pPr>
      <w:r>
        <w:t xml:space="preserve">El proceso de pruebas seguirá el siguiente flujo, basado en el estándar IEEE 829 y las buenas prácticas del ISTQB:</w:t>
      </w:r>
    </w:p>
    <w:p>
      <w:pPr>
        <w:spacing w:after="60"/>
      </w:pPr>
      <w:r>
        <w:t xml:space="preserve">• Planificación: definir el alcance y la estrategia (este Plan Maestro y el Plan de Calidad).</w:t>
      </w:r>
    </w:p>
    <w:p>
      <w:pPr>
        <w:spacing w:after="60"/>
      </w:pPr>
      <w:r>
        <w:t xml:space="preserve">• Diseño: crear los casos de prueba (CP-xxx) y la matriz de trazabilidad, a partir de los criterios de aceptación ya documentados en cada RF y CU.</w:t>
      </w:r>
    </w:p>
    <w:p>
      <w:pPr>
        <w:spacing w:after="60"/>
      </w:pPr>
      <w:r>
        <w:t xml:space="preserve">• Ejecución: realizar las pruebas funcionales, de API y de seguridad/roles, documentando resultados y defectos.</w:t>
      </w:r>
    </w:p>
    <w:p>
      <w:pPr>
        <w:spacing w:after="60"/>
      </w:pPr>
      <w:r>
        <w:t xml:space="preserve">• Evaluación: analizar los resultados, construir el Dashboard de Calidad y preparar el Informe Ejecutivo.</w:t>
      </w:r>
    </w:p>
    <w:p>
      <w:pPr>
        <w:pStyle w:val="Heading2"/>
        <w:spacing w:after="140" w:before="280"/>
      </w:pPr>
      <w:r>
        <w:t xml:space="preserve">8.2 Matriz de responsabilidades (RACI)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80"/>
        <w:gridCol w:w="1280"/>
        <w:gridCol w:w="1280"/>
        <w:gridCol w:w="1280"/>
        <w:gridCol w:w="1280"/>
      </w:tblGrid>
      <w:tr>
        <w:trPr>
          <w:tblHeader/>
        </w:trPr>
        <w:tc>
          <w:tcPr>
            <w:tcW w:type="dxa" w:w="2626"/>
            <w:shd w:fill="2F5496" w:val="clear"/>
          </w:tcPr>
          <w:p>
            <w:r>
              <w:rPr>
                <w:b/>
                <w:bCs/>
                <w:color w:val="FFFFFF"/>
              </w:rPr>
              <w:t xml:space="preserve">Actividad</w:t>
            </w:r>
          </w:p>
        </w:tc>
        <w:tc>
          <w:tcPr>
            <w:tcW w:type="dxa" w:w="1280"/>
            <w:shd w:fill="2F5496" w:val="clear"/>
          </w:tcPr>
          <w:p>
            <w:r>
              <w:rPr>
                <w:b/>
                <w:bCs/>
                <w:color w:val="FFFFFF"/>
              </w:rPr>
              <w:t xml:space="preserve">Líder QA</w:t>
            </w:r>
          </w:p>
        </w:tc>
        <w:tc>
          <w:tcPr>
            <w:tcW w:type="dxa" w:w="1280"/>
            <w:shd w:fill="2F5496" w:val="clear"/>
          </w:tcPr>
          <w:p>
            <w:r>
              <w:rPr>
                <w:b/>
                <w:bCs/>
                <w:color w:val="FFFFFF"/>
              </w:rPr>
              <w:t xml:space="preserve">Analista QA 1</w:t>
            </w:r>
          </w:p>
        </w:tc>
        <w:tc>
          <w:tcPr>
            <w:tcW w:type="dxa" w:w="1280"/>
            <w:shd w:fill="2F5496" w:val="clear"/>
          </w:tcPr>
          <w:p>
            <w:r>
              <w:rPr>
                <w:b/>
                <w:bCs/>
                <w:color w:val="FFFFFF"/>
              </w:rPr>
              <w:t xml:space="preserve">Analista QA 2</w:t>
            </w:r>
          </w:p>
        </w:tc>
        <w:tc>
          <w:tcPr>
            <w:tcW w:type="dxa" w:w="1280"/>
            <w:shd w:fill="2F5496" w:val="clear"/>
          </w:tcPr>
          <w:p>
            <w:r>
              <w:rPr>
                <w:b/>
                <w:bCs/>
                <w:color w:val="FFFFFF"/>
              </w:rPr>
              <w:t xml:space="preserve">Analista QA 3</w:t>
            </w:r>
          </w:p>
        </w:tc>
        <w:tc>
          <w:tcPr>
            <w:tcW w:type="dxa" w:w="1280"/>
            <w:shd w:fill="2F5496" w:val="clear"/>
          </w:tcPr>
          <w:p>
            <w:r>
              <w:rPr>
                <w:b/>
                <w:bCs/>
                <w:color w:val="FFFFFF"/>
              </w:rPr>
              <w:t xml:space="preserve">Product Owner</w:t>
            </w:r>
          </w:p>
        </w:tc>
      </w:tr>
      <w:tr>
        <w:tc>
          <w:tcPr>
            <w:tcW w:type="dxa" w:w="2626"/>
          </w:tcPr>
          <w:p>
            <w:pPr>
              <w:spacing w:after="100"/>
            </w:pPr>
            <w:r>
              <w:t xml:space="preserve">Plan Maestro de Pruebas</w:t>
            </w:r>
          </w:p>
        </w:tc>
        <w:tc>
          <w:tcPr>
            <w:tcW w:type="dxa" w:w="1280"/>
          </w:tcPr>
          <w:p>
            <w:pPr>
              <w:spacing w:after="100"/>
            </w:pPr>
            <w:r>
              <w:t xml:space="preserve">R / A</w:t>
            </w:r>
          </w:p>
        </w:tc>
        <w:tc>
          <w:tcPr>
            <w:tcW w:type="dxa" w:w="1280"/>
          </w:tcPr>
          <w:p>
            <w:pPr>
              <w:spacing w:after="100"/>
            </w:pPr>
            <w:r>
              <w:t xml:space="preserve">C</w:t>
            </w:r>
          </w:p>
        </w:tc>
        <w:tc>
          <w:tcPr>
            <w:tcW w:type="dxa" w:w="1280"/>
          </w:tcPr>
          <w:p>
            <w:pPr>
              <w:spacing w:after="100"/>
            </w:pPr>
            <w:r>
              <w:t xml:space="preserve">C</w:t>
            </w:r>
          </w:p>
        </w:tc>
        <w:tc>
          <w:tcPr>
            <w:tcW w:type="dxa" w:w="1280"/>
          </w:tcPr>
          <w:p>
            <w:pPr>
              <w:spacing w:after="100"/>
            </w:pPr>
            <w:r>
              <w:t xml:space="preserve">C</w:t>
            </w:r>
          </w:p>
        </w:tc>
        <w:tc>
          <w:tcPr>
            <w:tcW w:type="dxa" w:w="1280"/>
          </w:tcPr>
          <w:p>
            <w:pPr>
              <w:spacing w:after="100"/>
            </w:pPr>
            <w:r>
              <w:t xml:space="preserve">I</w:t>
            </w:r>
          </w:p>
        </w:tc>
      </w:tr>
      <w:tr>
        <w:tc>
          <w:tcPr>
            <w:tcW w:type="dxa" w:w="2626"/>
          </w:tcPr>
          <w:p>
            <w:pPr>
              <w:spacing w:after="100"/>
            </w:pPr>
            <w:r>
              <w:t xml:space="preserve">Casos de Prueba</w:t>
            </w:r>
          </w:p>
        </w:tc>
        <w:tc>
          <w:tcPr>
            <w:tcW w:type="dxa" w:w="1280"/>
          </w:tcPr>
          <w:p>
            <w:pPr>
              <w:spacing w:after="100"/>
            </w:pPr>
            <w:r>
              <w:t xml:space="preserve">R</w:t>
            </w:r>
          </w:p>
        </w:tc>
        <w:tc>
          <w:tcPr>
            <w:tcW w:type="dxa" w:w="1280"/>
          </w:tcPr>
          <w:p>
            <w:pPr>
              <w:spacing w:after="100"/>
            </w:pPr>
            <w:r>
              <w:t xml:space="preserve">R</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I</w:t>
            </w:r>
          </w:p>
        </w:tc>
      </w:tr>
      <w:tr>
        <w:tc>
          <w:tcPr>
            <w:tcW w:type="dxa" w:w="2626"/>
          </w:tcPr>
          <w:p>
            <w:pPr>
              <w:spacing w:after="100"/>
            </w:pPr>
            <w:r>
              <w:t xml:space="preserve">Matriz de Trazabilidad</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C</w:t>
            </w:r>
          </w:p>
        </w:tc>
        <w:tc>
          <w:tcPr>
            <w:tcW w:type="dxa" w:w="1280"/>
          </w:tcPr>
          <w:p>
            <w:pPr>
              <w:spacing w:after="100"/>
            </w:pPr>
            <w:r>
              <w:t xml:space="preserve">R</w:t>
            </w:r>
          </w:p>
        </w:tc>
        <w:tc>
          <w:tcPr>
            <w:tcW w:type="dxa" w:w="1280"/>
          </w:tcPr>
          <w:p>
            <w:pPr>
              <w:spacing w:after="100"/>
            </w:pPr>
            <w:r>
              <w:t xml:space="preserve">I</w:t>
            </w:r>
          </w:p>
        </w:tc>
      </w:tr>
      <w:tr>
        <w:tc>
          <w:tcPr>
            <w:tcW w:type="dxa" w:w="2626"/>
          </w:tcPr>
          <w:p>
            <w:pPr>
              <w:spacing w:after="100"/>
            </w:pPr>
            <w:r>
              <w:t xml:space="preserve">Pruebas Funcionales (web)</w:t>
            </w:r>
          </w:p>
        </w:tc>
        <w:tc>
          <w:tcPr>
            <w:tcW w:type="dxa" w:w="1280"/>
          </w:tcPr>
          <w:p>
            <w:pPr>
              <w:spacing w:after="100"/>
            </w:pPr>
            <w:r>
              <w:t xml:space="preserve">R</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C</w:t>
            </w:r>
          </w:p>
        </w:tc>
        <w:tc>
          <w:tcPr>
            <w:tcW w:type="dxa" w:w="1280"/>
          </w:tcPr>
          <w:p>
            <w:pPr>
              <w:spacing w:after="100"/>
            </w:pPr>
            <w:r>
              <w:t xml:space="preserve">I</w:t>
            </w:r>
          </w:p>
        </w:tc>
      </w:tr>
      <w:tr>
        <w:tc>
          <w:tcPr>
            <w:tcW w:type="dxa" w:w="2626"/>
          </w:tcPr>
          <w:p>
            <w:pPr>
              <w:spacing w:after="100"/>
            </w:pPr>
            <w:r>
              <w:t xml:space="preserve">Pruebas de API / permisos por rol</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I</w:t>
            </w:r>
          </w:p>
        </w:tc>
      </w:tr>
      <w:tr>
        <w:tc>
          <w:tcPr>
            <w:tcW w:type="dxa" w:w="2626"/>
          </w:tcPr>
          <w:p>
            <w:pPr>
              <w:spacing w:after="100"/>
            </w:pPr>
            <w:r>
              <w:t xml:space="preserve">Registro de Defectos</w:t>
            </w:r>
          </w:p>
        </w:tc>
        <w:tc>
          <w:tcPr>
            <w:tcW w:type="dxa" w:w="1280"/>
          </w:tcPr>
          <w:p>
            <w:pPr>
              <w:spacing w:after="100"/>
            </w:pPr>
            <w:r>
              <w:t xml:space="preserve">R</w:t>
            </w:r>
          </w:p>
        </w:tc>
        <w:tc>
          <w:tcPr>
            <w:tcW w:type="dxa" w:w="1280"/>
          </w:tcPr>
          <w:p>
            <w:pPr>
              <w:spacing w:after="100"/>
            </w:pPr>
            <w:r>
              <w:t xml:space="preserve">R</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I</w:t>
            </w:r>
          </w:p>
        </w:tc>
      </w:tr>
      <w:tr>
        <w:tc>
          <w:tcPr>
            <w:tcW w:type="dxa" w:w="2626"/>
          </w:tcPr>
          <w:p>
            <w:pPr>
              <w:spacing w:after="100"/>
            </w:pPr>
            <w:r>
              <w:t xml:space="preserve">Dashboard de Calidad</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C</w:t>
            </w:r>
          </w:p>
        </w:tc>
        <w:tc>
          <w:tcPr>
            <w:tcW w:type="dxa" w:w="1280"/>
          </w:tcPr>
          <w:p>
            <w:pPr>
              <w:spacing w:after="100"/>
            </w:pPr>
            <w:r>
              <w:t xml:space="preserve">R</w:t>
            </w:r>
          </w:p>
        </w:tc>
        <w:tc>
          <w:tcPr>
            <w:tcW w:type="dxa" w:w="1280"/>
          </w:tcPr>
          <w:p>
            <w:pPr>
              <w:spacing w:after="100"/>
            </w:pPr>
            <w:r>
              <w:t xml:space="preserve">I</w:t>
            </w:r>
          </w:p>
        </w:tc>
      </w:tr>
      <w:tr>
        <w:tc>
          <w:tcPr>
            <w:tcW w:type="dxa" w:w="2626"/>
          </w:tcPr>
          <w:p>
            <w:pPr>
              <w:spacing w:after="100"/>
            </w:pPr>
            <w:r>
              <w:t xml:space="preserve">Informe Ejecutivo</w:t>
            </w:r>
          </w:p>
        </w:tc>
        <w:tc>
          <w:tcPr>
            <w:tcW w:type="dxa" w:w="1280"/>
          </w:tcPr>
          <w:p>
            <w:pPr>
              <w:spacing w:after="100"/>
            </w:pPr>
            <w:r>
              <w:t xml:space="preserve">R</w:t>
            </w:r>
          </w:p>
        </w:tc>
        <w:tc>
          <w:tcPr>
            <w:tcW w:type="dxa" w:w="1280"/>
          </w:tcPr>
          <w:p>
            <w:pPr>
              <w:spacing w:after="100"/>
            </w:pPr>
            <w:r>
              <w:t xml:space="preserve">C</w:t>
            </w:r>
          </w:p>
        </w:tc>
        <w:tc>
          <w:tcPr>
            <w:tcW w:type="dxa" w:w="1280"/>
          </w:tcPr>
          <w:p>
            <w:pPr>
              <w:spacing w:after="100"/>
            </w:pPr>
            <w:r>
              <w:t xml:space="preserve">C</w:t>
            </w:r>
          </w:p>
        </w:tc>
        <w:tc>
          <w:tcPr>
            <w:tcW w:type="dxa" w:w="1280"/>
          </w:tcPr>
          <w:p>
            <w:pPr>
              <w:spacing w:after="100"/>
            </w:pPr>
            <w:r>
              <w:t xml:space="preserve">C</w:t>
            </w:r>
          </w:p>
        </w:tc>
        <w:tc>
          <w:tcPr>
            <w:tcW w:type="dxa" w:w="1280"/>
          </w:tcPr>
          <w:p>
            <w:pPr>
              <w:spacing w:after="100"/>
            </w:pPr>
            <w:r>
              <w:t xml:space="preserve">A</w:t>
            </w:r>
          </w:p>
        </w:tc>
      </w:tr>
    </w:tbl>
    <w:p>
      <w:pPr>
        <w:spacing w:after="100"/>
      </w:pPr>
      <w:r>
        <w:rPr>
          <w:i/>
          <w:iCs/>
        </w:rPr>
        <w:t xml:space="preserve">R = Responsable, A = Aprobador, C = Consultado, I = Informado.</w:t>
      </w:r>
    </w:p>
    <w:p>
      <w:pPr>
        <w:pStyle w:val="Heading2"/>
        <w:spacing w:after="140" w:before="280"/>
      </w:pPr>
      <w:r>
        <w:t xml:space="preserve">8.3 Cronograma del ciclo de pruebas</w:t>
      </w:r>
    </w:p>
    <w:p>
      <w:pPr>
        <w:spacing w:after="100"/>
      </w:pPr>
      <w:r>
        <w:t xml:space="preserve">Este cronograma se expresa en semanas relativas al inicio del ciclo de pruebas, alineado con los 9 sprints ya estimados en el documento de Épicas e Historias de Usuario; las fechas de calendario exactas quedan a definir por el equipo.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shd w:fill="2F5496" w:val="clear"/>
          </w:tcPr>
          <w:p>
            <w:r>
              <w:rPr>
                <w:b/>
                <w:bCs/>
                <w:color w:val="FFFFFF"/>
              </w:rPr>
              <w:t xml:space="preserve">Fase / Actividad</w:t>
            </w:r>
          </w:p>
        </w:tc>
        <w:tc>
          <w:tcPr>
            <w:tcW w:type="dxa" w:w="1800"/>
            <w:shd w:fill="2F5496" w:val="clear"/>
          </w:tcPr>
          <w:p>
            <w:r>
              <w:rPr>
                <w:b/>
                <w:bCs/>
                <w:color w:val="FFFFFF"/>
              </w:rPr>
              <w:t xml:space="preserve">Semana de inicio</w:t>
            </w:r>
          </w:p>
        </w:tc>
        <w:tc>
          <w:tcPr>
            <w:tcW w:type="dxa" w:w="1800"/>
            <w:shd w:fill="2F5496" w:val="clear"/>
          </w:tcPr>
          <w:p>
            <w:r>
              <w:rPr>
                <w:b/>
                <w:bCs/>
                <w:color w:val="FFFFFF"/>
              </w:rPr>
              <w:t xml:space="preserve">Semana de fin</w:t>
            </w:r>
          </w:p>
        </w:tc>
        <w:tc>
          <w:tcPr>
            <w:tcW w:type="dxa" w:w="1800"/>
            <w:shd w:fill="2F5496" w:val="clear"/>
          </w:tcPr>
          <w:p>
            <w:r>
              <w:rPr>
                <w:b/>
                <w:bCs/>
                <w:color w:val="FFFFFF"/>
              </w:rPr>
              <w:t xml:space="preserve">Responsable</w:t>
            </w:r>
          </w:p>
        </w:tc>
      </w:tr>
      <w:tr>
        <w:tc>
          <w:tcPr>
            <w:tcW w:type="dxa" w:w="3626"/>
          </w:tcPr>
          <w:p>
            <w:pPr>
              <w:spacing w:after="100"/>
            </w:pPr>
            <w:r>
              <w:t xml:space="preserve">Planeación de pruebas (este documento)</w:t>
            </w:r>
          </w:p>
        </w:tc>
        <w:tc>
          <w:tcPr>
            <w:tcW w:type="dxa" w:w="1800"/>
          </w:tcPr>
          <w:p>
            <w:pPr>
              <w:spacing w:after="100"/>
            </w:pPr>
            <w:r>
              <w:t xml:space="preserve">Semana 1</w:t>
            </w:r>
          </w:p>
        </w:tc>
        <w:tc>
          <w:tcPr>
            <w:tcW w:type="dxa" w:w="1800"/>
          </w:tcPr>
          <w:p>
            <w:pPr>
              <w:spacing w:after="100"/>
            </w:pPr>
            <w:r>
              <w:t xml:space="preserve">Semana 1</w:t>
            </w:r>
          </w:p>
        </w:tc>
        <w:tc>
          <w:tcPr>
            <w:tcW w:type="dxa" w:w="1800"/>
          </w:tcPr>
          <w:p>
            <w:pPr>
              <w:spacing w:after="100"/>
            </w:pPr>
            <w:r>
              <w:t xml:space="preserve">Líder de QA</w:t>
            </w:r>
          </w:p>
        </w:tc>
      </w:tr>
      <w:tr>
        <w:tc>
          <w:tcPr>
            <w:tcW w:type="dxa" w:w="3626"/>
          </w:tcPr>
          <w:p>
            <w:pPr>
              <w:spacing w:after="100"/>
            </w:pPr>
            <w:r>
              <w:t xml:space="preserve">Diseño de Casos de Prueba (CP-xxx)</w:t>
            </w:r>
          </w:p>
        </w:tc>
        <w:tc>
          <w:tcPr>
            <w:tcW w:type="dxa" w:w="1800"/>
          </w:tcPr>
          <w:p>
            <w:pPr>
              <w:spacing w:after="100"/>
            </w:pPr>
            <w:r>
              <w:t xml:space="preserve">Semana 1</w:t>
            </w:r>
          </w:p>
        </w:tc>
        <w:tc>
          <w:tcPr>
            <w:tcW w:type="dxa" w:w="1800"/>
          </w:tcPr>
          <w:p>
            <w:pPr>
              <w:spacing w:after="100"/>
            </w:pPr>
            <w:r>
              <w:t xml:space="preserve">Semana 2</w:t>
            </w:r>
          </w:p>
        </w:tc>
        <w:tc>
          <w:tcPr>
            <w:tcW w:type="dxa" w:w="1800"/>
          </w:tcPr>
          <w:p>
            <w:pPr>
              <w:spacing w:after="100"/>
            </w:pPr>
            <w:r>
              <w:t xml:space="preserve">Analista QA 1 y 2</w:t>
            </w:r>
          </w:p>
        </w:tc>
      </w:tr>
      <w:tr>
        <w:tc>
          <w:tcPr>
            <w:tcW w:type="dxa" w:w="3626"/>
          </w:tcPr>
          <w:p>
            <w:pPr>
              <w:spacing w:after="100"/>
            </w:pPr>
            <w:r>
              <w:t xml:space="preserve">Matriz de Trazabilidad</w:t>
            </w:r>
          </w:p>
        </w:tc>
        <w:tc>
          <w:tcPr>
            <w:tcW w:type="dxa" w:w="1800"/>
          </w:tcPr>
          <w:p>
            <w:pPr>
              <w:spacing w:after="100"/>
            </w:pPr>
            <w:r>
              <w:t xml:space="preserve">Semana 2</w:t>
            </w:r>
          </w:p>
        </w:tc>
        <w:tc>
          <w:tcPr>
            <w:tcW w:type="dxa" w:w="1800"/>
          </w:tcPr>
          <w:p>
            <w:pPr>
              <w:spacing w:after="100"/>
            </w:pPr>
            <w:r>
              <w:t xml:space="preserve">Semana 2</w:t>
            </w:r>
          </w:p>
        </w:tc>
        <w:tc>
          <w:tcPr>
            <w:tcW w:type="dxa" w:w="1800"/>
          </w:tcPr>
          <w:p>
            <w:pPr>
              <w:spacing w:after="100"/>
            </w:pPr>
            <w:r>
              <w:t xml:space="preserve">Analista QA 3</w:t>
            </w:r>
          </w:p>
        </w:tc>
      </w:tr>
      <w:tr>
        <w:tc>
          <w:tcPr>
            <w:tcW w:type="dxa" w:w="3626"/>
          </w:tcPr>
          <w:p>
            <w:pPr>
              <w:spacing w:after="100"/>
            </w:pPr>
            <w:r>
              <w:t xml:space="preserve">Ejecución de pruebas funcionales (por sprint, en paralelo a Sprints 1–9)</w:t>
            </w:r>
          </w:p>
        </w:tc>
        <w:tc>
          <w:tcPr>
            <w:tcW w:type="dxa" w:w="1800"/>
          </w:tcPr>
          <w:p>
            <w:pPr>
              <w:spacing w:after="100"/>
            </w:pPr>
            <w:r>
              <w:t xml:space="preserve">Semana 2</w:t>
            </w:r>
          </w:p>
        </w:tc>
        <w:tc>
          <w:tcPr>
            <w:tcW w:type="dxa" w:w="1800"/>
          </w:tcPr>
          <w:p>
            <w:pPr>
              <w:spacing w:after="100"/>
            </w:pPr>
            <w:r>
              <w:t xml:space="preserve">Semana 10</w:t>
            </w:r>
          </w:p>
        </w:tc>
        <w:tc>
          <w:tcPr>
            <w:tcW w:type="dxa" w:w="1800"/>
          </w:tcPr>
          <w:p>
            <w:pPr>
              <w:spacing w:after="100"/>
            </w:pPr>
            <w:r>
              <w:t xml:space="preserve">Analista QA 1</w:t>
            </w:r>
          </w:p>
        </w:tc>
      </w:tr>
      <w:tr>
        <w:tc>
          <w:tcPr>
            <w:tcW w:type="dxa" w:w="3626"/>
          </w:tcPr>
          <w:p>
            <w:pPr>
              <w:spacing w:after="100"/>
            </w:pPr>
            <w:r>
              <w:t xml:space="preserve">Ejecución de pruebas de API y de permisos por rol</w:t>
            </w:r>
          </w:p>
        </w:tc>
        <w:tc>
          <w:tcPr>
            <w:tcW w:type="dxa" w:w="1800"/>
          </w:tcPr>
          <w:p>
            <w:pPr>
              <w:spacing w:after="100"/>
            </w:pPr>
            <w:r>
              <w:t xml:space="preserve">Semana 2</w:t>
            </w:r>
          </w:p>
        </w:tc>
        <w:tc>
          <w:tcPr>
            <w:tcW w:type="dxa" w:w="1800"/>
          </w:tcPr>
          <w:p>
            <w:pPr>
              <w:spacing w:after="100"/>
            </w:pPr>
            <w:r>
              <w:t xml:space="preserve">Semana 10</w:t>
            </w:r>
          </w:p>
        </w:tc>
        <w:tc>
          <w:tcPr>
            <w:tcW w:type="dxa" w:w="1800"/>
          </w:tcPr>
          <w:p>
            <w:pPr>
              <w:spacing w:after="100"/>
            </w:pPr>
            <w:r>
              <w:t xml:space="preserve">Analista QA 2</w:t>
            </w:r>
          </w:p>
        </w:tc>
      </w:tr>
      <w:tr>
        <w:tc>
          <w:tcPr>
            <w:tcW w:type="dxa" w:w="3626"/>
          </w:tcPr>
          <w:p>
            <w:pPr>
              <w:spacing w:after="100"/>
            </w:pPr>
            <w:r>
              <w:t xml:space="preserve">Registro de Defectos</w:t>
            </w:r>
          </w:p>
        </w:tc>
        <w:tc>
          <w:tcPr>
            <w:tcW w:type="dxa" w:w="1800"/>
          </w:tcPr>
          <w:p>
            <w:pPr>
              <w:spacing w:after="100"/>
            </w:pPr>
            <w:r>
              <w:t xml:space="preserve">Semana 2</w:t>
            </w:r>
          </w:p>
        </w:tc>
        <w:tc>
          <w:tcPr>
            <w:tcW w:type="dxa" w:w="1800"/>
          </w:tcPr>
          <w:p>
            <w:pPr>
              <w:spacing w:after="100"/>
            </w:pPr>
            <w:r>
              <w:t xml:space="preserve">Semana 10</w:t>
            </w:r>
          </w:p>
        </w:tc>
        <w:tc>
          <w:tcPr>
            <w:tcW w:type="dxa" w:w="1800"/>
          </w:tcPr>
          <w:p>
            <w:pPr>
              <w:spacing w:after="100"/>
            </w:pPr>
            <w:r>
              <w:t xml:space="preserve">Analistas QA</w:t>
            </w:r>
          </w:p>
        </w:tc>
      </w:tr>
      <w:tr>
        <w:tc>
          <w:tcPr>
            <w:tcW w:type="dxa" w:w="3626"/>
          </w:tcPr>
          <w:p>
            <w:pPr>
              <w:spacing w:after="100"/>
            </w:pPr>
            <w:r>
              <w:t xml:space="preserve">Dashboard de Calidad</w:t>
            </w:r>
          </w:p>
        </w:tc>
        <w:tc>
          <w:tcPr>
            <w:tcW w:type="dxa" w:w="1800"/>
          </w:tcPr>
          <w:p>
            <w:pPr>
              <w:spacing w:after="100"/>
            </w:pPr>
            <w:r>
              <w:t xml:space="preserve">Semana 9</w:t>
            </w:r>
          </w:p>
        </w:tc>
        <w:tc>
          <w:tcPr>
            <w:tcW w:type="dxa" w:w="1800"/>
          </w:tcPr>
          <w:p>
            <w:pPr>
              <w:spacing w:after="100"/>
            </w:pPr>
            <w:r>
              <w:t xml:space="preserve">Semana 10</w:t>
            </w:r>
          </w:p>
        </w:tc>
        <w:tc>
          <w:tcPr>
            <w:tcW w:type="dxa" w:w="1800"/>
          </w:tcPr>
          <w:p>
            <w:pPr>
              <w:spacing w:after="100"/>
            </w:pPr>
            <w:r>
              <w:t xml:space="preserve">Analista QA 3</w:t>
            </w:r>
          </w:p>
        </w:tc>
      </w:tr>
      <w:tr>
        <w:tc>
          <w:tcPr>
            <w:tcW w:type="dxa" w:w="3626"/>
          </w:tcPr>
          <w:p>
            <w:pPr>
              <w:spacing w:after="100"/>
            </w:pPr>
            <w:r>
              <w:t xml:space="preserve">Auditoría cruzada</w:t>
            </w:r>
          </w:p>
        </w:tc>
        <w:tc>
          <w:tcPr>
            <w:tcW w:type="dxa" w:w="1800"/>
          </w:tcPr>
          <w:p>
            <w:pPr>
              <w:spacing w:after="100"/>
            </w:pPr>
            <w:r>
              <w:t xml:space="preserve">Semana 10</w:t>
            </w:r>
          </w:p>
        </w:tc>
        <w:tc>
          <w:tcPr>
            <w:tcW w:type="dxa" w:w="1800"/>
          </w:tcPr>
          <w:p>
            <w:pPr>
              <w:spacing w:after="100"/>
            </w:pPr>
            <w:r>
              <w:t xml:space="preserve">Semana 10</w:t>
            </w:r>
          </w:p>
        </w:tc>
        <w:tc>
          <w:tcPr>
            <w:tcW w:type="dxa" w:w="1800"/>
          </w:tcPr>
          <w:p>
            <w:pPr>
              <w:spacing w:after="100"/>
            </w:pPr>
            <w:r>
              <w:t xml:space="preserve">Todo el equipo</w:t>
            </w:r>
          </w:p>
        </w:tc>
      </w:tr>
      <w:tr>
        <w:tc>
          <w:tcPr>
            <w:tcW w:type="dxa" w:w="3626"/>
          </w:tcPr>
          <w:p>
            <w:pPr>
              <w:spacing w:after="100"/>
            </w:pPr>
            <w:r>
              <w:t xml:space="preserve">Cierre / Informe Ejecutivo</w:t>
            </w:r>
          </w:p>
        </w:tc>
        <w:tc>
          <w:tcPr>
            <w:tcW w:type="dxa" w:w="1800"/>
          </w:tcPr>
          <w:p>
            <w:pPr>
              <w:spacing w:after="100"/>
            </w:pPr>
            <w:r>
              <w:t xml:space="preserve">Semana 10</w:t>
            </w:r>
          </w:p>
        </w:tc>
        <w:tc>
          <w:tcPr>
            <w:tcW w:type="dxa" w:w="1800"/>
          </w:tcPr>
          <w:p>
            <w:pPr>
              <w:spacing w:after="100"/>
            </w:pPr>
            <w:r>
              <w:t xml:space="preserve">Semana 11</w:t>
            </w:r>
          </w:p>
        </w:tc>
        <w:tc>
          <w:tcPr>
            <w:tcW w:type="dxa" w:w="1800"/>
          </w:tcPr>
          <w:p>
            <w:pPr>
              <w:spacing w:after="100"/>
            </w:pPr>
            <w:r>
              <w:t xml:space="preserve">Todo el equipo</w:t>
            </w:r>
          </w:p>
        </w:tc>
      </w:tr>
    </w:tbl>
    <w:p>
      <w:pPr>
        <w:pStyle w:val="Heading2"/>
        <w:spacing w:after="140" w:before="280"/>
      </w:pPr>
      <w:r>
        <w:t xml:space="preserve">8.4 Premisas</w:t>
      </w:r>
    </w:p>
    <w:p>
      <w:pPr>
        <w:spacing w:after="60"/>
      </w:pPr>
      <w:r>
        <w:t xml:space="preserve">• El entorno de pruebas estará disponible y estable durante todo el ciclo.</w:t>
      </w:r>
    </w:p>
    <w:p>
      <w:pPr>
        <w:spacing w:after="60"/>
      </w:pPr>
      <w:r>
        <w:t xml:space="preserve">• El equipo de desarrollo corregirá los defectos críticos reportados en un plazo máximo de 24 horas (ver Plan de Calidad, sección 6.1).</w:t>
      </w:r>
    </w:p>
    <w:p>
      <w:pPr>
        <w:spacing w:after="60"/>
      </w:pPr>
      <w:r>
        <w:t xml:space="preserve">• Se dispondrá de datos de prueba suficientes para los cinco roles (usuarios, motos, repuestos, distribuidores, historial).</w:t>
      </w:r>
    </w:p>
    <w:p>
      <w:r>
        <w:br w:type="page"/>
      </w:r>
    </w:p>
    <w:p>
      <w:pPr>
        <w:pStyle w:val="Heading1"/>
        <w:spacing w:after="140" w:before="280"/>
      </w:pPr>
      <w:r>
        <w:t xml:space="preserve">9. Gestión de riesgos</w:t>
      </w:r>
    </w:p>
    <w:p>
      <w:pPr>
        <w:spacing w:after="100"/>
      </w:pPr>
      <w:r>
        <w:t xml:space="preserve">Incluye tanto riesgos de proceso propios de todo ciclo de pruebas, como los riesgos de calidad reales ya detectados en RocketService durante la documentación (ver también Plan de Calidad, sección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000"/>
        <w:gridCol w:w="1000"/>
        <w:gridCol w:w="2926"/>
      </w:tblGrid>
      <w:tr>
        <w:trPr>
          <w:tblHeader/>
        </w:trPr>
        <w:tc>
          <w:tcPr>
            <w:tcW w:type="dxa" w:w="3000"/>
            <w:shd w:fill="2F5496" w:val="clear"/>
          </w:tcPr>
          <w:p>
            <w:r>
              <w:rPr>
                <w:b/>
                <w:bCs/>
                <w:color w:val="FFFFFF"/>
              </w:rPr>
              <w:t xml:space="preserve">Riesgo</w:t>
            </w:r>
          </w:p>
        </w:tc>
        <w:tc>
          <w:tcPr>
            <w:tcW w:type="dxa" w:w="1100"/>
            <w:shd w:fill="2F5496" w:val="clear"/>
          </w:tcPr>
          <w:p>
            <w:r>
              <w:rPr>
                <w:b/>
                <w:bCs/>
                <w:color w:val="FFFFFF"/>
              </w:rPr>
              <w:t xml:space="preserve">Probabilidad (1-5)</w:t>
            </w:r>
          </w:p>
        </w:tc>
        <w:tc>
          <w:tcPr>
            <w:tcW w:type="dxa" w:w="1000"/>
            <w:shd w:fill="2F5496" w:val="clear"/>
          </w:tcPr>
          <w:p>
            <w:r>
              <w:rPr>
                <w:b/>
                <w:bCs/>
                <w:color w:val="FFFFFF"/>
              </w:rPr>
              <w:t xml:space="preserve">Impacto (1-5)</w:t>
            </w:r>
          </w:p>
        </w:tc>
        <w:tc>
          <w:tcPr>
            <w:tcW w:type="dxa" w:w="1000"/>
            <w:shd w:fill="2F5496" w:val="clear"/>
          </w:tcPr>
          <w:p>
            <w:r>
              <w:rPr>
                <w:b/>
                <w:bCs/>
                <w:color w:val="FFFFFF"/>
              </w:rPr>
              <w:t xml:space="preserve">Severidad</w:t>
            </w:r>
          </w:p>
        </w:tc>
        <w:tc>
          <w:tcPr>
            <w:tcW w:type="dxa" w:w="2926"/>
            <w:shd w:fill="2F5496" w:val="clear"/>
          </w:tcPr>
          <w:p>
            <w:r>
              <w:rPr>
                <w:b/>
                <w:bCs/>
                <w:color w:val="FFFFFF"/>
              </w:rPr>
              <w:t xml:space="preserve">Plan de mitigación</w:t>
            </w:r>
          </w:p>
        </w:tc>
      </w:tr>
      <w:tr>
        <w:tc>
          <w:tcPr>
            <w:tcW w:type="dxa" w:w="3000"/>
          </w:tcPr>
          <w:p>
            <w:pPr>
              <w:spacing w:after="100"/>
            </w:pPr>
            <w:r>
              <w:t xml:space="preserve">Entorno de pruebas inestable.</w:t>
            </w:r>
          </w:p>
        </w:tc>
        <w:tc>
          <w:tcPr>
            <w:tcW w:type="dxa" w:w="1100"/>
          </w:tcPr>
          <w:p>
            <w:pPr>
              <w:spacing w:after="100"/>
            </w:pPr>
            <w:r>
              <w:t xml:space="preserve">3</w:t>
            </w:r>
          </w:p>
        </w:tc>
        <w:tc>
          <w:tcPr>
            <w:tcW w:type="dxa" w:w="1000"/>
          </w:tcPr>
          <w:p>
            <w:pPr>
              <w:spacing w:after="100"/>
            </w:pPr>
            <w:r>
              <w:t xml:space="preserve">5</w:t>
            </w:r>
          </w:p>
        </w:tc>
        <w:tc>
          <w:tcPr>
            <w:tcW w:type="dxa" w:w="1000"/>
          </w:tcPr>
          <w:p>
            <w:pPr>
              <w:spacing w:after="100"/>
            </w:pPr>
            <w:r>
              <w:t xml:space="preserve">15</w:t>
            </w:r>
          </w:p>
        </w:tc>
        <w:tc>
          <w:tcPr>
            <w:tcW w:type="dxa" w:w="2926"/>
          </w:tcPr>
          <w:p>
            <w:pPr>
              <w:spacing w:after="100"/>
            </w:pPr>
            <w:r>
              <w:t xml:space="preserve">Coordinar con el líder de desarrollo para garantizar la estabilidad del entorno desde el día 1.</w:t>
            </w:r>
          </w:p>
        </w:tc>
      </w:tr>
      <w:tr>
        <w:tc>
          <w:tcPr>
            <w:tcW w:type="dxa" w:w="3000"/>
          </w:tcPr>
          <w:p>
            <w:pPr>
              <w:spacing w:after="100"/>
            </w:pPr>
            <w:r>
              <w:t xml:space="preserve">Defectos críticos que bloquean las pruebas.</w:t>
            </w:r>
          </w:p>
        </w:tc>
        <w:tc>
          <w:tcPr>
            <w:tcW w:type="dxa" w:w="1100"/>
          </w:tcPr>
          <w:p>
            <w:pPr>
              <w:spacing w:after="100"/>
            </w:pPr>
            <w:r>
              <w:t xml:space="preserve">4</w:t>
            </w:r>
          </w:p>
        </w:tc>
        <w:tc>
          <w:tcPr>
            <w:tcW w:type="dxa" w:w="1000"/>
          </w:tcPr>
          <w:p>
            <w:pPr>
              <w:spacing w:after="100"/>
            </w:pPr>
            <w:r>
              <w:t xml:space="preserve">5</w:t>
            </w:r>
          </w:p>
        </w:tc>
        <w:tc>
          <w:tcPr>
            <w:tcW w:type="dxa" w:w="1000"/>
          </w:tcPr>
          <w:p>
            <w:pPr>
              <w:spacing w:after="100"/>
            </w:pPr>
            <w:r>
              <w:t xml:space="preserve">20</w:t>
            </w:r>
          </w:p>
        </w:tc>
        <w:tc>
          <w:tcPr>
            <w:tcW w:type="dxa" w:w="2926"/>
          </w:tcPr>
          <w:p>
            <w:pPr>
              <w:spacing w:after="100"/>
            </w:pPr>
            <w:r>
              <w:t xml:space="preserve">Priorizar los casos de prueba que detecten estos defectos temprano; canal directo con desarrollo.</w:t>
            </w:r>
          </w:p>
        </w:tc>
      </w:tr>
      <w:tr>
        <w:tc>
          <w:tcPr>
            <w:tcW w:type="dxa" w:w="3000"/>
          </w:tcPr>
          <w:p>
            <w:pPr>
              <w:spacing w:after="100"/>
            </w:pPr>
            <w:r>
              <w:t xml:space="preserve">Falta de tiempo para ejecutar todos los casos de prueba.</w:t>
            </w:r>
          </w:p>
        </w:tc>
        <w:tc>
          <w:tcPr>
            <w:tcW w:type="dxa" w:w="1100"/>
          </w:tcPr>
          <w:p>
            <w:pPr>
              <w:spacing w:after="100"/>
            </w:pPr>
            <w:r>
              <w:t xml:space="preserve">4</w:t>
            </w:r>
          </w:p>
        </w:tc>
        <w:tc>
          <w:tcPr>
            <w:tcW w:type="dxa" w:w="1000"/>
          </w:tcPr>
          <w:p>
            <w:pPr>
              <w:spacing w:after="100"/>
            </w:pPr>
            <w:r>
              <w:t xml:space="preserve">4</w:t>
            </w:r>
          </w:p>
        </w:tc>
        <w:tc>
          <w:tcPr>
            <w:tcW w:type="dxa" w:w="1000"/>
          </w:tcPr>
          <w:p>
            <w:pPr>
              <w:spacing w:after="100"/>
            </w:pPr>
            <w:r>
              <w:t xml:space="preserve">16</w:t>
            </w:r>
          </w:p>
        </w:tc>
        <w:tc>
          <w:tcPr>
            <w:tcW w:type="dxa" w:w="2926"/>
          </w:tcPr>
          <w:p>
            <w:pPr>
              <w:spacing w:after="100"/>
            </w:pPr>
            <w:r>
              <w:t xml:space="preserve">Priorizar los casos por riesgo y criticidad; ajustar el alcance si es necesario.</w:t>
            </w:r>
          </w:p>
        </w:tc>
      </w:tr>
      <w:tr>
        <w:tc>
          <w:tcPr>
            <w:tcW w:type="dxa" w:w="3000"/>
          </w:tcPr>
          <w:p>
            <w:pPr>
              <w:spacing w:after="100"/>
            </w:pPr>
            <w:r>
              <w:t xml:space="preserve">Controles de rol inconsistentes entre listar y consultar detalle en un mismo módulo.</w:t>
            </w:r>
          </w:p>
        </w:tc>
        <w:tc>
          <w:tcPr>
            <w:tcW w:type="dxa" w:w="1100"/>
          </w:tcPr>
          <w:p>
            <w:pPr>
              <w:spacing w:after="100"/>
            </w:pPr>
            <w:r>
              <w:t xml:space="preserve">4</w:t>
            </w:r>
          </w:p>
        </w:tc>
        <w:tc>
          <w:tcPr>
            <w:tcW w:type="dxa" w:w="1000"/>
          </w:tcPr>
          <w:p>
            <w:pPr>
              <w:spacing w:after="100"/>
            </w:pPr>
            <w:r>
              <w:t xml:space="preserve">4</w:t>
            </w:r>
          </w:p>
        </w:tc>
        <w:tc>
          <w:tcPr>
            <w:tcW w:type="dxa" w:w="1000"/>
          </w:tcPr>
          <w:p>
            <w:pPr>
              <w:spacing w:after="100"/>
            </w:pPr>
            <w:r>
              <w:t xml:space="preserve">16</w:t>
            </w:r>
          </w:p>
        </w:tc>
        <w:tc>
          <w:tcPr>
            <w:tcW w:type="dxa" w:w="2926"/>
          </w:tcPr>
          <w:p>
            <w:pPr>
              <w:spacing w:after="100"/>
            </w:pPr>
            <w:r>
              <w:t xml:space="preserve">Diseñar casos de prueba específicos de permisos por rol para cada endpoint antes de dar por válido un módulo.</w:t>
            </w:r>
          </w:p>
        </w:tc>
      </w:tr>
      <w:tr>
        <w:tc>
          <w:tcPr>
            <w:tcW w:type="dxa" w:w="3000"/>
          </w:tcPr>
          <w:p>
            <w:pPr>
              <w:spacing w:after="100"/>
            </w:pPr>
            <w:r>
              <w:t xml:space="preserve">Ausencia de segundo factor de autenticación y de bloqueo por intentos fallidos.</w:t>
            </w:r>
          </w:p>
        </w:tc>
        <w:tc>
          <w:tcPr>
            <w:tcW w:type="dxa" w:w="1100"/>
          </w:tcPr>
          <w:p>
            <w:pPr>
              <w:spacing w:after="100"/>
            </w:pPr>
            <w:r>
              <w:t xml:space="preserve">3</w:t>
            </w:r>
          </w:p>
        </w:tc>
        <w:tc>
          <w:tcPr>
            <w:tcW w:type="dxa" w:w="1000"/>
          </w:tcPr>
          <w:p>
            <w:pPr>
              <w:spacing w:after="100"/>
            </w:pPr>
            <w:r>
              <w:t xml:space="preserve">5</w:t>
            </w:r>
          </w:p>
        </w:tc>
        <w:tc>
          <w:tcPr>
            <w:tcW w:type="dxa" w:w="1000"/>
          </w:tcPr>
          <w:p>
            <w:pPr>
              <w:spacing w:after="100"/>
            </w:pPr>
            <w:r>
              <w:t xml:space="preserve">15</w:t>
            </w:r>
          </w:p>
        </w:tc>
        <w:tc>
          <w:tcPr>
            <w:tcW w:type="dxa" w:w="2926"/>
          </w:tcPr>
          <w:p>
            <w:pPr>
              <w:spacing w:after="100"/>
            </w:pPr>
            <w:r>
              <w:t xml:space="preserve">Documentar como riesgo aceptado mientras no se implemente; priorizar su desarrollo antes de producción.</w:t>
            </w:r>
          </w:p>
        </w:tc>
      </w:tr>
      <w:tr>
        <w:tc>
          <w:tcPr>
            <w:tcW w:type="dxa" w:w="3000"/>
          </w:tcPr>
          <w:p>
            <w:pPr>
              <w:spacing w:after="100"/>
            </w:pPr>
            <w:r>
              <w:t xml:space="preserve">Eliminación de roles sin validar si están en uso o si son roles base.</w:t>
            </w:r>
          </w:p>
        </w:tc>
        <w:tc>
          <w:tcPr>
            <w:tcW w:type="dxa" w:w="1100"/>
          </w:tcPr>
          <w:p>
            <w:pPr>
              <w:spacing w:after="100"/>
            </w:pPr>
            <w:r>
              <w:t xml:space="preserve">3</w:t>
            </w:r>
          </w:p>
        </w:tc>
        <w:tc>
          <w:tcPr>
            <w:tcW w:type="dxa" w:w="1000"/>
          </w:tcPr>
          <w:p>
            <w:pPr>
              <w:spacing w:after="100"/>
            </w:pPr>
            <w:r>
              <w:t xml:space="preserve">5</w:t>
            </w:r>
          </w:p>
        </w:tc>
        <w:tc>
          <w:tcPr>
            <w:tcW w:type="dxa" w:w="1000"/>
          </w:tcPr>
          <w:p>
            <w:pPr>
              <w:spacing w:after="100"/>
            </w:pPr>
            <w:r>
              <w:t xml:space="preserve">15</w:t>
            </w:r>
          </w:p>
        </w:tc>
        <w:tc>
          <w:tcPr>
            <w:tcW w:type="dxa" w:w="2926"/>
          </w:tcPr>
          <w:p>
            <w:pPr>
              <w:spacing w:after="100"/>
            </w:pPr>
            <w:r>
              <w:t xml:space="preserve">Probar explícitamente que no se pueda eliminar un rol base o en uso antes de aprobar el módulo Roles.</w:t>
            </w:r>
          </w:p>
        </w:tc>
      </w:tr>
      <w:tr>
        <w:tc>
          <w:tcPr>
            <w:tcW w:type="dxa" w:w="3000"/>
          </w:tcPr>
          <w:p>
            <w:pPr>
              <w:spacing w:after="100"/>
            </w:pPr>
            <w:r>
              <w:t xml:space="preserve">Falta de datos de prueba representativos por cada uno de los cinco roles.</w:t>
            </w:r>
          </w:p>
        </w:tc>
        <w:tc>
          <w:tcPr>
            <w:tcW w:type="dxa" w:w="1100"/>
          </w:tcPr>
          <w:p>
            <w:pPr>
              <w:spacing w:after="100"/>
            </w:pPr>
            <w:r>
              <w:t xml:space="preserve">3</w:t>
            </w:r>
          </w:p>
        </w:tc>
        <w:tc>
          <w:tcPr>
            <w:tcW w:type="dxa" w:w="1000"/>
          </w:tcPr>
          <w:p>
            <w:pPr>
              <w:spacing w:after="100"/>
            </w:pPr>
            <w:r>
              <w:t xml:space="preserve">4</w:t>
            </w:r>
          </w:p>
        </w:tc>
        <w:tc>
          <w:tcPr>
            <w:tcW w:type="dxa" w:w="1000"/>
          </w:tcPr>
          <w:p>
            <w:pPr>
              <w:spacing w:after="100"/>
            </w:pPr>
            <w:r>
              <w:t xml:space="preserve">12</w:t>
            </w:r>
          </w:p>
        </w:tc>
        <w:tc>
          <w:tcPr>
            <w:tcW w:type="dxa" w:w="2926"/>
          </w:tcPr>
          <w:p>
            <w:pPr>
              <w:spacing w:after="100"/>
            </w:pPr>
            <w:r>
              <w:t xml:space="preserve">Preparar y cargar con anticipación un set de datos de prueba para cada rol.</w:t>
            </w:r>
          </w:p>
        </w:tc>
      </w:tr>
      <w:tr>
        <w:tc>
          <w:tcPr>
            <w:tcW w:type="dxa" w:w="3000"/>
          </w:tcPr>
          <w:p>
            <w:pPr>
              <w:spacing w:after="100"/>
            </w:pPr>
            <w:r>
              <w:t xml:space="preserve">Campos de cantidad tipados como VARCHAR y triggers de stock incompletos.</w:t>
            </w:r>
          </w:p>
        </w:tc>
        <w:tc>
          <w:tcPr>
            <w:tcW w:type="dxa" w:w="1100"/>
          </w:tcPr>
          <w:p>
            <w:pPr>
              <w:spacing w:after="100"/>
            </w:pPr>
            <w:r>
              <w:t xml:space="preserve">2</w:t>
            </w:r>
          </w:p>
        </w:tc>
        <w:tc>
          <w:tcPr>
            <w:tcW w:type="dxa" w:w="1000"/>
          </w:tcPr>
          <w:p>
            <w:pPr>
              <w:spacing w:after="100"/>
            </w:pPr>
            <w:r>
              <w:t xml:space="preserve">3</w:t>
            </w:r>
          </w:p>
        </w:tc>
        <w:tc>
          <w:tcPr>
            <w:tcW w:type="dxa" w:w="1000"/>
          </w:tcPr>
          <w:p>
            <w:pPr>
              <w:spacing w:after="100"/>
            </w:pPr>
            <w:r>
              <w:t xml:space="preserve">6</w:t>
            </w:r>
          </w:p>
        </w:tc>
        <w:tc>
          <w:tcPr>
            <w:tcW w:type="dxa" w:w="2926"/>
          </w:tcPr>
          <w:p>
            <w:pPr>
              <w:spacing w:after="100"/>
            </w:pPr>
            <w:r>
              <w:t xml:space="preserve">Incluir casos de prueba de borde (cantidad no numérica, edición/eliminación de entradas) para confirmar el comportamiento real.</w:t>
            </w:r>
          </w:p>
        </w:tc>
      </w:tr>
    </w:tbl>
    <w:p>
      <w:r>
        <w:br w:type="page"/>
      </w:r>
    </w:p>
    <w:p>
      <w:pPr>
        <w:pStyle w:val="Heading1"/>
        <w:spacing w:after="140" w:before="280"/>
      </w:pPr>
      <w:r>
        <w:t xml:space="preserve">10. Glosario</w:t>
      </w:r>
    </w:p>
    <w:p>
      <w:pPr>
        <w:spacing w:after="60"/>
      </w:pPr>
      <w:r>
        <w:t xml:space="preserve">• API: Application Programming Interface. Conjunto de reglas para la comunicación entre sistemas.</w:t>
      </w:r>
    </w:p>
    <w:p>
      <w:pPr>
        <w:spacing w:after="60"/>
      </w:pPr>
      <w:r>
        <w:t xml:space="preserve">• Bug / Defecto: fallo en el software que causa un comportamiento incorrecto.</w:t>
      </w:r>
    </w:p>
    <w:p>
      <w:pPr>
        <w:spacing w:after="60"/>
      </w:pPr>
      <w:r>
        <w:t xml:space="preserve">• CA: Criterio de Aceptación.</w:t>
      </w:r>
    </w:p>
    <w:p>
      <w:pPr>
        <w:spacing w:after="60"/>
      </w:pPr>
      <w:r>
        <w:t xml:space="preserve">• CP: Caso de Prueba.</w:t>
      </w:r>
    </w:p>
    <w:p>
      <w:pPr>
        <w:spacing w:after="60"/>
      </w:pPr>
      <w:r>
        <w:t xml:space="preserve">• CU: Caso de Uso Extendido.</w:t>
      </w:r>
    </w:p>
    <w:p>
      <w:pPr>
        <w:spacing w:after="60"/>
      </w:pPr>
      <w:r>
        <w:t xml:space="preserve">• Dashboard: panel de control visual que muestra indicadores clave.</w:t>
      </w:r>
    </w:p>
    <w:p>
      <w:pPr>
        <w:spacing w:after="60"/>
      </w:pPr>
      <w:r>
        <w:t xml:space="preserve">• EP: Épica, agrupador de RF relacionados de un mismo módulo.</w:t>
      </w:r>
    </w:p>
    <w:p>
      <w:pPr>
        <w:spacing w:after="60"/>
      </w:pPr>
      <w:r>
        <w:t xml:space="preserve">• HU: Historia de Usuario, requisito funcional descrito desde la perspectiva del usuario final.</w:t>
      </w:r>
    </w:p>
    <w:p>
      <w:pPr>
        <w:spacing w:after="60"/>
      </w:pPr>
      <w:r>
        <w:t xml:space="preserve">• JWT: JSON Web Token. Estándar usado en RocketService para la autenticación.</w:t>
      </w:r>
    </w:p>
    <w:p>
      <w:pPr>
        <w:spacing w:after="60"/>
      </w:pPr>
      <w:r>
        <w:t xml:space="preserve">• Plan Maestro de Pruebas: documento estratégico que guía todas las actividades de prueba de un proyecto.</w:t>
      </w:r>
    </w:p>
    <w:p>
      <w:pPr>
        <w:spacing w:after="60"/>
      </w:pPr>
      <w:r>
        <w:t xml:space="preserve">• RF / RNF: Requisito Funcional / Requisito No Funcional.</w:t>
      </w:r>
    </w:p>
    <w:p>
      <w:pPr>
        <w:spacing w:after="60"/>
      </w:pPr>
      <w:r>
        <w:t xml:space="preserve">• REST: Representational State Transfer, estilo arquitectónico de la API de RocketService.</w:t>
      </w:r>
    </w:p>
    <w:p>
      <w:pPr>
        <w:spacing w:after="60"/>
      </w:pPr>
      <w:r>
        <w:t xml:space="preserve">• RN: Regla de Negocio.</w:t>
      </w:r>
    </w:p>
    <w:p>
      <w:pPr>
        <w:spacing w:after="60"/>
      </w:pPr>
      <w:r>
        <w:t xml:space="preserve">• SP: Story Points, estimación de esfuerzo de una HU.</w:t>
      </w:r>
    </w:p>
    <w:p>
      <w:pPr>
        <w:spacing w:after="60"/>
      </w:pPr>
      <w:r>
        <w:t xml:space="preserve">• UAT: User Acceptance Testing, pruebas de aceptación por el usuario final.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2026-08-06T00:33:43.771Z</dcterms:created>
  <dcterms:modified xsi:type="dcterms:W3CDTF">2026-08-06T00:33:43.786Z</dcterms:modified>
</cp:coreProperties>
</file>

<file path=docProps/custom.xml><?xml version="1.0" encoding="utf-8"?>
<Properties xmlns="http://schemas.openxmlformats.org/officeDocument/2006/custom-properties" xmlns:vt="http://schemas.openxmlformats.org/officeDocument/2006/docPropsVTypes"/>
</file>