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Plan de Calidad</w:t>
      </w:r>
    </w:p>
    <w:p>
      <w:pPr>
        <w:spacing w:after="60"/>
        <w:jc w:val="center"/>
      </w:pPr>
      <w:r>
        <w:rPr>
          <w:sz w:val="28"/>
          <w:szCs w:val="28"/>
        </w:rPr>
        <w:t xml:space="preserve">Sistema de Gestión de Órdenes de Servicio Técnico — RocketService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Versión 1.0 — 06/08/2026 — Basado en la estructura estándar IEEE 730 (Plan de Aseguramiento de la Calidad del Software)</w:t>
      </w:r>
    </w:p>
    <w:p>
      <w:pPr>
        <w:pStyle w:val="Heading2"/>
        <w:spacing w:after="140" w:before="280"/>
      </w:pPr>
      <w:r>
        <w:t xml:space="preserve">Control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926"/>
      </w:tblGrid>
      <w:tr>
        <w:trPr>
          <w:tblHeader/>
        </w:trP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Autor</w:t>
            </w:r>
          </w:p>
        </w:tc>
        <w:tc>
          <w:tcPr>
            <w:tcW w:type="dxa" w:w="29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Descripción del cambio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1.0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06/08/2026</w:t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t xml:space="preserve">Equipo RocketService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Versión inicial del Plan de Calidad, elaborada a partir de los documentos de RF, RNF, Casos de Uso, HU y el checklist ya existentes.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1. Introducción</w:t>
      </w:r>
    </w:p>
    <w:p>
      <w:pPr>
        <w:pStyle w:val="Heading2"/>
        <w:spacing w:after="140" w:before="280"/>
      </w:pPr>
      <w:r>
        <w:t xml:space="preserve">1.1 Propósito</w:t>
      </w:r>
    </w:p>
    <w:p>
      <w:pPr>
        <w:spacing w:after="100"/>
      </w:pPr>
      <w:r>
        <w:t xml:space="preserve">Este Plan de Calidad define las actividades, responsabilidades, estándares, métricas y procesos que el equipo de RocketService aplicará para asegurar que el software cumpla los requisitos funcionales (RF) y no funcionales (RNF) definidos, antes y durante su puesta en producción. Establece cómo se planifican, ejecutan y controlan las pruebas, cómo se gestionan los defectos, y cómo se hace seguimiento a los riesgos de calidad ya identificados en el sistema.</w:t>
      </w:r>
    </w:p>
    <w:p>
      <w:pPr>
        <w:pStyle w:val="Heading2"/>
        <w:spacing w:after="140" w:before="280"/>
      </w:pPr>
      <w:r>
        <w:t xml:space="preserve">1.2 Alcance</w:t>
      </w:r>
    </w:p>
    <w:p>
      <w:pPr>
        <w:spacing w:after="100"/>
      </w:pPr>
      <w:r>
        <w:t xml:space="preserve">Este plan cubre la totalidad del sistema RocketService, organizado en 8 módulos (Usuarios, Repuestos, Historial, Motocicletas, Distribuidores, Entrada de Repuestos, Roles y Técnicos), documentados en:</w:t>
      </w:r>
    </w:p>
    <w:p>
      <w:pPr>
        <w:spacing w:after="60"/>
      </w:pPr>
      <w:r>
        <w:t xml:space="preserve">• 39 Requisitos Funcionales (RF-M1.1 a RF-M8.3) agrupados en 8 épicas (RF-M1 a RF-M8).</w:t>
      </w:r>
    </w:p>
    <w:p>
      <w:pPr>
        <w:spacing w:after="60"/>
      </w:pPr>
      <w:r>
        <w:t xml:space="preserve">• 8 Requisitos No Funcionales (RNF-001 a RNF-008).</w:t>
      </w:r>
    </w:p>
    <w:p>
      <w:pPr>
        <w:spacing w:after="60"/>
      </w:pPr>
      <w:r>
        <w:t xml:space="preserve">• 39 Casos de Uso Extendidos (CU-M1.1 a CU-M8.3).</w:t>
      </w:r>
    </w:p>
    <w:p>
      <w:pPr>
        <w:spacing w:after="60"/>
      </w:pPr>
      <w:r>
        <w:t xml:space="preserve">• 39 Historias de Usuario (HU-M1.1 a HU-M8.3), distribuidas en 9 sprints estimados.</w:t>
      </w:r>
    </w:p>
    <w:p>
      <w:pPr>
        <w:spacing w:after="100"/>
      </w:pPr>
      <w:r>
        <w:t xml:space="preserve">Aplica a los cinco roles del sistema: Cliente, Técnico, Recepcionista, Administrador y Súper Administrador, y a los cinco frentes de trabajo: backend (Node/Express), frontend (React), base de datos (MySQL), integraciones y despliegue.</w:t>
      </w:r>
    </w:p>
    <w:p>
      <w:pPr>
        <w:pStyle w:val="Heading2"/>
        <w:spacing w:after="140" w:before="280"/>
      </w:pPr>
      <w:r>
        <w:t xml:space="preserve">1.3 Definiciones y acrónimos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Sigla</w:t>
            </w:r>
          </w:p>
        </w:tc>
        <w:tc>
          <w:tcPr>
            <w:tcW w:type="dxa" w:w="68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RF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Requisito Funcional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RNF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Requisito No Funcional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RN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Regla de Negocio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EP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Épica (agrupador de RF relacionados de un mismo módulo)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HU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Historia de Usuario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CU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Caso de Uso Extendido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CP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Caso de Prueba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CA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Criterio de Aceptación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SP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Story Points (estimación de esfuerzo de una HU)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UAT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User Acceptance Testing (pruebas de aceptación de usuario)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QA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Quality Assurance (aseguramiento de calidad)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SCM</w:t>
            </w:r>
          </w:p>
        </w:tc>
        <w:tc>
          <w:tcPr>
            <w:tcW w:type="dxa" w:w="6826"/>
          </w:tcPr>
          <w:p>
            <w:pPr>
              <w:spacing w:after="100"/>
            </w:pPr>
            <w:r>
              <w:t xml:space="preserve">Software Configuration Management (gestión de configuración de software)</w:t>
            </w:r>
          </w:p>
        </w:tc>
      </w:tr>
    </w:tbl>
    <w:p>
      <w:pPr>
        <w:pStyle w:val="Heading2"/>
        <w:spacing w:after="140" w:before="280"/>
      </w:pPr>
      <w:r>
        <w:t xml:space="preserve">1.4 Referencias</w:t>
      </w:r>
    </w:p>
    <w:p>
      <w:pPr>
        <w:spacing w:after="60"/>
      </w:pPr>
      <w:r>
        <w:t xml:space="preserve">• Documento de Requisitos Funcionales y No Funcionales — RocketService (v3.1).</w:t>
      </w:r>
    </w:p>
    <w:p>
      <w:pPr>
        <w:spacing w:after="60"/>
      </w:pPr>
      <w:r>
        <w:t xml:space="preserve">• Documento de Casos de Uso Extendidos — RocketService (v1.0, actualizado).</w:t>
      </w:r>
    </w:p>
    <w:p>
      <w:pPr>
        <w:spacing w:after="60"/>
      </w:pPr>
      <w:r>
        <w:t xml:space="preserve">• Documento de Épicas e Historias de Usuario (SCRUM) — RocketService (v1.0, actualizado).</w:t>
      </w:r>
    </w:p>
    <w:p>
      <w:pPr>
        <w:spacing w:after="60"/>
      </w:pPr>
      <w:r>
        <w:t xml:space="preserve">• Checklist de trazabilidad de documentación (RF, RNF, CUE, HU) — RocketService.</w:t>
      </w:r>
    </w:p>
    <w:p>
      <w:pPr>
        <w:spacing w:after="60"/>
      </w:pPr>
      <w:r>
        <w:t xml:space="preserve">• Diccionario de datos y Base de Datos (formas normales) — RocketService.</w:t>
      </w:r>
    </w:p>
    <w:p>
      <w:pPr>
        <w:spacing w:after="60"/>
      </w:pPr>
      <w:r>
        <w:t xml:space="preserve">• Dump SQL de la base de datos (sigat.sql) — RocketService.</w:t>
      </w:r>
    </w:p>
    <w:p>
      <w:pPr>
        <w:spacing w:after="60"/>
      </w:pPr>
      <w:r>
        <w:t xml:space="preserve">• ISO/IEC 25010:2011 — Calidad de producto de software.</w:t>
      </w:r>
    </w:p>
    <w:p>
      <w:pPr>
        <w:spacing w:after="60"/>
      </w:pPr>
      <w:r>
        <w:t xml:space="preserve">• ISO/IEC 27001:2022 — Gestión de seguridad de la información.</w:t>
      </w:r>
    </w:p>
    <w:p>
      <w:pPr>
        <w:spacing w:after="60"/>
      </w:pPr>
      <w:r>
        <w:t xml:space="preserve">• NIST SP 800-63B — Digital Identity Guidelines (autenticación).</w:t>
      </w:r>
    </w:p>
    <w:p>
      <w:pPr>
        <w:spacing w:after="60"/>
      </w:pPr>
      <w:r>
        <w:t xml:space="preserve">• IEEE 730-2014 — Standard for Software Quality Assurance Processes (estructura base de este documento).</w:t>
      </w:r>
    </w:p>
    <w:p>
      <w:pPr>
        <w:spacing w:after="60"/>
      </w:pPr>
      <w:r>
        <w:t xml:space="preserve">• IEEE 830 — Especificación de Requisitos de Software (estructura base del documento de RF).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2. Objetivos de calidad</w:t>
      </w:r>
    </w:p>
    <w:p>
      <w:pPr>
        <w:spacing w:after="100"/>
      </w:pPr>
      <w:r>
        <w:t xml:space="preserve">Los objetivos de calidad de RocketService se derivan directamente de los 8 Requisitos No Funcionales ya documentados. Cada uno debe ser medible y verificable antes de considerar una entrega lista para producción.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126"/>
      </w:tblGrid>
      <w:tr>
        <w:trPr>
          <w:tblHeader/>
        </w:trPr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RNF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Atributo de calidad</w:t>
            </w:r>
          </w:p>
        </w:tc>
        <w:tc>
          <w:tcPr>
            <w:tcW w:type="dxa" w:w="51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Meta medible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RNF-001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Usabilidad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100% de las pantallas usan la paleta de colores institucional (pendiente de definir formalmente).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RNF-002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Rendimiento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Operaciones comunes &lt; 30s; pantallas principales (login, panel, historial) &lt; 10s.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RNF-003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Seguridad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Bloqueo de cuenta al 5.º intento fallido de inicio de sesión, por al menos 15 minutos.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RNF-004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Seguridad / Usabilidad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Cierre de sesión automático a los 15 minutos de inactividad, con aviso 1 minuto antes.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RNF-005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Seguridad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100% de las contraseñas cumplen la política (8–20 caracteres) en todos los formularios de registro.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RNF-006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Seguridad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100% de las rutas administrativas críticas exigen segundo factor de autenticación.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RNF-007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Usabilidad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100% de los mensajes de error mostrados al usuario final son comprensibles, sin exponer detalles técnicos.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RNF-008</w:t>
            </w:r>
          </w:p>
        </w:tc>
        <w:tc>
          <w:tcPr>
            <w:tcW w:type="dxa" w:w="2600"/>
          </w:tcPr>
          <w:p>
            <w:pPr>
              <w:spacing w:after="100"/>
            </w:pPr>
            <w:r>
              <w:t xml:space="preserve">Disponibilidad</w:t>
            </w:r>
          </w:p>
        </w:tc>
        <w:tc>
          <w:tcPr>
            <w:tcW w:type="dxa" w:w="5126"/>
          </w:tcPr>
          <w:p>
            <w:pPr>
              <w:spacing w:after="100"/>
            </w:pPr>
            <w:r>
              <w:t xml:space="preserve">Disponibilidad mensual ≥ 99%, con registro automático de incidentes.</w:t>
            </w:r>
          </w:p>
        </w:tc>
      </w:tr>
    </w:tbl>
    <w:p>
      <w:pPr>
        <w:spacing w:after="100"/>
      </w:pPr>
      <w:r>
        <w:rPr>
          <w:i/>
          <w:iCs/>
        </w:rPr>
        <w:t xml:space="preserve">Adicionalmente, se define como objetivo transversal: todo RF debe tener al menos un caso de prueba asociado y su criterio de aceptación validado antes de marcarse como "Hecho" en el tablero Kanban (ver hoja HU del checklist).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3. Organización y responsabilidades</w:t>
      </w:r>
    </w:p>
    <w:p>
      <w:pPr>
        <w:spacing w:after="100"/>
      </w:pPr>
      <w:r>
        <w:t xml:space="preserve">Los siguientes roles de calidad son independientes de los roles funcionales del sistema (Cliente, Técnico, Recepcionista, Administrador, Súper Administrador) y deben asignarse dentro del equipo de trabajo. Los nombres de las personas responsables se dejan en blanco para que el equipo los complete.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Rol de calidad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48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Responsabilidades principales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Product Owner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Aprobar criterios de aceptación, priorizar el backlog de HU, aceptar o rechazar entregas en UAT.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Scrum Master / Líder de proyecto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Facilitar las ceremonias SCRUM, dar seguimiento al tablero Kanban de HU, escalar bloqueos.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QA Lead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Diseñar la estrategia de pruebas, mantener los casos de prueba (CP-xxx), aprobar el paso a producción.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Tester / Analista de pruebas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Ejecutar casos de prueba funcionales, de regresión y de aceptación; reportar defectos.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Desarrollador backend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Implementar RF/RN, corregir defectos, escribir pruebas unitarias e integrar validaciones faltantes.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Desarrollador frontend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Implementar las pantallas según CU y mockups, validar formularios según las reglas de negocio.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Administrador de base de datos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Mantener el diccionario de datos actualizado, revisar tipos de dato, triggers y restricciones (UNIQUE, FK).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Responsable de seguridad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(a asignar)</w:t>
            </w:r>
          </w:p>
        </w:tc>
        <w:tc>
          <w:tcPr>
            <w:tcW w:type="dxa" w:w="4826"/>
          </w:tcPr>
          <w:p>
            <w:pPr>
              <w:spacing w:after="100"/>
            </w:pPr>
            <w:r>
              <w:t xml:space="preserve">Verificar el cumplimiento de RNF-003, RNF-005 y RNF-006, y las reglas de acceso por rol de cada módulo.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4. Estándares, normas y convenciones</w:t>
      </w:r>
    </w:p>
    <w:p>
      <w:pPr>
        <w:pStyle w:val="Heading2"/>
        <w:spacing w:after="140" w:before="280"/>
      </w:pPr>
      <w:r>
        <w:t xml:space="preserve">4.1 Convenciones de documentación</w:t>
      </w:r>
    </w:p>
    <w:p>
      <w:pPr>
        <w:spacing w:after="60"/>
      </w:pPr>
      <w:r>
        <w:t xml:space="preserve">• Todo RF debe seguir la plantilla ya establecida (ID, Actor, Descripción, Entradas, Flujo principal, Flujos alternativos, Postcondiciones, Reglas de negocio, Criterios de aceptación, Casos de prueba).</w:t>
      </w:r>
    </w:p>
    <w:p>
      <w:pPr>
        <w:spacing w:after="60"/>
      </w:pPr>
      <w:r>
        <w:t xml:space="preserve">• Todo RF debe tener su Caso de Uso Extendido (CU) y su Historia de Usuario (HU) correspondientes, con el mismo número de módulo y consecutivo (por ejemplo, RF-M3.6 ↔ CU-M3.6 ↔ HU-M3.6).</w:t>
      </w:r>
    </w:p>
    <w:p>
      <w:pPr>
        <w:spacing w:after="60"/>
      </w:pPr>
      <w:r>
        <w:t xml:space="preserve">• Todo cambio de alcance, nombre de módulo o rol debe reflejarse en los cuatro documentos (RF/RNF, CU, HU, Checklist) en la misma iteración, para evitar que vuelvan a desalinearse como ocurrió con "Productos"/"Repuestos" y "Órdenes de Servicio"/"Historial".</w:t>
      </w:r>
    </w:p>
    <w:p>
      <w:pPr>
        <w:pStyle w:val="Heading2"/>
        <w:spacing w:after="140" w:before="280"/>
      </w:pPr>
      <w:r>
        <w:t xml:space="preserve">4.2 Convenciones de código y base de datos</w:t>
      </w:r>
    </w:p>
    <w:p>
      <w:pPr>
        <w:spacing w:after="60"/>
      </w:pPr>
      <w:r>
        <w:t xml:space="preserve">• Nombres de columnas y tablas en español, sin abreviar y sin errores de tipeo (se detectaron previamente los errores "descripcion_prodlema" en vez de "problema", y un espacio final en el valor del rol "Recepcionista "; deben corregirse y evitarse hacia adelante).</w:t>
      </w:r>
    </w:p>
    <w:p>
      <w:pPr>
        <w:spacing w:after="60"/>
      </w:pPr>
      <w:r>
        <w:t xml:space="preserve">• Los campos que representan cantidades numéricas (cantidad, cantidad_ingresada) deben tiparse como INT, no como VARCHAR, como ya se identificó en el diccionario de datos y en el SQL real.</w:t>
      </w:r>
    </w:p>
    <w:p>
      <w:pPr>
        <w:spacing w:after="60"/>
      </w:pPr>
      <w:r>
        <w:t xml:space="preserve">• Los mensajes de error mostrados al usuario no deben exponer directamente error.message del backend (ver RNF-007); deben mapearse a mensajes controlados.</w:t>
      </w:r>
    </w:p>
    <w:p>
      <w:pPr>
        <w:pStyle w:val="Heading2"/>
        <w:spacing w:after="140" w:before="280"/>
      </w:pPr>
      <w:r>
        <w:t xml:space="preserve">4.3 Normas de referencia</w:t>
      </w:r>
    </w:p>
    <w:p>
      <w:pPr>
        <w:spacing w:after="60"/>
      </w:pPr>
      <w:r>
        <w:t xml:space="preserve">• ISO/IEC 25010:2011 — modelo de calidad de producto (rendimiento, fiabilidad, usabilidad, seguridad).</w:t>
      </w:r>
    </w:p>
    <w:p>
      <w:pPr>
        <w:spacing w:after="60"/>
      </w:pPr>
      <w:r>
        <w:t xml:space="preserve">• ISO/IEC 27001:2022 — control de acceso e inactividad de sesión.</w:t>
      </w:r>
    </w:p>
    <w:p>
      <w:pPr>
        <w:spacing w:after="60"/>
      </w:pPr>
      <w:r>
        <w:t xml:space="preserve">• NIST SP 800-63B — políticas de autenticación y contraseñas.</w:t>
      </w:r>
    </w:p>
    <w:p>
      <w:pPr>
        <w:spacing w:after="60"/>
      </w:pPr>
      <w:r>
        <w:t xml:space="preserve">• IEEE 730-2014 y IEEE 830 — estructura de este plan y del documento de RF, respectivamente.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5. Estrategia de pruebas</w:t>
      </w:r>
    </w:p>
    <w:p>
      <w:pPr>
        <w:pStyle w:val="Heading2"/>
        <w:spacing w:after="140" w:before="280"/>
      </w:pPr>
      <w:r>
        <w:t xml:space="preserve">5.1 Niveles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226"/>
      </w:tblGrid>
      <w:tr>
        <w:trPr>
          <w:tblHeader/>
        </w:trP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22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Cuándo se ejecuta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unitarias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Validar funciones y controladores de forma aislada (ej. validaciones de un RF).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Desarrollador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En cada commit / pull request.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de integración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Validar la comunicación entre controlador, modelo y base de datos (incluye triggers).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Desarrollador / QA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Al cerrar cada HU.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funcionales / de sistema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Validar cada RF completo contra sus criterios de aceptación (CA-xxx) y casos de prueba (CP-xxx).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Tester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Al final de cada sprint.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de aceptación (UAT)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Validar cada Caso de Uso desde la perspectiva del usuario final (Cliente, Técnico, Recepcionista, Administrador, Súper Administrador).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Product Owner + usuarios clave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Antes de cada liberación a producción.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de regresión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Confirmar que una corrección no rompe funcionalidad ya validada.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Tester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Antes de cada liberación.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de seguridad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Verificar RNF-003, RNF-005, RNF-006 y el control de acceso por rol de cada endpoint.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Responsable de seguridad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Antes de cada liberación y ante cualquier cambio de roles/permisos.</w:t>
            </w:r>
          </w:p>
        </w:tc>
      </w:tr>
      <w:tr>
        <w:tc>
          <w:tcPr>
            <w:tcW w:type="dxa" w:w="1800"/>
          </w:tcPr>
          <w:p>
            <w:pPr>
              <w:spacing w:after="100"/>
            </w:pPr>
            <w:r>
              <w:t xml:space="preserve">Pruebas de rendimiento</w:t>
            </w:r>
          </w:p>
        </w:tc>
        <w:tc>
          <w:tcPr>
            <w:tcW w:type="dxa" w:w="3200"/>
          </w:tcPr>
          <w:p>
            <w:pPr>
              <w:spacing w:after="100"/>
            </w:pPr>
            <w:r>
              <w:t xml:space="preserve">Verificar los tiempos de respuesta definidos en RNF-002.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QA Lead</w:t>
            </w:r>
          </w:p>
        </w:tc>
        <w:tc>
          <w:tcPr>
            <w:tcW w:type="dxa" w:w="2226"/>
          </w:tcPr>
          <w:p>
            <w:pPr>
              <w:spacing w:after="100"/>
            </w:pPr>
            <w:r>
              <w:t xml:space="preserve">Antes de la primera liberación y ante cambios grandes de carga de datos.</w:t>
            </w:r>
          </w:p>
        </w:tc>
      </w:tr>
    </w:tbl>
    <w:p>
      <w:pPr>
        <w:pStyle w:val="Heading2"/>
        <w:spacing w:after="140" w:before="280"/>
      </w:pPr>
      <w:r>
        <w:t xml:space="preserve">5.2 Criterios de entrada y salida</w:t>
      </w:r>
    </w:p>
    <w:p>
      <w:pPr>
        <w:spacing w:after="100"/>
      </w:pPr>
      <w:r>
        <w:rPr>
          <w:b/>
          <w:bCs/>
        </w:rPr>
        <w:t xml:space="preserve">Criterios de entrada a pruebas de un RF:</w:t>
      </w:r>
    </w:p>
    <w:p>
      <w:pPr>
        <w:spacing w:after="60"/>
      </w:pPr>
      <w:r>
        <w:t xml:space="preserve">• El RF, su CU y su HU están documentados y con Completo = Sí en el checklist.</w:t>
      </w:r>
    </w:p>
    <w:p>
      <w:pPr>
        <w:spacing w:after="60"/>
      </w:pPr>
      <w:r>
        <w:t xml:space="preserve">• El desarrollo de la HU está en estado "Testeando" en el tablero Kanban.</w:t>
      </w:r>
    </w:p>
    <w:p>
      <w:pPr>
        <w:spacing w:after="100"/>
      </w:pPr>
      <w:r>
        <w:rPr>
          <w:b/>
          <w:bCs/>
        </w:rPr>
        <w:t xml:space="preserve">Criterios de salida (para marcar la HU como "Hecho"):</w:t>
      </w:r>
    </w:p>
    <w:p>
      <w:pPr>
        <w:spacing w:after="60"/>
      </w:pPr>
      <w:r>
        <w:t xml:space="preserve">• Todos los criterios de aceptación (CA) del RF pasan.</w:t>
      </w:r>
    </w:p>
    <w:p>
      <w:pPr>
        <w:spacing w:after="60"/>
      </w:pPr>
      <w:r>
        <w:t xml:space="preserve">• Todos los casos de prueba (CP) asociados pasan, incluidos los de rol/permiso cuando aplique.</w:t>
      </w:r>
    </w:p>
    <w:p>
      <w:pPr>
        <w:spacing w:after="60"/>
      </w:pPr>
      <w:r>
        <w:t xml:space="preserve">• No quedan defectos abiertos de severidad Crítica o Alta asociados a esa HU.</w:t>
      </w:r>
    </w:p>
    <w:p>
      <w:pPr>
        <w:pStyle w:val="Heading2"/>
        <w:spacing w:after="140" w:before="280"/>
      </w:pPr>
      <w:r>
        <w:t xml:space="preserve">5.3 Cobertura de pruebas</w:t>
      </w:r>
    </w:p>
    <w:p>
      <w:pPr>
        <w:spacing w:after="100"/>
      </w:pPr>
      <w:r>
        <w:t xml:space="preserve">La cobertura de este plan corresponde a los casos de prueba ya referenciados en los documentos de RF y CU (aproximadamente CP-001 a CP-146, más los casos de RNF). Cada nuevo RF que se agregue debe traer sus propios casos de prueba numerados en la misma serie, y actualizar el checklist.</w:t>
      </w:r>
    </w:p>
    <w:p>
      <w:pPr>
        <w:pStyle w:val="Heading2"/>
        <w:spacing w:after="140" w:before="280"/>
      </w:pPr>
      <w:r>
        <w:t xml:space="preserve">5.4 Ambientes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Ambiente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  <w:tc>
          <w:tcPr>
            <w:tcW w:type="dxa" w:w="34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Datos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Desarrollo (local)</w:t>
            </w:r>
          </w:p>
        </w:tc>
        <w:tc>
          <w:tcPr>
            <w:tcW w:type="dxa" w:w="3400"/>
          </w:tcPr>
          <w:p>
            <w:pPr>
              <w:spacing w:after="100"/>
            </w:pPr>
            <w:r>
              <w:t xml:space="preserve">Pruebas unitarias y de integración durante el desarrollo.</w:t>
            </w:r>
          </w:p>
        </w:tc>
        <w:tc>
          <w:tcPr>
            <w:tcW w:type="dxa" w:w="3426"/>
          </w:tcPr>
          <w:p>
            <w:pPr>
              <w:spacing w:after="100"/>
            </w:pPr>
            <w:r>
              <w:t xml:space="preserve">Datos de prueba ficticios, generados por el desarrollador.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QA / Staging</w:t>
            </w:r>
          </w:p>
        </w:tc>
        <w:tc>
          <w:tcPr>
            <w:tcW w:type="dxa" w:w="3400"/>
          </w:tcPr>
          <w:p>
            <w:pPr>
              <w:spacing w:after="100"/>
            </w:pPr>
            <w:r>
              <w:t xml:space="preserve">Pruebas funcionales, de regresión, de seguridad y UAT.</w:t>
            </w:r>
          </w:p>
        </w:tc>
        <w:tc>
          <w:tcPr>
            <w:tcW w:type="dxa" w:w="3426"/>
          </w:tcPr>
          <w:p>
            <w:pPr>
              <w:spacing w:after="100"/>
            </w:pPr>
            <w:r>
              <w:t xml:space="preserve">Copia anonimizada o ficticia de datos representativos de cada módulo y rol.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t xml:space="preserve">Producción</w:t>
            </w:r>
          </w:p>
        </w:tc>
        <w:tc>
          <w:tcPr>
            <w:tcW w:type="dxa" w:w="3400"/>
          </w:tcPr>
          <w:p>
            <w:pPr>
              <w:spacing w:after="100"/>
            </w:pPr>
            <w:r>
              <w:t xml:space="preserve">Uso real del sistema por clientes, técnicos y personal de RocketService.</w:t>
            </w:r>
          </w:p>
        </w:tc>
        <w:tc>
          <w:tcPr>
            <w:tcW w:type="dxa" w:w="3426"/>
          </w:tcPr>
          <w:p>
            <w:pPr>
              <w:spacing w:after="100"/>
            </w:pPr>
            <w:r>
              <w:t xml:space="preserve">Datos reales. No se ejecutan pruebas aquí, salvo monitoreo post-liberación.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6. Gestión de defectos</w:t>
      </w:r>
    </w:p>
    <w:p>
      <w:pPr>
        <w:pStyle w:val="Heading2"/>
        <w:spacing w:after="140" w:before="280"/>
      </w:pPr>
      <w:r>
        <w:t xml:space="preserve">6.1 Clasificación de severidad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900"/>
        <w:gridCol w:w="1426"/>
      </w:tblGrid>
      <w:tr>
        <w:trPr>
          <w:tblHeader/>
        </w:trPr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  <w:tc>
          <w:tcPr>
            <w:tcW w:type="dxa" w:w="3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Ejemplo real ya detectado en el proyecto</w:t>
            </w:r>
          </w:p>
        </w:tc>
        <w:tc>
          <w:tcPr>
            <w:tcW w:type="dxa" w:w="14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Tiempo objetivo de respuesta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Crítica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>Impide el uso del sistema, causa pérdida de datos o expone una falla de seguridad grave.</w:t>
            </w:r>
          </w:p>
        </w:tc>
        <w:tc>
          <w:tcPr>
            <w:tcW w:type="dxa" w:w="3900"/>
          </w:tcPr>
          <w:p>
            <w:pPr>
              <w:spacing w:after="100"/>
            </w:pPr>
            <w:r>
              <w:t xml:space="preserve">Falta de segundo factor de autenticación en rutas administrativas (RNF-006); RoleModelo.delete permite eliminar cualquier rol, incluido uno en uso.</w:t>
            </w:r>
          </w:p>
        </w:tc>
        <w:tc>
          <w:tcPr>
            <w:tcW w:type="dxa" w:w="1426"/>
          </w:tcPr>
          <w:p>
            <w:pPr>
              <w:spacing w:after="100"/>
            </w:pPr>
            <w:r>
              <w:t xml:space="preserve">Inmediato (mismo día).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Alta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>Una funcionalidad principal no cumple su RF o su regla de negocio.</w:t>
            </w:r>
          </w:p>
        </w:tc>
        <w:tc>
          <w:tcPr>
            <w:tcW w:type="dxa" w:w="3900"/>
          </w:tcPr>
          <w:p>
            <w:pPr>
              <w:spacing w:after="100"/>
            </w:pPr>
            <w:r>
              <w:t xml:space="preserve">Rutas con control de rol incorrecto (técnico/cliente pudiendo listar todos los usuarios); ausencia de RF-M1.3 Recuperar contraseña.</w:t>
            </w:r>
          </w:p>
        </w:tc>
        <w:tc>
          <w:tcPr>
            <w:tcW w:type="dxa" w:w="1426"/>
          </w:tcPr>
          <w:p>
            <w:pPr>
              <w:spacing w:after="100"/>
            </w:pPr>
            <w:r>
              <w:t xml:space="preserve">1 a 2 días hábiles.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Media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>Una funcionalidad secundaria falla o falta una validación no crítica.</w:t>
            </w:r>
          </w:p>
        </w:tc>
        <w:tc>
          <w:tcPr>
            <w:tcW w:type="dxa" w:w="3900"/>
          </w:tcPr>
          <w:p>
            <w:pPr>
              <w:spacing w:after="100"/>
            </w:pPr>
            <w:r>
              <w:t xml:space="preserve">Falta de validación de cantidad negativa o de nombre/placa duplicados a nivel de aplicación (la base de datos ya los restringe).</w:t>
            </w:r>
          </w:p>
        </w:tc>
        <w:tc>
          <w:tcPr>
            <w:tcW w:type="dxa" w:w="1426"/>
          </w:tcPr>
          <w:p>
            <w:pPr>
              <w:spacing w:after="100"/>
            </w:pPr>
            <w:r>
              <w:t xml:space="preserve">Dentro del sprint actual.</w:t>
            </w:r>
          </w:p>
        </w:tc>
      </w:tr>
      <w:tr>
        <w:tc>
          <w:tcPr>
            <w:tcW w:type="dxa" w:w="1300"/>
          </w:tcPr>
          <w:p>
            <w:pPr>
              <w:spacing w:after="100"/>
            </w:pPr>
            <w:r>
              <w:t xml:space="preserve">Baja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>Defecto cosmético, de texto o de una función de bajo uso.</w:t>
            </w:r>
          </w:p>
        </w:tc>
        <w:tc>
          <w:tcPr>
            <w:tcW w:type="dxa" w:w="3900"/>
          </w:tcPr>
          <w:p>
            <w:pPr>
              <w:spacing w:after="100"/>
            </w:pPr>
            <w:r>
              <w:t xml:space="preserve">Placeholder de búsqueda con texto copiado de otra pantalla ("Buscar por número de identidad" en el módulo de Repuestos).</w:t>
            </w:r>
          </w:p>
        </w:tc>
        <w:tc>
          <w:tcPr>
            <w:tcW w:type="dxa" w:w="1426"/>
          </w:tcPr>
          <w:p>
            <w:pPr>
              <w:spacing w:after="100"/>
            </w:pPr>
            <w:r>
              <w:t xml:space="preserve">Puede programarse para un sprint posterior.</w:t>
            </w:r>
          </w:p>
        </w:tc>
      </w:tr>
    </w:tbl>
    <w:p>
      <w:pPr>
        <w:pStyle w:val="Heading2"/>
        <w:spacing w:after="140" w:before="280"/>
      </w:pPr>
      <w:r>
        <w:t xml:space="preserve">6.2 Ciclo de vida de un defecto</w:t>
      </w:r>
    </w:p>
    <w:p>
      <w:pPr>
        <w:spacing w:after="100"/>
      </w:pPr>
      <w:r>
        <w:t xml:space="preserve">Nuevo → En análisis → En corrección → En pruebas → Cerrado (o Reabierto, si la corrección no fue efectiva).</w:t>
      </w:r>
    </w:p>
    <w:p>
      <w:pPr>
        <w:spacing w:after="60"/>
      </w:pPr>
      <w:r>
        <w:t xml:space="preserve">• Nuevo: el tester o cualquier usuario reporta el defecto con pasos para reproducirlo, RF/CU relacionado y evidencia.</w:t>
      </w:r>
    </w:p>
    <w:p>
      <w:pPr>
        <w:spacing w:after="60"/>
      </w:pPr>
      <w:r>
        <w:t xml:space="preserve">• En análisis: el QA Lead confirma la severidad y lo asigna a un desarrollador.</w:t>
      </w:r>
    </w:p>
    <w:p>
      <w:pPr>
        <w:spacing w:after="60"/>
      </w:pPr>
      <w:r>
        <w:t xml:space="preserve">• En corrección: el desarrollador implementa la solución y actualiza la observación del RF si corresponde.</w:t>
      </w:r>
    </w:p>
    <w:p>
      <w:pPr>
        <w:spacing w:after="60"/>
      </w:pPr>
      <w:r>
        <w:t xml:space="preserve">• En pruebas: el tester valida la corrección contra el caso de prueba original.</w:t>
      </w:r>
    </w:p>
    <w:p>
      <w:pPr>
        <w:spacing w:after="60"/>
      </w:pPr>
      <w:r>
        <w:t xml:space="preserve">• Cerrado: el defecto pasa las pruebas y no reaparece en la regresión.</w:t>
      </w:r>
    </w:p>
    <w:p>
      <w:pPr>
        <w:pStyle w:val="Heading2"/>
        <w:spacing w:after="140" w:before="280"/>
      </w:pPr>
      <w:r>
        <w:t xml:space="preserve">6.3 Herramienta sugerida</w:t>
      </w:r>
    </w:p>
    <w:p>
      <w:pPr>
        <w:spacing w:after="100"/>
      </w:pPr>
      <w:r>
        <w:t xml:space="preserve">Se recomienda gestionar los defectos en la misma herramienta de tablero que las HU (columna adicional "Defectos" o un tablero paralelo), o en una herramienta dedicada (Jira, GitHub Issues, Trello) si el equipo ya cuenta con alguna licencia — a definir por el equipo.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7. Métricas de calidad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926"/>
      </w:tblGrid>
      <w:tr>
        <w:trPr>
          <w:tblHeader/>
        </w:trPr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Fórmula / forma de medición</w:t>
            </w:r>
          </w:p>
        </w:tc>
        <w:tc>
          <w:tcPr>
            <w:tcW w:type="dxa" w:w="29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Meta</w:t>
            </w:r>
          </w:p>
        </w:tc>
      </w:tr>
      <w:tr>
        <w:tc>
          <w:tcPr>
            <w:tcW w:type="dxa" w:w="2300"/>
          </w:tcPr>
          <w:p>
            <w:pPr>
              <w:spacing w:after="100"/>
            </w:pPr>
            <w:r>
              <w:t xml:space="preserve">Cobertura de casos de prueba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(RF con al menos 1 CP ejecutado ÷ Total de RF) × 100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100% antes de cada liberación.</w:t>
            </w:r>
          </w:p>
        </w:tc>
      </w:tr>
      <w:tr>
        <w:tc>
          <w:tcPr>
            <w:tcW w:type="dxa" w:w="2300"/>
          </w:tcPr>
          <w:p>
            <w:pPr>
              <w:spacing w:after="100"/>
            </w:pPr>
            <w:r>
              <w:t xml:space="preserve">Tasa de aprobación de pruebas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(CP aprobados ÷ CP ejecutados) × 100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≥ 95% antes de liberar a producción.</w:t>
            </w:r>
          </w:p>
        </w:tc>
      </w:tr>
      <w:tr>
        <w:tc>
          <w:tcPr>
            <w:tcW w:type="dxa" w:w="2300"/>
          </w:tcPr>
          <w:p>
            <w:pPr>
              <w:spacing w:after="100"/>
            </w:pPr>
            <w:r>
              <w:t xml:space="preserve">Densidad de defectos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Defectos encontrados ÷ Número de RF liberados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Tendencia decreciente sprint a sprint.</w:t>
            </w:r>
          </w:p>
        </w:tc>
      </w:tr>
      <w:tr>
        <w:tc>
          <w:tcPr>
            <w:tcW w:type="dxa" w:w="2300"/>
          </w:tcPr>
          <w:p>
            <w:pPr>
              <w:spacing w:after="100"/>
            </w:pPr>
            <w:r>
              <w:t xml:space="preserve">Defectos críticos abiertos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Conteo directo desde el tablero de defectos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0 antes de cada liberación.</w:t>
            </w:r>
          </w:p>
        </w:tc>
      </w:tr>
      <w:tr>
        <w:tc>
          <w:tcPr>
            <w:tcW w:type="dxa" w:w="2300"/>
          </w:tcPr>
          <w:p>
            <w:pPr>
              <w:spacing w:after="100"/>
            </w:pPr>
            <w:r>
              <w:t xml:space="preserve">Cumplimiento de RNF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(RNF verificados y conformes ÷ 8) × 100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100% antes de la primera liberación general.</w:t>
            </w:r>
          </w:p>
        </w:tc>
      </w:tr>
      <w:tr>
        <w:tc>
          <w:tcPr>
            <w:tcW w:type="dxa" w:w="2300"/>
          </w:tcPr>
          <w:p>
            <w:pPr>
              <w:spacing w:after="100"/>
            </w:pPr>
            <w:r>
              <w:t xml:space="preserve">Tiempo medio de corrección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Promedio de tiempo entre "Nuevo" y "Cerrado" por severidad</w:t>
            </w:r>
          </w:p>
        </w:tc>
        <w:tc>
          <w:tcPr>
            <w:tcW w:type="dxa" w:w="2926"/>
          </w:tcPr>
          <w:p>
            <w:pPr>
              <w:spacing w:after="100"/>
            </w:pPr>
            <w:r>
              <w:t xml:space="preserve">Dentro del tiempo objetivo definido en 6.1.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8. Revisiones y auditorías</w:t>
      </w:r>
    </w:p>
    <w:p>
      <w:pPr>
        <w:spacing w:after="100"/>
      </w:pPr>
      <w:r>
        <w:t xml:space="preserve">Este plan se apoya en la planeación de 9 sprints ya estimada en el documento de Épicas e Historias de Usuario. Se proponen los siguientes puntos de control:</w:t>
      </w:r>
    </w:p>
    <w:p>
      <w:pPr>
        <w:spacing w:after="60"/>
      </w:pPr>
      <w:r>
        <w:t xml:space="preserve">• Revisión de documentación (RF/CU/HU/Checklist): al cierre de cada sprint, antes de iniciar el siguiente.</w:t>
      </w:r>
    </w:p>
    <w:p>
      <w:pPr>
        <w:spacing w:after="60"/>
      </w:pPr>
      <w:r>
        <w:t xml:space="preserve">• Revisión de código (code review): en cada pull request, por al menos un desarrollador distinto al autor.</w:t>
      </w:r>
    </w:p>
    <w:p>
      <w:pPr>
        <w:spacing w:after="60"/>
      </w:pPr>
      <w:r>
        <w:t xml:space="preserve">• Auditoría de seguridad y roles: al finalizar el Sprint 1 (Usuarios) y antes de cada liberación, dado que los permisos por rol han cambiado varias veces durante la documentación.</w:t>
      </w:r>
    </w:p>
    <w:p>
      <w:pPr>
        <w:spacing w:after="60"/>
      </w:pPr>
      <w:r>
        <w:t xml:space="preserve">• Auditoría de base de datos: al finalizar el Sprint 6 (Entrada de Repuestos), revisando tipos de dato, triggers de stock y restricciones UNIQUE.</w:t>
      </w:r>
    </w:p>
    <w:p>
      <w:pPr>
        <w:spacing w:after="60"/>
      </w:pPr>
      <w:r>
        <w:t xml:space="preserve">• UAT general: antes de la primera liberación a producción, con participación de al menos un usuario por rol (Cliente, Técnico, Recepcionista, Administrador, Súper Administrador).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9. Gestión de configuración de software (SCM)</w:t>
      </w:r>
    </w:p>
    <w:p>
      <w:pPr>
        <w:spacing w:after="60"/>
      </w:pPr>
      <w:r>
        <w:t xml:space="preserve">• Control de versiones: se recomienda una rama principal estable (main/producción) y una rama de desarrollo (develop), con ramas de feature por HU (por ejemplo, feature/HU-M3.6).</w:t>
      </w:r>
    </w:p>
    <w:p>
      <w:pPr>
        <w:spacing w:after="60"/>
      </w:pPr>
      <w:r>
        <w:t xml:space="preserve">• Cada commit relevante debe referenciar el ID de la HU o del defecto que atiende.</w:t>
      </w:r>
    </w:p>
    <w:p>
      <w:pPr>
        <w:spacing w:after="60"/>
      </w:pPr>
      <w:r>
        <w:t xml:space="preserve">• Los documentos de RF, RNF, CU, HU y el checklist deben versionarse junto con el código (o en un repositorio de documentación compartido), incrementando la versión cada vez que cambie el alcance.</w:t>
      </w:r>
    </w:p>
    <w:p>
      <w:pPr>
        <w:spacing w:after="60"/>
      </w:pPr>
      <w:r>
        <w:t xml:space="preserve">• Herramienta de control de versiones, CI/CD y ambientes de despliegue: a confirmar con el equipo (no se identificó configuración de CI/CD en los archivos revisados hasta ahora).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10. Gestión de riesgos de calidad</w:t>
      </w:r>
    </w:p>
    <w:p>
      <w:pPr>
        <w:spacing w:after="100"/>
      </w:pPr>
      <w:r>
        <w:t xml:space="preserve">A diferencia de un plan de calidad genérico, esta sección lista riesgos de calidad reales ya detectados durante la documentación de RocketService, para que el equipo los priorice explícitamente.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026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30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Acción recomendada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Falta de segundo factor de autenticación en rutas administrativas.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Usuarios (RNF-006)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Alto — acceso indebido a funciones críticas.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Implementar 2FA antes de la primera liberación general.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Eliminación de roles sin validar si están en uso o si son roles base.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Roles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Alto — puede dejar usuarios sin rol válido o eliminar "super admin".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Implementar RN-023/RN-024 antes de habilitar el módulo Roles.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Campos de cantidad tipados como VARCHAR en vez de INT.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Repuestos, Entrada de Repuestos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Medio — cálculos de stock dependientes de conversión implícita.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Migrar a tipo INT y revisar los triggers asociados.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Falta de trigger que ajuste el stock al editar o eliminar una entrada de repuestos.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Entrada de Repuestos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Medio — inventario puede quedar inflado o desincronizado.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Agregar triggers AFTER UPDATE / AFTER DELETE o bloquear la edición de cantidad.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Controles de rol inconsistentes entre listar y consultar detalle en el mismo módulo.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Repuestos, Motocicletas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Medio — confusión de permisos y posible fuga de datos.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Unificar el criterio de acceso por acción y por rol en todas las rutas.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Mensajes de error que exponen detalles técnicos internos (error.message).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Transversal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Bajo/Medio — mala experiencia de usuario, posible fuga de información técnica.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Mapear errores a mensajes controlados (RNF-007).</w:t>
            </w:r>
          </w:p>
        </w:tc>
      </w:tr>
      <w:tr>
        <w:tc>
          <w:tcPr>
            <w:tcW w:type="dxa" w:w="2600"/>
          </w:tcPr>
          <w:p>
            <w:pPr>
              <w:spacing w:after="100"/>
            </w:pPr>
            <w:r>
              <w:t xml:space="preserve">Valor de rol con espacio en blanco ("Recepcionista ") en la base de datos.</w:t>
            </w:r>
          </w:p>
        </w:tc>
        <w:tc>
          <w:tcPr>
            <w:tcW w:type="dxa" w:w="1600"/>
          </w:tcPr>
          <w:p>
            <w:pPr>
              <w:spacing w:after="100"/>
            </w:pPr>
            <w:r>
              <w:t xml:space="preserve">Roles / Usuarios</w:t>
            </w:r>
          </w:p>
        </w:tc>
        <w:tc>
          <w:tcPr>
            <w:tcW w:type="dxa" w:w="1800"/>
          </w:tcPr>
          <w:p>
            <w:pPr>
              <w:spacing w:after="100"/>
            </w:pPr>
            <w:r>
              <w:t xml:space="preserve">Bajo — puede romper comparaciones de texto exactas en el código.</w:t>
            </w:r>
          </w:p>
        </w:tc>
        <w:tc>
          <w:tcPr>
            <w:tcW w:type="dxa" w:w="3026"/>
          </w:tcPr>
          <w:p>
            <w:pPr>
              <w:spacing w:after="100"/>
            </w:pPr>
            <w:r>
              <w:t xml:space="preserve">Limpiar el dato y validar que el registro de roles no permita espacios extra.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11. Capacitación</w:t>
      </w:r>
    </w:p>
    <w:p>
      <w:pPr>
        <w:spacing w:after="60"/>
      </w:pPr>
      <w:r>
        <w:t xml:space="preserve">• Todo integrante nuevo del equipo debe leer, como mínimo, el documento de RF/RNF y este Plan de Calidad antes de tomar una HU.</w:t>
      </w:r>
    </w:p>
    <w:p>
      <w:pPr>
        <w:spacing w:after="60"/>
      </w:pPr>
      <w:r>
        <w:t xml:space="preserve">• El Responsable de seguridad debe validar que cada nuevo desarrollador entienda la matriz de roles (Cliente, Técnico, Recepcionista, Administrador, Súper Administrador) antes de tocar código de autenticación o permisos.</w:t>
      </w:r>
    </w:p>
    <w:p>
      <w:pPr>
        <w:spacing w:after="60"/>
      </w:pPr>
      <w:r>
        <w:t xml:space="preserve">• Se recomienda una sesión breve de alineación al inicio de cada sprint, repasando las HU y los riesgos de calidad relacionados con ese módulo.</w:t>
      </w:r>
    </w:p>
    <w:p>
      <w:pPr>
        <w:pStyle w:val="Heading1"/>
        <w:spacing w:after="140" w:before="280"/>
      </w:pPr>
      <w:r>
        <w:t xml:space="preserve">12. Aprobación del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Firma</w:t>
            </w:r>
          </w:p>
        </w:tc>
        <w:tc>
          <w:tcPr>
            <w:tcW w:type="dxa" w:w="18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Product Owner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1826"/>
          </w:tcPr>
          <w:p>
            <w:pPr>
              <w:spacing w:after="100"/>
            </w:pPr>
            <w: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QA Lead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1826"/>
          </w:tcPr>
          <w:p>
            <w:pPr>
              <w:spacing w:after="100"/>
            </w:pPr>
            <w: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100"/>
            </w:pPr>
            <w:r>
              <w:t xml:space="preserve">Líder de proyecto</w:t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2400"/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1826"/>
          </w:tcPr>
          <w:p>
            <w:pPr>
              <w:spacing w:after="100"/>
            </w:pPr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2026-08-06T00:24:12.140Z</dcterms:created>
  <dcterms:modified xsi:type="dcterms:W3CDTF">2026-08-06T00:24:12.157Z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