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04359">
      <w:pPr>
        <w:spacing w:before="480" w:after="480" w:line="288" w:lineRule="auto"/>
        <w:ind w:left="0"/>
        <w:jc w:val="center"/>
      </w:pPr>
      <w:r>
        <w:rPr>
          <w:rFonts w:ascii="Arial" w:hAnsi="Arial" w:eastAsia="等线" w:cs="Arial"/>
          <w:b/>
          <w:sz w:val="52"/>
        </w:rPr>
        <w:t>专业分析报告</w:t>
      </w:r>
    </w:p>
    <w:p w14:paraId="56F80401">
      <w:pPr>
        <w:spacing w:before="320" w:after="120" w:line="288" w:lineRule="auto"/>
        <w:ind w:left="0"/>
        <w:jc w:val="left"/>
        <w:outlineLvl w:val="1"/>
      </w:pPr>
      <w:bookmarkStart w:id="0" w:name="heading_1"/>
      <w:r>
        <w:rPr>
          <w:rFonts w:ascii="Arial" w:hAnsi="Arial" w:eastAsia="等线" w:cs="Arial"/>
          <w:b/>
          <w:sz w:val="32"/>
        </w:rPr>
        <w:t>目录</w:t>
      </w:r>
      <w:bookmarkEnd w:id="0"/>
    </w:p>
    <w:p w14:paraId="497D552D">
      <w:pPr>
        <w:numPr>
          <w:ilvl w:val="0"/>
          <w:numId w:val="1"/>
        </w:numPr>
        <w:spacing w:before="120" w:after="120" w:line="288" w:lineRule="auto"/>
        <w:ind w:left="0"/>
        <w:jc w:val="left"/>
      </w:pPr>
      <w:r>
        <w:rPr>
          <w:rFonts w:ascii="Arial" w:hAnsi="Arial" w:eastAsia="等线" w:cs="Arial"/>
          <w:sz w:val="22"/>
        </w:rPr>
        <w:t>专业的“真相”</w:t>
      </w:r>
    </w:p>
    <w:p w14:paraId="22A163F6">
      <w:pPr>
        <w:spacing w:before="120" w:after="120" w:line="288" w:lineRule="auto"/>
        <w:ind w:left="0"/>
        <w:jc w:val="left"/>
      </w:pPr>
      <w:r>
        <w:rPr>
          <w:rFonts w:ascii="Arial" w:hAnsi="Arial" w:eastAsia="等线" w:cs="Arial"/>
          <w:sz w:val="22"/>
        </w:rPr>
        <w:t xml:space="preserve"> 1.1 专业初印象vs现实</w:t>
      </w:r>
    </w:p>
    <w:p w14:paraId="5E62D30C">
      <w:pPr>
        <w:spacing w:before="120" w:after="120" w:line="288" w:lineRule="auto"/>
        <w:ind w:left="0"/>
        <w:jc w:val="left"/>
      </w:pPr>
      <w:r>
        <w:rPr>
          <w:rFonts w:ascii="Arial" w:hAnsi="Arial" w:eastAsia="等线" w:cs="Arial"/>
          <w:sz w:val="22"/>
        </w:rPr>
        <w:t xml:space="preserve"> 1.2 该专业的社会价值</w:t>
      </w:r>
    </w:p>
    <w:p w14:paraId="42A1DD00">
      <w:pPr>
        <w:numPr>
          <w:ilvl w:val="0"/>
          <w:numId w:val="2"/>
        </w:numPr>
        <w:spacing w:before="120" w:after="120" w:line="288" w:lineRule="auto"/>
        <w:ind w:left="0"/>
        <w:jc w:val="left"/>
      </w:pPr>
      <w:r>
        <w:rPr>
          <w:rFonts w:ascii="Arial" w:hAnsi="Arial" w:eastAsia="等线" w:cs="Arial"/>
          <w:sz w:val="22"/>
        </w:rPr>
        <w:t>行业发展现状与趋势</w:t>
      </w:r>
    </w:p>
    <w:p w14:paraId="004480AF">
      <w:pPr>
        <w:spacing w:before="120" w:after="120" w:line="288" w:lineRule="auto"/>
        <w:ind w:left="0"/>
        <w:jc w:val="left"/>
      </w:pPr>
      <w:r>
        <w:rPr>
          <w:rFonts w:ascii="Arial" w:hAnsi="Arial" w:eastAsia="等线" w:cs="Arial"/>
          <w:sz w:val="22"/>
        </w:rPr>
        <w:t xml:space="preserve"> 2.1 行业大数据</w:t>
      </w:r>
    </w:p>
    <w:p w14:paraId="27B1B70A">
      <w:pPr>
        <w:spacing w:before="120" w:after="120" w:line="288" w:lineRule="auto"/>
        <w:ind w:left="0"/>
        <w:jc w:val="left"/>
      </w:pPr>
      <w:r>
        <w:rPr>
          <w:rFonts w:ascii="Arial" w:hAnsi="Arial" w:eastAsia="等线" w:cs="Arial"/>
          <w:sz w:val="22"/>
        </w:rPr>
        <w:t xml:space="preserve"> 2.2 行业的新风口</w:t>
      </w:r>
    </w:p>
    <w:p w14:paraId="63982328">
      <w:pPr>
        <w:spacing w:before="120" w:after="120" w:line="288" w:lineRule="auto"/>
        <w:ind w:left="0"/>
        <w:jc w:val="left"/>
      </w:pPr>
      <w:r>
        <w:rPr>
          <w:rFonts w:ascii="Arial" w:hAnsi="Arial" w:eastAsia="等线" w:cs="Arial"/>
          <w:sz w:val="22"/>
        </w:rPr>
        <w:t xml:space="preserve"> 2.3 典型企业分析</w:t>
      </w:r>
    </w:p>
    <w:p w14:paraId="17267128">
      <w:pPr>
        <w:numPr>
          <w:ilvl w:val="0"/>
          <w:numId w:val="3"/>
        </w:numPr>
        <w:spacing w:before="120" w:after="120" w:line="288" w:lineRule="auto"/>
        <w:ind w:left="0"/>
        <w:jc w:val="left"/>
      </w:pPr>
      <w:r>
        <w:rPr>
          <w:rFonts w:ascii="Arial" w:hAnsi="Arial" w:eastAsia="等线" w:cs="Arial"/>
          <w:sz w:val="22"/>
        </w:rPr>
        <w:t>AI技术对行业的颠覆</w:t>
      </w:r>
    </w:p>
    <w:p w14:paraId="06DA8A98">
      <w:pPr>
        <w:spacing w:before="120" w:after="120" w:line="288" w:lineRule="auto"/>
        <w:ind w:left="0"/>
        <w:jc w:val="left"/>
      </w:pPr>
      <w:r>
        <w:rPr>
          <w:rFonts w:ascii="Arial" w:hAnsi="Arial" w:eastAsia="等线" w:cs="Arial"/>
          <w:sz w:val="22"/>
        </w:rPr>
        <w:t xml:space="preserve"> 3.1 AI工具的应用场景</w:t>
      </w:r>
    </w:p>
    <w:p w14:paraId="7E4FD5F8">
      <w:pPr>
        <w:spacing w:before="120" w:after="120" w:line="288" w:lineRule="auto"/>
        <w:ind w:left="0"/>
        <w:jc w:val="left"/>
      </w:pPr>
      <w:r>
        <w:rPr>
          <w:rFonts w:ascii="Arial" w:hAnsi="Arial" w:eastAsia="等线" w:cs="Arial"/>
          <w:sz w:val="22"/>
        </w:rPr>
        <w:t xml:space="preserve"> 3.2 正面影响</w:t>
      </w:r>
    </w:p>
    <w:p w14:paraId="57EA91EB">
      <w:pPr>
        <w:spacing w:before="120" w:after="120" w:line="288" w:lineRule="auto"/>
        <w:ind w:left="0"/>
        <w:jc w:val="left"/>
      </w:pPr>
      <w:r>
        <w:rPr>
          <w:rFonts w:ascii="Arial" w:hAnsi="Arial" w:eastAsia="等线" w:cs="Arial"/>
          <w:sz w:val="22"/>
        </w:rPr>
        <w:t xml:space="preserve"> 3.3 负面挑战与危机</w:t>
      </w:r>
    </w:p>
    <w:p w14:paraId="575BE318">
      <w:pPr>
        <w:numPr>
          <w:ilvl w:val="0"/>
          <w:numId w:val="4"/>
        </w:numPr>
        <w:spacing w:before="120" w:after="120" w:line="288" w:lineRule="auto"/>
        <w:ind w:left="0"/>
        <w:jc w:val="left"/>
      </w:pPr>
      <w:r>
        <w:rPr>
          <w:rFonts w:ascii="Arial" w:hAnsi="Arial" w:eastAsia="等线" w:cs="Arial"/>
          <w:sz w:val="22"/>
        </w:rPr>
        <w:t>我的目标岗位与薪资调研</w:t>
      </w:r>
    </w:p>
    <w:p w14:paraId="1F93B5F1">
      <w:pPr>
        <w:spacing w:before="120" w:after="120" w:line="288" w:lineRule="auto"/>
        <w:ind w:left="0"/>
        <w:jc w:val="left"/>
      </w:pPr>
      <w:r>
        <w:rPr>
          <w:rFonts w:ascii="Arial" w:hAnsi="Arial" w:eastAsia="等线" w:cs="Arial"/>
          <w:sz w:val="22"/>
        </w:rPr>
        <w:t xml:space="preserve"> 4.1 目标岗位画像</w:t>
      </w:r>
    </w:p>
    <w:p w14:paraId="68E93581">
      <w:pPr>
        <w:spacing w:before="120" w:after="120" w:line="288" w:lineRule="auto"/>
        <w:ind w:left="0"/>
        <w:jc w:val="left"/>
      </w:pPr>
      <w:r>
        <w:rPr>
          <w:rFonts w:ascii="Arial" w:hAnsi="Arial" w:eastAsia="等线" w:cs="Arial"/>
          <w:sz w:val="22"/>
        </w:rPr>
        <w:t xml:space="preserve"> 4.2 薪资水平调研</w:t>
      </w:r>
    </w:p>
    <w:p w14:paraId="20A51ADF">
      <w:pPr>
        <w:spacing w:before="120" w:after="120" w:line="288" w:lineRule="auto"/>
        <w:ind w:left="0"/>
        <w:jc w:val="left"/>
      </w:pPr>
      <w:r>
        <w:rPr>
          <w:rFonts w:ascii="Arial" w:hAnsi="Arial" w:eastAsia="等线" w:cs="Arial"/>
          <w:sz w:val="22"/>
        </w:rPr>
        <w:t xml:space="preserve"> 4.3 结论</w:t>
      </w:r>
    </w:p>
    <w:p w14:paraId="5A5E1BAD">
      <w:pPr>
        <w:numPr>
          <w:ilvl w:val="0"/>
          <w:numId w:val="5"/>
        </w:numPr>
        <w:spacing w:before="120" w:after="120" w:line="288" w:lineRule="auto"/>
        <w:ind w:left="0"/>
        <w:jc w:val="left"/>
      </w:pPr>
      <w:r>
        <w:rPr>
          <w:rFonts w:ascii="Arial" w:hAnsi="Arial" w:eastAsia="等线" w:cs="Arial"/>
          <w:sz w:val="22"/>
        </w:rPr>
        <w:t>参考文献</w:t>
      </w:r>
    </w:p>
    <w:p w14:paraId="15F3B051">
      <w:pPr>
        <w:spacing w:before="320" w:after="120" w:line="288" w:lineRule="auto"/>
        <w:ind w:left="0"/>
        <w:jc w:val="left"/>
        <w:outlineLvl w:val="1"/>
      </w:pPr>
      <w:bookmarkStart w:id="1" w:name="heading_2"/>
      <w:r>
        <w:rPr>
          <w:rFonts w:ascii="Arial" w:hAnsi="Arial" w:eastAsia="等线" w:cs="Arial"/>
          <w:b/>
          <w:sz w:val="32"/>
        </w:rPr>
        <w:t>一、专业的“真相”</w:t>
      </w:r>
      <w:bookmarkEnd w:id="1"/>
    </w:p>
    <w:p w14:paraId="42794C7C">
      <w:pPr>
        <w:spacing w:before="300" w:after="120" w:line="288" w:lineRule="auto"/>
        <w:ind w:left="0"/>
        <w:jc w:val="left"/>
        <w:outlineLvl w:val="2"/>
      </w:pPr>
      <w:bookmarkStart w:id="2" w:name="heading_3"/>
      <w:r>
        <w:rPr>
          <w:rFonts w:ascii="Arial" w:hAnsi="Arial" w:eastAsia="等线" w:cs="Arial"/>
          <w:b/>
          <w:sz w:val="30"/>
        </w:rPr>
        <w:t>1.1 专业初印象vs现实</w:t>
      </w:r>
      <w:bookmarkEnd w:id="2"/>
    </w:p>
    <w:p w14:paraId="1AA5F5AB">
      <w:pPr>
        <w:spacing w:before="120" w:after="120" w:line="288" w:lineRule="auto"/>
        <w:ind w:left="0"/>
        <w:jc w:val="left"/>
      </w:pPr>
      <w:r>
        <w:rPr>
          <w:rFonts w:ascii="Arial" w:hAnsi="Arial" w:eastAsia="等线" w:cs="Arial"/>
          <w:sz w:val="22"/>
        </w:rPr>
        <w:t>入学前，在本人认知中，物联网工程主要涉及小米智能家居设备的互联互通以及华为鸿蒙系统所倡导的万物互联，甚至涵盖类似星闪等技术的设计。入学后，通过深入学习，全面了解到该专业的核心课程体系，明晰了需要掌握的专业技能与职业素养。</w:t>
      </w:r>
    </w:p>
    <w:p w14:paraId="52300B1B">
      <w:pPr>
        <w:spacing w:before="120" w:after="120" w:line="288" w:lineRule="auto"/>
        <w:ind w:left="0"/>
        <w:jc w:val="left"/>
      </w:pPr>
      <w:r>
        <w:rPr>
          <w:rFonts w:ascii="Arial" w:hAnsi="Arial" w:eastAsia="等线" w:cs="Arial"/>
          <w:sz w:val="22"/>
        </w:rPr>
        <w:t>此专业学科属性归属于工学/电子信息类，是典型的“软硬协同、云边端一体”交叉专业。其培养目标以产业需求为导向，旨在培养能够独立完成方案设计、开发、集成与运维工作的专业工程师。同时，将华为认证与学分体系挂钩，以提升学生的就业竞争力。</w:t>
      </w:r>
    </w:p>
    <w:p w14:paraId="63BE746A">
      <w:pPr>
        <w:spacing w:before="120" w:after="120" w:line="288" w:lineRule="auto"/>
        <w:ind w:left="0"/>
        <w:jc w:val="left"/>
      </w:pPr>
      <w:r>
        <w:rPr>
          <w:rFonts w:ascii="Arial" w:hAnsi="Arial" w:eastAsia="等线" w:cs="Arial"/>
          <w:sz w:val="22"/>
        </w:rPr>
        <w:t>该专业适合对智能硬件、嵌入式系统、通信协议、云平台以及数据分析领域感兴趣，且乐于参与项目实践与学科竞赛，期望快速融入头部企业与产业链的学生群体。</w:t>
      </w:r>
    </w:p>
    <w:p w14:paraId="38FB93E6">
      <w:pPr>
        <w:spacing w:before="300" w:after="120" w:line="288" w:lineRule="auto"/>
        <w:ind w:left="0"/>
        <w:jc w:val="left"/>
        <w:outlineLvl w:val="2"/>
      </w:pPr>
      <w:bookmarkStart w:id="3" w:name="heading_4"/>
      <w:r>
        <w:rPr>
          <w:rFonts w:ascii="Arial" w:hAnsi="Arial" w:eastAsia="等线" w:cs="Arial"/>
          <w:b/>
          <w:sz w:val="30"/>
        </w:rPr>
        <w:t>1.2 该专业的社会价值</w:t>
      </w:r>
      <w:bookmarkEnd w:id="3"/>
    </w:p>
    <w:p w14:paraId="3560150E">
      <w:pPr>
        <w:spacing w:before="120" w:after="120" w:line="288" w:lineRule="auto"/>
        <w:ind w:left="0"/>
        <w:jc w:val="left"/>
      </w:pPr>
      <w:r>
        <w:rPr>
          <w:rFonts w:ascii="Arial" w:hAnsi="Arial" w:eastAsia="等线" w:cs="Arial"/>
          <w:sz w:val="22"/>
        </w:rPr>
        <w:t>由华为ICT学院共建的物联网工程专业，其社会价值主要体现在支撑国家数字基础设施建设与技术自主可控、加速产业数字化转型、提升公共服务与社会治理效能、补齐专业人才缺口并以竞赛促进创新创业等方面。同时，通过产教融合模式，有效降低社会人才培养与使用成本，形成技术—人才—产业的正向循环发展格局。</w:t>
      </w:r>
    </w:p>
    <w:p w14:paraId="3E6118C3">
      <w:pPr>
        <w:spacing w:before="320" w:after="120" w:line="288" w:lineRule="auto"/>
        <w:ind w:left="0"/>
        <w:jc w:val="left"/>
        <w:outlineLvl w:val="1"/>
      </w:pPr>
      <w:bookmarkStart w:id="4" w:name="heading_5"/>
      <w:r>
        <w:rPr>
          <w:rFonts w:ascii="Arial" w:hAnsi="Arial" w:eastAsia="等线" w:cs="Arial"/>
          <w:b/>
          <w:sz w:val="32"/>
        </w:rPr>
        <w:t>二、行业发展现状与趋势</w:t>
      </w:r>
      <w:bookmarkEnd w:id="4"/>
    </w:p>
    <w:p w14:paraId="026D5111">
      <w:pPr>
        <w:spacing w:before="300" w:after="120" w:line="288" w:lineRule="auto"/>
        <w:ind w:left="0"/>
        <w:jc w:val="left"/>
        <w:outlineLvl w:val="2"/>
      </w:pPr>
      <w:bookmarkStart w:id="5" w:name="heading_6"/>
      <w:r>
        <w:rPr>
          <w:rFonts w:ascii="Arial" w:hAnsi="Arial" w:eastAsia="等线" w:cs="Arial"/>
          <w:b/>
          <w:sz w:val="30"/>
        </w:rPr>
        <w:t>2.1 行业大数据</w:t>
      </w:r>
      <w:bookmarkEnd w:id="5"/>
    </w:p>
    <w:p w14:paraId="7AF500AF">
      <w:pPr>
        <w:spacing w:before="120" w:after="120" w:line="288" w:lineRule="auto"/>
        <w:ind w:left="0"/>
        <w:jc w:val="left"/>
      </w:pPr>
      <w:r>
        <w:rPr>
          <w:rFonts w:ascii="Arial" w:hAnsi="Arial" w:eastAsia="等线" w:cs="Arial"/>
          <w:sz w:val="22"/>
        </w:rPr>
        <w:t>技术层面的突破，带动物联网行业发展的内生动力不断增强。近年来，全球物联网市场规模保持稳步增长，据预计，2022年全球的物联网市场规模可达到8568.7亿美元，近两年增速稳定在10%以上，发展态势良好。</w:t>
      </w:r>
    </w:p>
    <w:p w14:paraId="08785455">
      <w:pPr>
        <w:spacing w:before="120" w:after="120" w:line="288" w:lineRule="auto"/>
        <w:ind w:left="0"/>
        <w:jc w:val="left"/>
        <w:rPr>
          <w:rFonts w:ascii="Arial" w:hAnsi="Arial" w:eastAsia="等线" w:cs="Arial"/>
          <w:sz w:val="22"/>
        </w:rPr>
      </w:pPr>
      <w:r>
        <w:rPr>
          <w:rFonts w:ascii="宋体" w:hAnsi="宋体" w:eastAsia="宋体" w:cs="宋体"/>
          <w:sz w:val="24"/>
          <w:szCs w:val="24"/>
        </w:rPr>
        <w:drawing>
          <wp:inline distT="0" distB="0" distL="114300" distR="114300">
            <wp:extent cx="5356225" cy="3740150"/>
            <wp:effectExtent l="0" t="0" r="825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356225" cy="3740150"/>
                    </a:xfrm>
                    <a:prstGeom prst="rect">
                      <a:avLst/>
                    </a:prstGeom>
                    <a:noFill/>
                    <a:ln w="9525">
                      <a:noFill/>
                    </a:ln>
                  </pic:spPr>
                </pic:pic>
              </a:graphicData>
            </a:graphic>
          </wp:inline>
        </w:drawing>
      </w:r>
    </w:p>
    <w:p w14:paraId="19D047F6">
      <w:pPr>
        <w:spacing w:before="120" w:after="120" w:line="288" w:lineRule="auto"/>
        <w:ind w:left="0"/>
        <w:jc w:val="left"/>
      </w:pPr>
      <w:r>
        <w:rPr>
          <w:rFonts w:ascii="Arial" w:hAnsi="Arial" w:eastAsia="等线" w:cs="Arial"/>
          <w:sz w:val="22"/>
        </w:rPr>
        <w:t>资料来源：公开资料，经华经产业研究院整理</w:t>
      </w:r>
    </w:p>
    <w:p w14:paraId="476BE167">
      <w:pPr>
        <w:spacing w:before="120" w:after="120" w:line="288" w:lineRule="auto"/>
        <w:ind w:left="0"/>
        <w:jc w:val="left"/>
      </w:pPr>
      <w:r>
        <w:rPr>
          <w:rFonts w:ascii="Arial" w:hAnsi="Arial" w:eastAsia="等线" w:cs="Arial"/>
          <w:sz w:val="22"/>
        </w:rPr>
        <w:t>自2010年以来，全球物联网连接数量长期保持高速增长。2010-2019年间，物联网连接数的年度同比增速介于25%-45%之间。2022年，全球物联网连接数将重回高速增长轨道，预计到2025年，全球IoT连接数相较于2021年将增长121%，2021-2025年复合年均增长率（CAGR）达22%。</w:t>
      </w:r>
    </w:p>
    <w:p w14:paraId="24A5B6E6">
      <w:pPr>
        <w:spacing w:before="120" w:after="120" w:line="288" w:lineRule="auto"/>
        <w:ind w:left="0"/>
        <w:jc w:val="left"/>
        <w:rPr>
          <w:rFonts w:ascii="Arial" w:hAnsi="Arial" w:eastAsia="等线" w:cs="Arial"/>
          <w:sz w:val="22"/>
        </w:rPr>
      </w:pPr>
      <w:r>
        <w:rPr>
          <w:rFonts w:ascii="宋体" w:hAnsi="宋体" w:eastAsia="宋体" w:cs="宋体"/>
          <w:kern w:val="0"/>
          <w:sz w:val="24"/>
          <w:szCs w:val="24"/>
          <w:lang w:val="en-US" w:eastAsia="zh-CN" w:bidi="ar"/>
        </w:rPr>
        <w:drawing>
          <wp:inline distT="0" distB="0" distL="114300" distR="114300">
            <wp:extent cx="5210175" cy="3620135"/>
            <wp:effectExtent l="0" t="0" r="1905" b="6985"/>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7"/>
                    <a:stretch>
                      <a:fillRect/>
                    </a:stretch>
                  </pic:blipFill>
                  <pic:spPr>
                    <a:xfrm>
                      <a:off x="0" y="0"/>
                      <a:ext cx="5210175" cy="3620135"/>
                    </a:xfrm>
                    <a:prstGeom prst="rect">
                      <a:avLst/>
                    </a:prstGeom>
                    <a:noFill/>
                    <a:ln w="9525">
                      <a:noFill/>
                    </a:ln>
                  </pic:spPr>
                </pic:pic>
              </a:graphicData>
            </a:graphic>
          </wp:inline>
        </w:drawing>
      </w:r>
    </w:p>
    <w:p w14:paraId="13DDA9BD">
      <w:pPr>
        <w:spacing w:before="120" w:after="120" w:line="288" w:lineRule="auto"/>
        <w:ind w:left="0"/>
        <w:jc w:val="left"/>
      </w:pPr>
      <w:r>
        <w:rPr>
          <w:rFonts w:ascii="Arial" w:hAnsi="Arial" w:eastAsia="等线" w:cs="Arial"/>
          <w:sz w:val="22"/>
        </w:rPr>
        <w:t>资料来源：公开资料，华经产业研究院整理</w:t>
      </w:r>
    </w:p>
    <w:p w14:paraId="23756498">
      <w:pPr>
        <w:spacing w:before="120" w:after="120" w:line="288" w:lineRule="auto"/>
        <w:ind w:left="0"/>
        <w:jc w:val="left"/>
      </w:pPr>
      <w:r>
        <w:rPr>
          <w:rFonts w:ascii="Arial" w:hAnsi="Arial" w:eastAsia="等线" w:cs="Arial"/>
          <w:sz w:val="22"/>
        </w:rPr>
        <w:t>尽管物联网概念起源于国外，但目前我国物联网发展与全球基本同步，已初步构建起完整的产业体系，具备一定的技术、产业和应用基础，发展态势良好。政策层面的高度重视，推动物联网在智慧城市、智能制造、智慧家居等领域取得重要突破。2022年，我国物联网市场整体产业规模达到2105.09亿美元，市场前景广阔。</w:t>
      </w:r>
    </w:p>
    <w:p w14:paraId="5AC8FF01">
      <w:pPr>
        <w:spacing w:before="300" w:after="120" w:line="288" w:lineRule="auto"/>
        <w:ind w:left="0"/>
        <w:jc w:val="left"/>
        <w:outlineLvl w:val="2"/>
      </w:pPr>
      <w:bookmarkStart w:id="6" w:name="heading_7"/>
      <w:r>
        <w:rPr>
          <w:rFonts w:ascii="Arial" w:hAnsi="Arial" w:eastAsia="等线" w:cs="Arial"/>
          <w:b/>
          <w:sz w:val="30"/>
        </w:rPr>
        <w:t>2.2 行业的新风口</w:t>
      </w:r>
      <w:bookmarkEnd w:id="6"/>
    </w:p>
    <w:p w14:paraId="56D59AE7">
      <w:pPr>
        <w:spacing w:before="120" w:after="120" w:line="288" w:lineRule="auto"/>
        <w:ind w:left="0"/>
        <w:jc w:val="left"/>
      </w:pPr>
      <w:r>
        <w:rPr>
          <w:rFonts w:ascii="Arial" w:hAnsi="Arial" w:eastAsia="等线" w:cs="Arial"/>
          <w:sz w:val="22"/>
        </w:rPr>
        <w:t>当前，物联网热门细分领域呈现出三大核心特征：产业端主导增长（工业互联网、车联网贡献超过50%的市场规模）、基础设施补位（卫星物联网、5G/6G技术解决覆盖瓶颈）、安全与感知筑基（物联网安全、智能传感器保障应用落地）。未来，随着6G、AI大模型、数字孪生技术的进一步融合，热门领域将向“自主智能”（如AIoT智能体）、“绿色低碳”（如绿色物联网）、“跨域协同”（如空天地一体化）方向拓展，推动物联网从“万物互联”迈向“万物智联”。</w:t>
      </w:r>
    </w:p>
    <w:p w14:paraId="10E3E4E1">
      <w:pPr>
        <w:spacing w:before="260" w:after="120" w:line="288" w:lineRule="auto"/>
        <w:ind w:left="0"/>
        <w:jc w:val="left"/>
        <w:outlineLvl w:val="3"/>
      </w:pPr>
      <w:bookmarkStart w:id="7" w:name="heading_8"/>
      <w:r>
        <w:rPr>
          <w:rFonts w:ascii="Arial" w:hAnsi="Arial" w:eastAsia="等线" w:cs="Arial"/>
          <w:b/>
          <w:sz w:val="28"/>
        </w:rPr>
        <w:t>（一）产业端核心领域：工业互联网与车联网（含智能网联汽车）</w:t>
      </w:r>
      <w:bookmarkEnd w:id="7"/>
    </w:p>
    <w:p w14:paraId="14E2C653">
      <w:pPr>
        <w:spacing w:before="120" w:after="120" w:line="288" w:lineRule="auto"/>
        <w:ind w:left="0"/>
        <w:jc w:val="left"/>
      </w:pPr>
      <w:r>
        <w:rPr>
          <w:rFonts w:ascii="Arial" w:hAnsi="Arial" w:eastAsia="等线" w:cs="Arial"/>
          <w:sz w:val="22"/>
        </w:rPr>
        <w:t>产业端是物联网技术落地应用的核心战场，其中工业互联网与车联网凭借政策的强力驱动、较高的技术成熟度以及市场需求的爆发式增长，成为最具热度的细分领域，二者均呈现“技术融合深化+规模化应用”的特征。</w:t>
      </w:r>
    </w:p>
    <w:p w14:paraId="038DC9A2">
      <w:pPr>
        <w:numPr>
          <w:ilvl w:val="0"/>
          <w:numId w:val="6"/>
        </w:numPr>
        <w:spacing w:before="120" w:after="120" w:line="288" w:lineRule="auto"/>
        <w:ind w:left="0"/>
        <w:jc w:val="left"/>
      </w:pPr>
      <w:r>
        <w:rPr>
          <w:rFonts w:ascii="Arial" w:hAnsi="Arial" w:eastAsia="等线" w:cs="Arial"/>
          <w:sz w:val="22"/>
        </w:rPr>
        <w:t>工业互联网：制造业智能化转型核心引擎</w:t>
      </w:r>
    </w:p>
    <w:p w14:paraId="425291E6">
      <w:pPr>
        <w:spacing w:before="120" w:after="120" w:line="288" w:lineRule="auto"/>
        <w:ind w:left="0"/>
        <w:jc w:val="left"/>
      </w:pPr>
      <w:r>
        <w:rPr>
          <w:rFonts w:ascii="Arial" w:hAnsi="Arial" w:eastAsia="等线" w:cs="Arial"/>
          <w:sz w:val="22"/>
        </w:rPr>
        <w:t>工业互联网是物联网与制造业深度融合的核心载体，在2024-2025年将呈现“大模型赋能+全链路智能化”的爆发式发展态势，成为推动制造业从“自动化”向“自主化”升级的关键力量。</w:t>
      </w:r>
    </w:p>
    <w:p w14:paraId="71D8A1C1">
      <w:pPr>
        <w:numPr>
          <w:ilvl w:val="0"/>
          <w:numId w:val="7"/>
        </w:numPr>
        <w:spacing w:before="120" w:after="120" w:line="288" w:lineRule="auto"/>
        <w:ind w:left="0"/>
        <w:jc w:val="left"/>
      </w:pPr>
      <w:r>
        <w:rPr>
          <w:rFonts w:ascii="Arial" w:hAnsi="Arial" w:eastAsia="等线" w:cs="Arial"/>
          <w:sz w:val="22"/>
        </w:rPr>
        <w:t>车联网（含智能网联汽车）：“车路云一体化”加速落地</w:t>
      </w:r>
    </w:p>
    <w:p w14:paraId="2026D2CC">
      <w:pPr>
        <w:spacing w:before="120" w:after="120" w:line="288" w:lineRule="auto"/>
        <w:ind w:left="0"/>
        <w:jc w:val="left"/>
      </w:pPr>
      <w:r>
        <w:rPr>
          <w:rFonts w:ascii="Arial" w:hAnsi="Arial" w:eastAsia="等线" w:cs="Arial"/>
          <w:sz w:val="22"/>
        </w:rPr>
        <w:t>车联网是物联网与交通领域融合的标杆场景，在2024-2025年将从“单车智能”向“车路协同”升级，成为智慧城市与新能源汽车产业协同发展的核心纽带。</w:t>
      </w:r>
    </w:p>
    <w:p w14:paraId="2A8CDD0D">
      <w:pPr>
        <w:spacing w:before="260" w:after="120" w:line="288" w:lineRule="auto"/>
        <w:ind w:left="0"/>
        <w:jc w:val="left"/>
        <w:outlineLvl w:val="3"/>
      </w:pPr>
      <w:bookmarkStart w:id="8" w:name="heading_9"/>
      <w:r>
        <w:rPr>
          <w:rFonts w:ascii="Arial" w:hAnsi="Arial" w:eastAsia="等线" w:cs="Arial"/>
          <w:b/>
          <w:sz w:val="28"/>
        </w:rPr>
        <w:t>（二）基础设施领域：卫星物联网与5G/6G通信网络</w:t>
      </w:r>
      <w:bookmarkEnd w:id="8"/>
    </w:p>
    <w:p w14:paraId="640F9BBC">
      <w:pPr>
        <w:spacing w:before="120" w:after="120" w:line="288" w:lineRule="auto"/>
        <w:ind w:left="0"/>
        <w:jc w:val="left"/>
      </w:pPr>
      <w:r>
        <w:rPr>
          <w:rFonts w:ascii="Arial" w:hAnsi="Arial" w:eastAsia="等线" w:cs="Arial"/>
          <w:sz w:val="22"/>
        </w:rPr>
        <w:t>物联网“全域互联”的需求推动基础设施向“空天地一体化”方向升级，卫星物联网与5G/6G通信网络作为连接能力的核心支撑，成为技术攻关与规模化商用的热门领域。</w:t>
      </w:r>
    </w:p>
    <w:p w14:paraId="0DC3A64B">
      <w:pPr>
        <w:numPr>
          <w:ilvl w:val="0"/>
          <w:numId w:val="8"/>
        </w:numPr>
        <w:spacing w:before="120" w:after="120" w:line="288" w:lineRule="auto"/>
        <w:ind w:left="0"/>
        <w:jc w:val="left"/>
      </w:pPr>
      <w:r>
        <w:rPr>
          <w:rFonts w:ascii="Arial" w:hAnsi="Arial" w:eastAsia="等线" w:cs="Arial"/>
          <w:sz w:val="22"/>
        </w:rPr>
        <w:t>卫星物联网：从“补充连接”到“核心基础设施”</w:t>
      </w:r>
    </w:p>
    <w:p w14:paraId="5B91D434">
      <w:pPr>
        <w:spacing w:before="120" w:after="120" w:line="288" w:lineRule="auto"/>
        <w:ind w:left="0"/>
        <w:jc w:val="left"/>
      </w:pPr>
      <w:r>
        <w:rPr>
          <w:rFonts w:ascii="Arial" w:hAnsi="Arial" w:eastAsia="等线" w:cs="Arial"/>
          <w:sz w:val="22"/>
        </w:rPr>
        <w:t>卫星物联网凭借其全球覆盖、无盲区的特性，有效解决了地面网络在海洋、沙漠等区域的覆盖难题。2024-2025年，卫星物联网步入规模化商用阶段，成为物联网连接的重要补充。</w:t>
      </w:r>
    </w:p>
    <w:p w14:paraId="7033AA66">
      <w:pPr>
        <w:numPr>
          <w:ilvl w:val="0"/>
          <w:numId w:val="9"/>
        </w:numPr>
        <w:spacing w:before="120" w:after="120" w:line="288" w:lineRule="auto"/>
        <w:ind w:left="0"/>
        <w:jc w:val="left"/>
      </w:pPr>
      <w:r>
        <w:rPr>
          <w:rFonts w:ascii="Arial" w:hAnsi="Arial" w:eastAsia="等线" w:cs="Arial"/>
          <w:sz w:val="22"/>
        </w:rPr>
        <w:t>5G/6G通信网络：支撑“万物智联”的核心底座</w:t>
      </w:r>
    </w:p>
    <w:p w14:paraId="472FAA22">
      <w:pPr>
        <w:spacing w:before="120" w:after="120" w:line="288" w:lineRule="auto"/>
        <w:ind w:left="0"/>
        <w:jc w:val="left"/>
      </w:pPr>
      <w:r>
        <w:rPr>
          <w:rFonts w:ascii="Arial" w:hAnsi="Arial" w:eastAsia="等线" w:cs="Arial"/>
          <w:sz w:val="22"/>
        </w:rPr>
        <w:t>5G通信网络步入成熟期，5G RedCap（轻量化5G）加速渗透；6G研发进入技术攻关的关键时期，二者共同推动物联网从“连接”向“智能”升级。</w:t>
      </w:r>
    </w:p>
    <w:p w14:paraId="53A2C721">
      <w:pPr>
        <w:spacing w:before="260" w:after="120" w:line="288" w:lineRule="auto"/>
        <w:ind w:left="0"/>
        <w:jc w:val="left"/>
        <w:outlineLvl w:val="3"/>
      </w:pPr>
      <w:bookmarkStart w:id="9" w:name="heading_10"/>
      <w:r>
        <w:rPr>
          <w:rFonts w:ascii="Arial" w:hAnsi="Arial" w:eastAsia="等线" w:cs="Arial"/>
          <w:b/>
          <w:sz w:val="28"/>
        </w:rPr>
        <w:t>（三）消费端热门领域：智能家居与医疗物联网</w:t>
      </w:r>
      <w:bookmarkEnd w:id="9"/>
    </w:p>
    <w:p w14:paraId="24F9E0A1">
      <w:pPr>
        <w:spacing w:before="120" w:after="120" w:line="288" w:lineRule="auto"/>
        <w:ind w:left="0"/>
        <w:jc w:val="left"/>
      </w:pPr>
      <w:r>
        <w:rPr>
          <w:rFonts w:ascii="Arial" w:hAnsi="Arial" w:eastAsia="等线" w:cs="Arial"/>
          <w:sz w:val="22"/>
        </w:rPr>
        <w:t>消费端物联网围绕“用户体验升级+健康需求激增”这一趋势，智能家居持续渗透，医疗物联网（IoMT）成为新的增长点，二者均体现出“AI+物联网”深度融合的特征。</w:t>
      </w:r>
    </w:p>
    <w:p w14:paraId="052D81AF">
      <w:pPr>
        <w:numPr>
          <w:ilvl w:val="0"/>
          <w:numId w:val="10"/>
        </w:numPr>
        <w:spacing w:before="120" w:after="120" w:line="288" w:lineRule="auto"/>
        <w:ind w:left="0"/>
        <w:jc w:val="left"/>
      </w:pPr>
      <w:r>
        <w:rPr>
          <w:rFonts w:ascii="Arial" w:hAnsi="Arial" w:eastAsia="等线" w:cs="Arial"/>
          <w:sz w:val="22"/>
        </w:rPr>
        <w:t>智能家居：从“单品智能”到“全屋互联”</w:t>
      </w:r>
    </w:p>
    <w:p w14:paraId="2F3FC8F4">
      <w:pPr>
        <w:spacing w:before="120" w:after="120" w:line="288" w:lineRule="auto"/>
        <w:ind w:left="0"/>
        <w:jc w:val="left"/>
      </w:pPr>
      <w:r>
        <w:rPr>
          <w:rFonts w:ascii="Arial" w:hAnsi="Arial" w:eastAsia="等线" w:cs="Arial"/>
          <w:sz w:val="22"/>
        </w:rPr>
        <w:t>智能家居是消费物联网中最为成熟的应用场景。2024-2025年，智能家居将从“单一设备控制”向“场景化智能服务”升级，跨品牌互联互通与AI交互成为核心竞争力。</w:t>
      </w:r>
    </w:p>
    <w:p w14:paraId="70DADFB7">
      <w:pPr>
        <w:numPr>
          <w:ilvl w:val="0"/>
          <w:numId w:val="11"/>
        </w:numPr>
        <w:spacing w:before="120" w:after="120" w:line="288" w:lineRule="auto"/>
        <w:ind w:left="0"/>
        <w:jc w:val="left"/>
      </w:pPr>
      <w:r>
        <w:rPr>
          <w:rFonts w:ascii="Arial" w:hAnsi="Arial" w:eastAsia="等线" w:cs="Arial"/>
          <w:sz w:val="22"/>
        </w:rPr>
        <w:t>医疗物联网（IoMT）：远程化与精准化升级</w:t>
      </w:r>
    </w:p>
    <w:p w14:paraId="24517A01">
      <w:pPr>
        <w:spacing w:before="120" w:after="120" w:line="288" w:lineRule="auto"/>
        <w:ind w:left="0"/>
        <w:jc w:val="left"/>
      </w:pPr>
      <w:r>
        <w:rPr>
          <w:rFonts w:ascii="Arial" w:hAnsi="Arial" w:eastAsia="等线" w:cs="Arial"/>
          <w:sz w:val="22"/>
        </w:rPr>
        <w:t>人口老龄化加剧以及远程医疗需求的爆发，推动医疗物联网从“设备联网”向“个性化健康管理”转型。2024-2025年，医疗物联网成为消费端增长最快的细分领域之一。</w:t>
      </w:r>
    </w:p>
    <w:p w14:paraId="38163F7B">
      <w:pPr>
        <w:spacing w:before="260" w:after="120" w:line="288" w:lineRule="auto"/>
        <w:ind w:left="0"/>
        <w:jc w:val="left"/>
        <w:outlineLvl w:val="3"/>
      </w:pPr>
      <w:bookmarkStart w:id="10" w:name="heading_11"/>
      <w:r>
        <w:rPr>
          <w:rFonts w:ascii="Arial" w:hAnsi="Arial" w:eastAsia="等线" w:cs="Arial"/>
          <w:b/>
          <w:sz w:val="28"/>
        </w:rPr>
        <w:t>（四）安全与技术保障领域：物联网安全与智能传感器</w:t>
      </w:r>
      <w:bookmarkEnd w:id="10"/>
    </w:p>
    <w:p w14:paraId="01AEF547">
      <w:pPr>
        <w:spacing w:before="120" w:after="120" w:line="288" w:lineRule="auto"/>
        <w:ind w:left="0"/>
        <w:jc w:val="left"/>
      </w:pPr>
      <w:r>
        <w:rPr>
          <w:rFonts w:ascii="Arial" w:hAnsi="Arial" w:eastAsia="等线" w:cs="Arial"/>
          <w:sz w:val="22"/>
        </w:rPr>
        <w:t>随着物联网设备数量的急剧增加（预计2025年全球超过750亿台），安全风险与感知能力不足成为制约行业发展的瓶颈。物联网安全与智能传感器分别作为“防护盾”与“感知眼”，成为行业竞相争夺的技术高地。</w:t>
      </w:r>
    </w:p>
    <w:p w14:paraId="78910E26">
      <w:pPr>
        <w:numPr>
          <w:ilvl w:val="0"/>
          <w:numId w:val="12"/>
        </w:numPr>
        <w:spacing w:before="120" w:after="120" w:line="288" w:lineRule="auto"/>
        <w:ind w:left="0"/>
        <w:jc w:val="left"/>
      </w:pPr>
      <w:r>
        <w:rPr>
          <w:rFonts w:ascii="Arial" w:hAnsi="Arial" w:eastAsia="等线" w:cs="Arial"/>
          <w:sz w:val="22"/>
        </w:rPr>
        <w:t>物联网安全：从“被动防护”到“主动防御”</w:t>
      </w:r>
    </w:p>
    <w:p w14:paraId="7A1FC068">
      <w:pPr>
        <w:spacing w:before="120" w:after="120" w:line="288" w:lineRule="auto"/>
        <w:ind w:left="0"/>
        <w:jc w:val="left"/>
      </w:pPr>
      <w:r>
        <w:rPr>
          <w:rFonts w:ascii="Arial" w:hAnsi="Arial" w:eastAsia="等线" w:cs="Arial"/>
          <w:sz w:val="22"/>
        </w:rPr>
        <w:t>物联网设备的碎片化以及协议的多样性导致安全漏洞频繁出现。2024年，全球DDoS攻击峰值达到Tbps级别，推动安全防护从“事后补救”向“全生命周期防护”升级。</w:t>
      </w:r>
    </w:p>
    <w:p w14:paraId="101ACB6C">
      <w:pPr>
        <w:numPr>
          <w:ilvl w:val="0"/>
          <w:numId w:val="13"/>
        </w:numPr>
        <w:spacing w:before="120" w:after="120" w:line="288" w:lineRule="auto"/>
        <w:ind w:left="0"/>
        <w:jc w:val="left"/>
      </w:pPr>
      <w:r>
        <w:rPr>
          <w:rFonts w:ascii="Arial" w:hAnsi="Arial" w:eastAsia="等线" w:cs="Arial"/>
          <w:sz w:val="22"/>
        </w:rPr>
        <w:t>智能传感器：国产化突破与高端化升级</w:t>
      </w:r>
    </w:p>
    <w:p w14:paraId="097CCF69">
      <w:pPr>
        <w:spacing w:before="120" w:after="120" w:line="288" w:lineRule="auto"/>
        <w:ind w:left="0"/>
        <w:jc w:val="left"/>
      </w:pPr>
      <w:r>
        <w:rPr>
          <w:rFonts w:ascii="Arial" w:hAnsi="Arial" w:eastAsia="等线" w:cs="Arial"/>
          <w:sz w:val="22"/>
        </w:rPr>
        <w:t>传感器是物联网“感知层”的核心。2024-2025年，我国传感器行业从“中低端制造”向“高端创新”转型，国产化率提升至31%（观研报告网数据），高端传感器实现对海外垄断的突破。</w:t>
      </w:r>
    </w:p>
    <w:p w14:paraId="7E1B12EA">
      <w:pPr>
        <w:spacing w:before="300" w:after="120" w:line="288" w:lineRule="auto"/>
        <w:ind w:left="0"/>
        <w:jc w:val="left"/>
        <w:outlineLvl w:val="2"/>
      </w:pPr>
      <w:bookmarkStart w:id="11" w:name="heading_12"/>
      <w:r>
        <w:rPr>
          <w:rFonts w:ascii="Arial" w:hAnsi="Arial" w:eastAsia="等线" w:cs="Arial"/>
          <w:b/>
          <w:sz w:val="30"/>
        </w:rPr>
        <w:t>2.3 典型企业分析</w:t>
      </w:r>
      <w:bookmarkEnd w:id="11"/>
    </w:p>
    <w:p w14:paraId="662EA38B">
      <w:pPr>
        <w:spacing w:before="260" w:after="120" w:line="288" w:lineRule="auto"/>
        <w:ind w:left="0"/>
        <w:jc w:val="left"/>
        <w:outlineLvl w:val="3"/>
      </w:pPr>
      <w:bookmarkStart w:id="12" w:name="heading_13"/>
      <w:r>
        <w:rPr>
          <w:rFonts w:ascii="Arial" w:hAnsi="Arial" w:eastAsia="等线" w:cs="Arial"/>
          <w:b/>
          <w:sz w:val="28"/>
        </w:rPr>
        <w:t>（一）华为技术有限公司（全球物联网发明专利首位，全栈技术能力领先）</w:t>
      </w:r>
      <w:bookmarkEnd w:id="12"/>
    </w:p>
    <w:p w14:paraId="1161B68E">
      <w:pPr>
        <w:spacing w:before="120" w:after="120" w:line="288" w:lineRule="auto"/>
        <w:ind w:left="0"/>
        <w:jc w:val="left"/>
      </w:pPr>
      <w:r>
        <w:rPr>
          <w:rFonts w:ascii="Arial" w:hAnsi="Arial" w:eastAsia="等线" w:cs="Arial"/>
          <w:sz w:val="22"/>
        </w:rPr>
        <w:t>作为物联网领域的全球领军企业，华为以“鸿蒙OS+5G/6G+AI”为核心基础架构，覆盖消费电子、工业互联网、车联网、卫星物联网等全场景。近期，华为重点推进以下三大方向的新项目：</w:t>
      </w:r>
    </w:p>
    <w:p w14:paraId="21C992C7">
      <w:pPr>
        <w:numPr>
          <w:ilvl w:val="0"/>
          <w:numId w:val="14"/>
        </w:numPr>
        <w:spacing w:before="120" w:after="120" w:line="288" w:lineRule="auto"/>
        <w:ind w:left="0"/>
        <w:jc w:val="left"/>
      </w:pPr>
      <w:r>
        <w:rPr>
          <w:rFonts w:ascii="Arial" w:hAnsi="Arial" w:eastAsia="等线" w:cs="Arial"/>
          <w:sz w:val="22"/>
        </w:rPr>
        <w:t>6G通感智算融合技术研发与试验网建设</w:t>
      </w:r>
    </w:p>
    <w:p w14:paraId="299574D4">
      <w:pPr>
        <w:spacing w:before="120" w:after="120" w:line="288" w:lineRule="auto"/>
        <w:ind w:left="0"/>
        <w:jc w:val="left"/>
      </w:pPr>
      <w:r>
        <w:rPr>
          <w:rFonts w:ascii="Arial" w:hAnsi="Arial" w:eastAsia="等线" w:cs="Arial"/>
          <w:sz w:val="22"/>
        </w:rPr>
        <w:t>依托紫金山实验室，华为参与建成全球首个6G通智感融合外场试验网，重点攻克太赫兹实时传输（在360-430GHz频段实现200Gbps速率）、语义通信（使车联网时延降至0.1毫秒）等核心技术。目前，华为已实现“通信+感知+计算+智能”一体化能力，可支撑智慧城市低空经济、自动驾驶高精定位等场景。2025年8月，华为联合中兴、银河航天中标“存量手机直连卫星基站”原型机项目，推动手机无需专用终端即可接入低轨卫星网络，预计2026年实现商用试点。</w:t>
      </w:r>
    </w:p>
    <w:p w14:paraId="069D58D2">
      <w:pPr>
        <w:numPr>
          <w:ilvl w:val="0"/>
          <w:numId w:val="15"/>
        </w:numPr>
        <w:spacing w:before="120" w:after="120" w:line="288" w:lineRule="auto"/>
        <w:ind w:left="0"/>
        <w:jc w:val="left"/>
      </w:pPr>
      <w:r>
        <w:rPr>
          <w:rFonts w:ascii="Arial" w:hAnsi="Arial" w:eastAsia="等线" w:cs="Arial"/>
          <w:sz w:val="22"/>
        </w:rPr>
        <w:t>工业互联网“5G+大模型”行业落地</w:t>
      </w:r>
    </w:p>
    <w:p w14:paraId="086D236A">
      <w:pPr>
        <w:spacing w:before="120" w:after="120" w:line="288" w:lineRule="auto"/>
        <w:ind w:left="0"/>
        <w:jc w:val="left"/>
      </w:pPr>
      <w:r>
        <w:rPr>
          <w:rFonts w:ascii="Arial" w:hAnsi="Arial" w:eastAsia="等线" w:cs="Arial"/>
          <w:sz w:val="22"/>
        </w:rPr>
        <w:t>基于华为FusionPlant工业互联网平台，华为推出“工业大模型+设备运维”解决方案，已在汽车、钢铁行业得到应用：通过设备振动频谱实时分析模型，将故障诊断响应时间缩短至秒级，某汽车焊装车间停机时间减少30%；同时，华为与三一重工、美的等企业合作打造“5G全连接工厂”，2025年计划建设100个标杆工厂，推动工业设备联网率提升至85%以上。</w:t>
      </w:r>
    </w:p>
    <w:p w14:paraId="609C29C9">
      <w:pPr>
        <w:numPr>
          <w:ilvl w:val="0"/>
          <w:numId w:val="16"/>
        </w:numPr>
        <w:spacing w:before="120" w:after="120" w:line="288" w:lineRule="auto"/>
        <w:ind w:left="0"/>
        <w:jc w:val="left"/>
      </w:pPr>
      <w:r>
        <w:rPr>
          <w:rFonts w:ascii="Arial" w:hAnsi="Arial" w:eastAsia="等线" w:cs="Arial"/>
          <w:sz w:val="22"/>
        </w:rPr>
        <w:t>鸿蒙智联生态扩容与智能家居场景深化</w:t>
      </w:r>
    </w:p>
    <w:p w14:paraId="0D810E01">
      <w:pPr>
        <w:spacing w:before="120" w:after="120" w:line="288" w:lineRule="auto"/>
        <w:ind w:left="0"/>
        <w:jc w:val="left"/>
      </w:pPr>
      <w:r>
        <w:rPr>
          <w:rFonts w:ascii="Arial" w:hAnsi="Arial" w:eastAsia="等线" w:cs="Arial"/>
          <w:sz w:val="22"/>
        </w:rPr>
        <w:t>鸿蒙OS 6.0版本实现跨设备算力池化与AI任务动态调度，目前已接入超8亿台物联网设备（不含手机、平板）。近期，华为联合海尔、美的推出“全屋智能2.0”方案，支持家电、安防、照明等设备语义化交互（如通过语音指令联动调节室内温湿度、照明模式等功能），计划于2025年使产品在中高端智能家居市场的覆盖率达到50%以上。</w:t>
      </w:r>
    </w:p>
    <w:p w14:paraId="1EE07503">
      <w:pPr>
        <w:spacing w:before="260" w:after="120" w:line="288" w:lineRule="auto"/>
        <w:ind w:left="0"/>
        <w:jc w:val="left"/>
        <w:outlineLvl w:val="3"/>
      </w:pPr>
      <w:bookmarkStart w:id="13" w:name="heading_14"/>
      <w:r>
        <w:rPr>
          <w:rFonts w:ascii="Arial" w:hAnsi="Arial" w:eastAsia="等线" w:cs="Arial"/>
          <w:b/>
          <w:sz w:val="28"/>
        </w:rPr>
        <w:t>（二）中移物联网有限公司（全球最大物联网连接管理平台运营商）</w:t>
      </w:r>
      <w:bookmarkEnd w:id="13"/>
    </w:p>
    <w:p w14:paraId="7297A771">
      <w:pPr>
        <w:spacing w:before="120" w:after="120" w:line="288" w:lineRule="auto"/>
        <w:ind w:left="0"/>
        <w:jc w:val="left"/>
      </w:pPr>
      <w:r>
        <w:rPr>
          <w:rFonts w:ascii="Arial" w:hAnsi="Arial" w:eastAsia="等线" w:cs="Arial"/>
          <w:sz w:val="22"/>
        </w:rPr>
        <w:t>中移物联网作为中国移动旗下的专业化物联网子公司，凭借OneLink连接管理平台（连接数量超过14.2亿）、OneNET设备云平台（接入设备达2.5亿台），近期着重围绕“空天地一体化网络+垂直行业场景”展开布局：</w:t>
      </w:r>
    </w:p>
    <w:p w14:paraId="09FBDEAB">
      <w:pPr>
        <w:numPr>
          <w:ilvl w:val="0"/>
          <w:numId w:val="17"/>
        </w:numPr>
        <w:spacing w:before="120" w:after="120" w:line="288" w:lineRule="auto"/>
        <w:ind w:left="0"/>
        <w:jc w:val="left"/>
      </w:pPr>
      <w:r>
        <w:rPr>
          <w:rFonts w:ascii="Arial" w:hAnsi="Arial" w:eastAsia="等线" w:cs="Arial"/>
          <w:sz w:val="22"/>
        </w:rPr>
        <w:t>卫星物联网“天地一体”网络构建与商用</w:t>
      </w:r>
    </w:p>
    <w:p w14:paraId="15B6AC23">
      <w:pPr>
        <w:spacing w:before="120" w:after="120" w:line="288" w:lineRule="auto"/>
        <w:ind w:left="0"/>
        <w:jc w:val="left"/>
      </w:pPr>
      <w:r>
        <w:rPr>
          <w:rFonts w:ascii="Arial" w:hAnsi="Arial" w:eastAsia="等线" w:cs="Arial"/>
          <w:sz w:val="22"/>
        </w:rPr>
        <w:t>2025年4月，中移物联网参与我国“卫星互联网技术试验卫星0001-0004星”在轨验证项目，着重对手机直连低轨卫星技术进行测试，突破高轨卫星（天通一号）低速窄带的局限，达成语音、宽带数据的双向传输。目前，该技术已在偏远地区电网监控、海洋船舶追踪场景开展试点工作，计划于2026年与中国星网联合推出消费级手机卫星通信服务。</w:t>
      </w:r>
    </w:p>
    <w:p w14:paraId="614B9703">
      <w:pPr>
        <w:numPr>
          <w:ilvl w:val="0"/>
          <w:numId w:val="18"/>
        </w:numPr>
        <w:spacing w:before="120" w:after="120" w:line="288" w:lineRule="auto"/>
        <w:ind w:left="0"/>
        <w:jc w:val="left"/>
      </w:pPr>
      <w:r>
        <w:rPr>
          <w:rFonts w:ascii="Arial" w:hAnsi="Arial" w:eastAsia="等线" w:cs="Arial"/>
          <w:sz w:val="22"/>
        </w:rPr>
        <w:t>工业互联网“万物孪生”技术研发与行业应用</w:t>
      </w:r>
    </w:p>
    <w:p w14:paraId="40C06A0E">
      <w:pPr>
        <w:spacing w:before="120" w:after="120" w:line="288" w:lineRule="auto"/>
        <w:ind w:left="0"/>
        <w:jc w:val="left"/>
      </w:pPr>
      <w:r>
        <w:rPr>
          <w:rFonts w:ascii="Arial" w:hAnsi="Arial" w:eastAsia="等线" w:cs="Arial"/>
          <w:sz w:val="22"/>
        </w:rPr>
        <w:t>2025年，中移物联网布局“万物孪生”技术，基于数字孪生与AI大模型，构建工业设备全生命周期管理系统。在智能电网领域，借助传感器实时采集变压器温度、振动数据，并结合孪生模型预测故障风险，某省级电网的故障率降低了25%；在物流领域，与京东物流合作打造“智能仓储孪生系统”，实现货物分拣、路径优化的全自动化，分拣效率提高了40%。</w:t>
      </w:r>
    </w:p>
    <w:p w14:paraId="3521A6CC">
      <w:pPr>
        <w:numPr>
          <w:ilvl w:val="0"/>
          <w:numId w:val="19"/>
        </w:numPr>
        <w:spacing w:before="120" w:after="120" w:line="288" w:lineRule="auto"/>
        <w:ind w:left="0"/>
        <w:jc w:val="left"/>
      </w:pPr>
      <w:r>
        <w:rPr>
          <w:rFonts w:ascii="Arial" w:hAnsi="Arial" w:eastAsia="等线" w:cs="Arial"/>
          <w:sz w:val="22"/>
        </w:rPr>
        <w:t>5G RedCap模组规模化推广</w:t>
      </w:r>
    </w:p>
    <w:p w14:paraId="0E4778EC">
      <w:pPr>
        <w:spacing w:before="120" w:after="120" w:line="288" w:lineRule="auto"/>
        <w:ind w:left="0"/>
        <w:jc w:val="left"/>
      </w:pPr>
      <w:r>
        <w:rPr>
          <w:rFonts w:ascii="Arial" w:hAnsi="Arial" w:eastAsia="等线" w:cs="Arial"/>
          <w:sz w:val="22"/>
        </w:rPr>
        <w:t>中移物联网推出低成本5G RedCap模组（成本相较于传统5G模组降低了40%），重点适配工业传感器、智能表计、车联网T-BOX等场景。2025年第一季度，其出货量同比增长77%，已应用于深圳智能水表（覆盖率达90%，年节水量超过1亿立方米）、吉利汽车车载终端（支持车辆状态实时监控与远程诊断）。</w:t>
      </w:r>
    </w:p>
    <w:p w14:paraId="36EA2434">
      <w:pPr>
        <w:spacing w:before="260" w:after="120" w:line="288" w:lineRule="auto"/>
        <w:ind w:left="0"/>
        <w:jc w:val="left"/>
        <w:outlineLvl w:val="3"/>
      </w:pPr>
      <w:bookmarkStart w:id="14" w:name="heading_15"/>
      <w:r>
        <w:rPr>
          <w:rFonts w:ascii="Arial" w:hAnsi="Arial" w:eastAsia="等线" w:cs="Arial"/>
          <w:b/>
          <w:sz w:val="28"/>
        </w:rPr>
        <w:t>（三）海尔智家股份有限公司（智能家居全球份额第一，工业互联网平台标杆）</w:t>
      </w:r>
      <w:bookmarkEnd w:id="14"/>
    </w:p>
    <w:p w14:paraId="592A1D71">
      <w:pPr>
        <w:spacing w:before="120" w:after="120" w:line="288" w:lineRule="auto"/>
        <w:ind w:left="0"/>
        <w:jc w:val="left"/>
      </w:pPr>
      <w:r>
        <w:rPr>
          <w:rFonts w:ascii="Arial" w:hAnsi="Arial" w:eastAsia="等线" w:cs="Arial"/>
          <w:sz w:val="22"/>
        </w:rPr>
        <w:t>海尔以“卡奥斯COSMOPlat工业互联网平台+UHomeOS智能家居系统”为双轮驱动，近期在工业数字化、智能家居生态融合领域动作不断：</w:t>
      </w:r>
    </w:p>
    <w:p w14:paraId="02799CFD">
      <w:pPr>
        <w:numPr>
          <w:ilvl w:val="0"/>
          <w:numId w:val="20"/>
        </w:numPr>
        <w:spacing w:before="120" w:after="120" w:line="288" w:lineRule="auto"/>
        <w:ind w:left="0"/>
        <w:jc w:val="left"/>
      </w:pPr>
      <w:r>
        <w:rPr>
          <w:rFonts w:ascii="Arial" w:hAnsi="Arial" w:eastAsia="等线" w:cs="Arial"/>
          <w:sz w:val="22"/>
        </w:rPr>
        <w:t>工业互联网“数字孪生工厂”全球复制</w:t>
      </w:r>
    </w:p>
    <w:p w14:paraId="3056A314">
      <w:pPr>
        <w:spacing w:before="120" w:after="120" w:line="288" w:lineRule="auto"/>
        <w:ind w:left="0"/>
        <w:jc w:val="left"/>
      </w:pPr>
      <w:r>
        <w:rPr>
          <w:rFonts w:ascii="Arial" w:hAnsi="Arial" w:eastAsia="等线" w:cs="Arial"/>
          <w:sz w:val="22"/>
        </w:rPr>
        <w:t>卡奥斯平台已与全球88万家企业建立连接，2025年重点推进“工业元宇宙”项目。在青岛冰箱工厂打造全流程数字孪生系统，通过15万个传感器实时映射生产数据，实现“虚拟仿真优化-物理工厂执行”的闭环，使生产节拍从10秒缩短至6秒，缺陷率降低60%。同时，将该模式推广至东南亚、欧洲工厂，计划于2026年建成20座“灯塔工厂”。</w:t>
      </w:r>
    </w:p>
    <w:p w14:paraId="4812A78B">
      <w:pPr>
        <w:numPr>
          <w:ilvl w:val="0"/>
          <w:numId w:val="21"/>
        </w:numPr>
        <w:spacing w:before="120" w:after="120" w:line="288" w:lineRule="auto"/>
        <w:ind w:left="0"/>
        <w:jc w:val="left"/>
      </w:pPr>
      <w:r>
        <w:rPr>
          <w:rFonts w:ascii="Arial" w:hAnsi="Arial" w:eastAsia="等线" w:cs="Arial"/>
          <w:sz w:val="22"/>
        </w:rPr>
        <w:t>智能家居“跨品牌互联互通”生态建设</w:t>
      </w:r>
    </w:p>
    <w:p w14:paraId="6BF1B8F3">
      <w:pPr>
        <w:spacing w:before="120" w:after="120" w:line="288" w:lineRule="auto"/>
        <w:ind w:left="0"/>
        <w:jc w:val="left"/>
      </w:pPr>
      <w:r>
        <w:rPr>
          <w:rFonts w:ascii="Arial" w:hAnsi="Arial" w:eastAsia="等线" w:cs="Arial"/>
          <w:sz w:val="22"/>
        </w:rPr>
        <w:t>基于UHomeOS 3.0，海尔联合小米、涂鸦智能推出“智能家居互联互通协议”，解决不同品牌设备协议不兼容的问题。目前，已支持空调、洗衣机、安防设备等1000+品类的跨品牌联动（如小米智能音箱控制海尔洗衣机启动），2025年目标是接入第三方设备超过2亿台，在智能家居市场的覆盖率达到30%以上。</w:t>
      </w:r>
    </w:p>
    <w:p w14:paraId="5DB0AE5A">
      <w:pPr>
        <w:numPr>
          <w:ilvl w:val="0"/>
          <w:numId w:val="22"/>
        </w:numPr>
        <w:spacing w:before="120" w:after="120" w:line="288" w:lineRule="auto"/>
        <w:ind w:left="0"/>
        <w:jc w:val="left"/>
      </w:pPr>
      <w:r>
        <w:rPr>
          <w:rFonts w:ascii="Arial" w:hAnsi="Arial" w:eastAsia="等线" w:cs="Arial"/>
          <w:sz w:val="22"/>
        </w:rPr>
        <w:t>智慧医疗物联网场景拓展</w:t>
      </w:r>
    </w:p>
    <w:p w14:paraId="786C1FCD">
      <w:pPr>
        <w:spacing w:before="120" w:after="120" w:line="288" w:lineRule="auto"/>
        <w:ind w:left="0"/>
        <w:jc w:val="left"/>
      </w:pPr>
      <w:r>
        <w:rPr>
          <w:rFonts w:ascii="Arial" w:hAnsi="Arial" w:eastAsia="等线" w:cs="Arial"/>
          <w:sz w:val="22"/>
        </w:rPr>
        <w:t>海尔与联影医疗合作开发“医疗设备物联网平台”，将CT探测器、心电监护仪等设备接入云端，通过AI算法实现设备故障预测（准确率达92%）、患者数据实时分析。目前，该平台已在国内50家三甲医院进行试点，计划于2025年底覆盖200家医疗机构，推动医疗设备联网率提升至70%。</w:t>
      </w:r>
    </w:p>
    <w:p w14:paraId="24C161CE">
      <w:pPr>
        <w:spacing w:before="260" w:after="120" w:line="288" w:lineRule="auto"/>
        <w:ind w:left="0"/>
        <w:jc w:val="left"/>
        <w:outlineLvl w:val="3"/>
      </w:pPr>
      <w:bookmarkStart w:id="15" w:name="heading_16"/>
      <w:r>
        <w:rPr>
          <w:rFonts w:ascii="Arial" w:hAnsi="Arial" w:eastAsia="等线" w:cs="Arial"/>
          <w:b/>
          <w:sz w:val="28"/>
        </w:rPr>
        <w:t>总结：头部企业新项目核心趋势</w:t>
      </w:r>
      <w:bookmarkEnd w:id="15"/>
    </w:p>
    <w:p w14:paraId="4BA68060">
      <w:pPr>
        <w:numPr>
          <w:ilvl w:val="0"/>
          <w:numId w:val="23"/>
        </w:numPr>
        <w:spacing w:before="120" w:after="120" w:line="288" w:lineRule="auto"/>
        <w:ind w:left="0"/>
        <w:jc w:val="left"/>
      </w:pPr>
      <w:r>
        <w:rPr>
          <w:rFonts w:ascii="Arial" w:hAnsi="Arial" w:eastAsia="等线" w:cs="Arial"/>
          <w:sz w:val="22"/>
        </w:rPr>
        <w:t>技术层面：聚焦6G、卫星直连、AI大模型等前沿科技，推动“通信-感知-计算-智能”一体化发展。</w:t>
      </w:r>
    </w:p>
    <w:p w14:paraId="525F8C08">
      <w:pPr>
        <w:numPr>
          <w:ilvl w:val="0"/>
          <w:numId w:val="24"/>
        </w:numPr>
        <w:spacing w:before="120" w:after="120" w:line="288" w:lineRule="auto"/>
        <w:ind w:left="0"/>
        <w:jc w:val="left"/>
      </w:pPr>
      <w:r>
        <w:rPr>
          <w:rFonts w:ascii="Arial" w:hAnsi="Arial" w:eastAsia="等线" w:cs="Arial"/>
          <w:sz w:val="22"/>
        </w:rPr>
        <w:t>场景层面：工业互联网向“全流程数字孪生”方向深化，消费端向“跨设备语义化交互”方向升级。</w:t>
      </w:r>
    </w:p>
    <w:p w14:paraId="65566413">
      <w:pPr>
        <w:numPr>
          <w:ilvl w:val="0"/>
          <w:numId w:val="25"/>
        </w:numPr>
        <w:spacing w:before="120" w:after="120" w:line="288" w:lineRule="auto"/>
        <w:ind w:left="0"/>
        <w:jc w:val="left"/>
      </w:pPr>
      <w:r>
        <w:rPr>
          <w:rFonts w:ascii="Arial" w:hAnsi="Arial" w:eastAsia="等线" w:cs="Arial"/>
          <w:sz w:val="22"/>
        </w:rPr>
        <w:t>生态层面：通过开源平台（如鸿蒙）、互联互通协议，打破行业壁垒，加速物联网规模化落地。</w:t>
      </w:r>
    </w:p>
    <w:p w14:paraId="32B914CC">
      <w:pPr>
        <w:spacing w:before="320" w:after="120" w:line="288" w:lineRule="auto"/>
        <w:ind w:left="0"/>
        <w:jc w:val="left"/>
        <w:outlineLvl w:val="1"/>
      </w:pPr>
      <w:bookmarkStart w:id="16" w:name="heading_17"/>
      <w:r>
        <w:rPr>
          <w:rFonts w:ascii="Arial" w:hAnsi="Arial" w:eastAsia="等线" w:cs="Arial"/>
          <w:b/>
          <w:sz w:val="32"/>
        </w:rPr>
        <w:t>三、AI技术对行业的颠覆</w:t>
      </w:r>
      <w:bookmarkEnd w:id="16"/>
    </w:p>
    <w:p w14:paraId="19D0B05D">
      <w:pPr>
        <w:spacing w:before="300" w:after="120" w:line="288" w:lineRule="auto"/>
        <w:ind w:left="0"/>
        <w:jc w:val="left"/>
        <w:outlineLvl w:val="2"/>
      </w:pPr>
      <w:bookmarkStart w:id="17" w:name="heading_18"/>
      <w:r>
        <w:rPr>
          <w:rFonts w:ascii="Arial" w:hAnsi="Arial" w:eastAsia="等线" w:cs="Arial"/>
          <w:b/>
          <w:sz w:val="30"/>
        </w:rPr>
        <w:t>3.1 AI工具的应用场景</w:t>
      </w:r>
      <w:bookmarkEnd w:id="17"/>
    </w:p>
    <w:p w14:paraId="2F57EC18">
      <w:pPr>
        <w:spacing w:before="120" w:after="120" w:line="288" w:lineRule="auto"/>
        <w:ind w:left="0"/>
        <w:jc w:val="left"/>
      </w:pPr>
      <w:r>
        <w:rPr>
          <w:rFonts w:ascii="Arial" w:hAnsi="Arial" w:eastAsia="等线" w:cs="Arial"/>
          <w:sz w:val="22"/>
        </w:rPr>
        <w:t>当前，物联网行业已落地多个AI工具，覆盖开发、设计、运维、交互等核心环节，显著替代传统人工流程，以下为三类典型AI工具及其对传统工作环节的替代分析：</w:t>
      </w:r>
    </w:p>
    <w:p w14:paraId="69E215E5">
      <w:pPr>
        <w:numPr>
          <w:ilvl w:val="0"/>
          <w:numId w:val="26"/>
        </w:numPr>
        <w:spacing w:before="120" w:after="120" w:line="288" w:lineRule="auto"/>
        <w:ind w:left="0"/>
        <w:jc w:val="left"/>
      </w:pPr>
      <w:r>
        <w:rPr>
          <w:rFonts w:ascii="Arial" w:hAnsi="Arial" w:eastAsia="等线" w:cs="Arial"/>
          <w:sz w:val="22"/>
        </w:rPr>
        <w:t>行业专用AI：中国电信天翼物联八大智能体（工业物联网智能体、感知云智能体等）</w:t>
      </w:r>
    </w:p>
    <w:p w14:paraId="3EDF8205">
      <w:pPr>
        <w:spacing w:before="120" w:after="120" w:line="288" w:lineRule="auto"/>
        <w:ind w:left="0"/>
        <w:jc w:val="left"/>
      </w:pPr>
      <w:r>
        <w:rPr>
          <w:rFonts w:ascii="Arial" w:hAnsi="Arial" w:eastAsia="等线" w:cs="Arial"/>
          <w:sz w:val="22"/>
        </w:rPr>
        <w:t>中国电信天翼物联基于“AIoT智联大脑”构建的八大行业智能体，是物联网领域“场景化AI工具”的典型范例，已在工业制造、智慧城市、民生服务等领域实现深度应用，核心在于替代传统依赖人工的高成本、低效率环节。</w:t>
      </w:r>
    </w:p>
    <w:p w14:paraId="549CF1C5">
      <w:pPr>
        <w:numPr>
          <w:ilvl w:val="0"/>
          <w:numId w:val="27"/>
        </w:numPr>
        <w:spacing w:before="120" w:after="120" w:line="288" w:lineRule="auto"/>
        <w:ind w:left="0"/>
        <w:jc w:val="left"/>
      </w:pPr>
      <w:r>
        <w:rPr>
          <w:rFonts w:ascii="Arial" w:hAnsi="Arial" w:eastAsia="等线" w:cs="Arial"/>
          <w:sz w:val="22"/>
        </w:rPr>
        <w:t>生成式AI设计工具：MidJourney（智能家居场景专用）</w:t>
      </w:r>
    </w:p>
    <w:p w14:paraId="5B012107">
      <w:pPr>
        <w:spacing w:before="120" w:after="120" w:line="288" w:lineRule="auto"/>
        <w:ind w:left="0"/>
        <w:jc w:val="left"/>
      </w:pPr>
      <w:r>
        <w:rPr>
          <w:rFonts w:ascii="Arial" w:hAnsi="Arial" w:eastAsia="等线" w:cs="Arial"/>
          <w:sz w:val="22"/>
        </w:rPr>
        <w:t>MidJourney作为生成式AI视觉工具，已深度融入物联网“消费端设计环节”，替代传统依赖专业软件（如CAD）与人工创意的智能家居产品设计、空间布局规划流程，显著降低设计门槛、缩短迭代周期。</w:t>
      </w:r>
    </w:p>
    <w:p w14:paraId="7FBF96D1">
      <w:pPr>
        <w:numPr>
          <w:ilvl w:val="0"/>
          <w:numId w:val="28"/>
        </w:numPr>
        <w:spacing w:before="120" w:after="120" w:line="288" w:lineRule="auto"/>
        <w:ind w:left="0"/>
        <w:jc w:val="left"/>
      </w:pPr>
      <w:r>
        <w:rPr>
          <w:rFonts w:ascii="Arial" w:hAnsi="Arial" w:eastAsia="等线" w:cs="Arial"/>
          <w:sz w:val="22"/>
        </w:rPr>
        <w:t>开发辅助AI工具：GitHub Copilot（物联网嵌入式开发专用）</w:t>
      </w:r>
    </w:p>
    <w:p w14:paraId="1FF3D850">
      <w:pPr>
        <w:spacing w:before="120" w:after="120" w:line="288" w:lineRule="auto"/>
        <w:ind w:left="0"/>
        <w:jc w:val="left"/>
      </w:pPr>
      <w:r>
        <w:rPr>
          <w:rFonts w:ascii="Arial" w:hAnsi="Arial" w:eastAsia="等线" w:cs="Arial"/>
          <w:sz w:val="22"/>
        </w:rPr>
        <w:t>GitHub Copilot作为AI代码生成工具，已成为物联网“嵌入式开发与硬件交互”的核心辅助手段，替代传统依赖人工编写底层代码、查阅硬件文档的开发环节，显著提升开发效率、降低错误率。</w:t>
      </w:r>
    </w:p>
    <w:p w14:paraId="0698D96D">
      <w:pPr>
        <w:spacing w:before="300" w:after="120" w:line="288" w:lineRule="auto"/>
        <w:ind w:left="0"/>
        <w:jc w:val="left"/>
        <w:outlineLvl w:val="2"/>
      </w:pPr>
      <w:bookmarkStart w:id="18" w:name="heading_19"/>
      <w:r>
        <w:rPr>
          <w:rFonts w:ascii="Arial" w:hAnsi="Arial" w:eastAsia="等线" w:cs="Arial"/>
          <w:b/>
          <w:sz w:val="30"/>
        </w:rPr>
        <w:t>3.2 正面影响</w:t>
      </w:r>
      <w:bookmarkEnd w:id="18"/>
    </w:p>
    <w:p w14:paraId="7CAA7156">
      <w:pPr>
        <w:numPr>
          <w:ilvl w:val="0"/>
          <w:numId w:val="29"/>
        </w:numPr>
        <w:spacing w:before="120" w:after="120" w:line="288" w:lineRule="auto"/>
        <w:ind w:left="0"/>
        <w:jc w:val="left"/>
      </w:pPr>
      <w:r>
        <w:rPr>
          <w:rFonts w:ascii="Arial" w:hAnsi="Arial" w:eastAsia="等线" w:cs="Arial"/>
          <w:sz w:val="22"/>
        </w:rPr>
        <w:t>效率提升：替代人工重复劳动（如巡检、代码编写、设计建模），将关键环节周期缩短40%-80%（如工业故障响应从小时级降至分钟级，设计周期从周级降至天级）；</w:t>
      </w:r>
    </w:p>
    <w:p w14:paraId="2E9A6854">
      <w:pPr>
        <w:numPr>
          <w:ilvl w:val="0"/>
          <w:numId w:val="30"/>
        </w:numPr>
        <w:spacing w:before="120" w:after="120" w:line="288" w:lineRule="auto"/>
        <w:ind w:left="0"/>
        <w:jc w:val="left"/>
      </w:pPr>
      <w:r>
        <w:rPr>
          <w:rFonts w:ascii="Arial" w:hAnsi="Arial" w:eastAsia="等线" w:cs="Arial"/>
          <w:sz w:val="22"/>
        </w:rPr>
        <w:t>门槛降低：降低对专业技能的依赖（如MidJourney替代CAD，Copilot替代硬件文档学习），使非专业人员（如产品经理、运维人员）能够参与核心环节；</w:t>
      </w:r>
    </w:p>
    <w:p w14:paraId="779DEB20">
      <w:pPr>
        <w:numPr>
          <w:ilvl w:val="0"/>
          <w:numId w:val="31"/>
        </w:numPr>
        <w:spacing w:before="120" w:after="120" w:line="288" w:lineRule="auto"/>
        <w:ind w:left="0"/>
        <w:jc w:val="left"/>
      </w:pPr>
      <w:r>
        <w:rPr>
          <w:rFonts w:ascii="Arial" w:hAnsi="Arial" w:eastAsia="等线" w:cs="Arial"/>
          <w:sz w:val="22"/>
        </w:rPr>
        <w:t>精度与可靠性提升：AI工具的实时性（如毫秒级数据处理）、一致性（如设计图与量产一致性）远超人工，推动物联网从“连接规模”向“智能质量”升级。</w:t>
      </w:r>
    </w:p>
    <w:p w14:paraId="7BC619DB">
      <w:pPr>
        <w:spacing w:before="300" w:after="120" w:line="288" w:lineRule="auto"/>
        <w:ind w:left="0"/>
        <w:jc w:val="left"/>
        <w:outlineLvl w:val="2"/>
      </w:pPr>
      <w:bookmarkStart w:id="19" w:name="heading_20"/>
      <w:r>
        <w:rPr>
          <w:rFonts w:ascii="Arial" w:hAnsi="Arial" w:eastAsia="等线" w:cs="Arial"/>
          <w:b/>
          <w:sz w:val="30"/>
        </w:rPr>
        <w:t>3.3 负面挑战与危机</w:t>
      </w:r>
      <w:bookmarkEnd w:id="19"/>
    </w:p>
    <w:p w14:paraId="5E0D2E17">
      <w:pPr>
        <w:spacing w:before="120" w:after="120" w:line="288" w:lineRule="auto"/>
        <w:ind w:left="0"/>
        <w:jc w:val="left"/>
      </w:pPr>
      <w:r>
        <w:rPr>
          <w:rFonts w:ascii="Arial" w:hAnsi="Arial" w:eastAsia="等线" w:cs="Arial"/>
          <w:sz w:val="22"/>
        </w:rPr>
        <w:t>物联网及关联领域正受技术迭代与AI工具普及的影响，初级岗位加速消失，学生群体面临的“技术性失业”风险呈现结构性特征，具体分析如下：</w:t>
      </w:r>
    </w:p>
    <w:p w14:paraId="1D281885">
      <w:pPr>
        <w:numPr>
          <w:ilvl w:val="0"/>
          <w:numId w:val="32"/>
        </w:numPr>
        <w:spacing w:before="120" w:after="120" w:line="288" w:lineRule="auto"/>
        <w:ind w:left="0"/>
        <w:jc w:val="left"/>
      </w:pPr>
      <w:r>
        <w:rPr>
          <w:rFonts w:ascii="Arial" w:hAnsi="Arial" w:eastAsia="等线" w:cs="Arial"/>
          <w:sz w:val="22"/>
        </w:rPr>
        <w:t>正在消失的初级岗位：物联网及关联领域的“重灾区”</w:t>
      </w:r>
    </w:p>
    <w:p w14:paraId="7CB1D736">
      <w:pPr>
        <w:spacing w:before="120" w:after="120" w:line="288" w:lineRule="auto"/>
        <w:ind w:left="0"/>
        <w:jc w:val="left"/>
      </w:pPr>
      <w:r>
        <w:rPr>
          <w:rFonts w:ascii="Arial" w:hAnsi="Arial" w:eastAsia="等线" w:cs="Arial"/>
          <w:sz w:val="22"/>
        </w:rPr>
        <w:t>当前初级岗位消失集中于低技能、重复性高、依赖人工操作的环节，既包括物联网产业链直接相关岗位，也涵盖受物联网技术间接冲击的传统岗位，核心原因是AI自动化工具替代、设备智能化升级及流程重构。</w:t>
      </w:r>
    </w:p>
    <w:p w14:paraId="600FE1E8">
      <w:pPr>
        <w:numPr>
          <w:ilvl w:val="0"/>
          <w:numId w:val="33"/>
        </w:numPr>
        <w:spacing w:before="120" w:after="120" w:line="288" w:lineRule="auto"/>
        <w:ind w:left="0"/>
        <w:jc w:val="left"/>
      </w:pPr>
      <w:r>
        <w:rPr>
          <w:rFonts w:ascii="Arial" w:hAnsi="Arial" w:eastAsia="等线" w:cs="Arial"/>
          <w:sz w:val="22"/>
        </w:rPr>
        <w:t>学生面临的“技术性失业”风险：结构性风险突出，差异显著</w:t>
      </w:r>
    </w:p>
    <w:p w14:paraId="65BBE6D4">
      <w:pPr>
        <w:spacing w:before="120" w:after="120" w:line="288" w:lineRule="auto"/>
        <w:ind w:left="0"/>
        <w:jc w:val="left"/>
      </w:pPr>
      <w:r>
        <w:rPr>
          <w:rFonts w:ascii="Arial" w:hAnsi="Arial" w:eastAsia="等线" w:cs="Arial"/>
          <w:sz w:val="22"/>
        </w:rPr>
        <w:t>学生群体（尤其是物联网及关联专业）的“技术性失业”风险，并非全面性失业，而是“低技能淘汰、高技能稀缺”的结构性风险，风险大小与专业能力、学历层次、区域选择紧密相关。</w:t>
      </w:r>
    </w:p>
    <w:p w14:paraId="09AC08F2">
      <w:pPr>
        <w:spacing w:before="320" w:after="120" w:line="288" w:lineRule="auto"/>
        <w:ind w:left="0"/>
        <w:jc w:val="left"/>
        <w:outlineLvl w:val="1"/>
      </w:pPr>
      <w:bookmarkStart w:id="20" w:name="heading_21"/>
      <w:r>
        <w:rPr>
          <w:rFonts w:ascii="Arial" w:hAnsi="Arial" w:eastAsia="等线" w:cs="Arial"/>
          <w:b/>
          <w:sz w:val="32"/>
        </w:rPr>
        <w:t>四、我的目标岗位与薪资调研</w:t>
      </w:r>
      <w:bookmarkEnd w:id="20"/>
    </w:p>
    <w:p w14:paraId="53758D03">
      <w:pPr>
        <w:spacing w:before="300" w:after="120" w:line="288" w:lineRule="auto"/>
        <w:ind w:left="0"/>
        <w:jc w:val="left"/>
        <w:outlineLvl w:val="2"/>
      </w:pPr>
      <w:bookmarkStart w:id="21" w:name="heading_22"/>
      <w:r>
        <w:rPr>
          <w:rFonts w:ascii="Arial" w:hAnsi="Arial" w:eastAsia="等线" w:cs="Arial"/>
          <w:b/>
          <w:sz w:val="30"/>
        </w:rPr>
        <w:t>4.1 目标岗位画像</w:t>
      </w:r>
      <w:bookmarkEnd w:id="21"/>
    </w:p>
    <w:p w14:paraId="007E7277">
      <w:pPr>
        <w:spacing w:before="120" w:after="120" w:line="288" w:lineRule="auto"/>
        <w:ind w:left="0"/>
        <w:jc w:val="left"/>
      </w:pPr>
      <w:r>
        <w:rPr>
          <w:rFonts w:ascii="Arial" w:hAnsi="Arial" w:eastAsia="等线" w:cs="Arial"/>
          <w:sz w:val="22"/>
        </w:rPr>
        <w:t>结合物联网行业技术趋势（AIoT融合、6G/卫星物联网、工业大模型）、岗位需求变化（初级岗位替代、复合技能稀缺）及产业核心方向（工业互联网、车联网、智能终端），锁定的目标岗位为AIoT工业互联网解决方案工程师。</w:t>
      </w:r>
    </w:p>
    <w:p w14:paraId="4BF47643">
      <w:pPr>
        <w:spacing w:before="120" w:after="120" w:line="288" w:lineRule="auto"/>
        <w:ind w:left="0"/>
        <w:jc w:val="left"/>
      </w:pPr>
      <w:r>
        <w:rPr>
          <w:rFonts w:ascii="Arial" w:hAnsi="Arial" w:eastAsia="等线" w:cs="Arial"/>
          <w:sz w:val="22"/>
        </w:rPr>
        <w:t>该岗位是物联网“技术融合+产业落地”的核心载体，既契合行业“数智赋能实体经济”的主流趋势，又能规避初级岗位被AI替代的风险，同时符合企业对“硬科技+场景落地”复合能力的需求，具体匹配逻辑如下：</w:t>
      </w:r>
    </w:p>
    <w:p w14:paraId="1E4FA861">
      <w:pPr>
        <w:numPr>
          <w:ilvl w:val="0"/>
          <w:numId w:val="34"/>
        </w:numPr>
        <w:spacing w:before="120" w:after="120" w:line="288" w:lineRule="auto"/>
        <w:ind w:left="0"/>
        <w:jc w:val="left"/>
      </w:pPr>
      <w:r>
        <w:rPr>
          <w:rFonts w:ascii="Arial" w:hAnsi="Arial" w:eastAsia="等线" w:cs="Arial"/>
          <w:sz w:val="22"/>
        </w:rPr>
        <w:t>贴合行业核心赛道：聚焦工业互联网、智能制造等政策支持力度大、市场规模增长快的领域（2024年我国工业互联网核心产业增加值达1.53万亿元），岗位需求持续扩容；</w:t>
      </w:r>
    </w:p>
    <w:p w14:paraId="10D0C9F1">
      <w:pPr>
        <w:numPr>
          <w:ilvl w:val="0"/>
          <w:numId w:val="35"/>
        </w:numPr>
        <w:spacing w:before="120" w:after="120" w:line="288" w:lineRule="auto"/>
        <w:ind w:left="0"/>
        <w:jc w:val="left"/>
      </w:pPr>
      <w:r>
        <w:rPr>
          <w:rFonts w:ascii="Arial" w:hAnsi="Arial" w:eastAsia="等线" w:cs="Arial"/>
          <w:sz w:val="22"/>
        </w:rPr>
        <w:t>匹配技能发展趋势：要求掌握“物联网感知层/网络层技术+AI大模型应用+行业场景解决方案设计”，完美契合“融合智能”“产业物联网”的技术演进方向；</w:t>
      </w:r>
    </w:p>
    <w:p w14:paraId="322DA291">
      <w:pPr>
        <w:numPr>
          <w:ilvl w:val="0"/>
          <w:numId w:val="36"/>
        </w:numPr>
        <w:spacing w:before="120" w:after="120" w:line="288" w:lineRule="auto"/>
        <w:ind w:left="0"/>
        <w:jc w:val="left"/>
      </w:pPr>
      <w:r>
        <w:rPr>
          <w:rFonts w:ascii="Arial" w:hAnsi="Arial" w:eastAsia="等线" w:cs="Arial"/>
          <w:sz w:val="22"/>
        </w:rPr>
        <w:t>规避替代性风险：核心工作涉及行业机理拆解、跨部门协同（硬件+软件+AI团队）、定制化项目落地层面，此属于人工智能难以替代的“技术+业务”复合型应用场景；</w:t>
      </w:r>
    </w:p>
    <w:p w14:paraId="019591F1">
      <w:pPr>
        <w:numPr>
          <w:ilvl w:val="0"/>
          <w:numId w:val="37"/>
        </w:numPr>
        <w:spacing w:before="120" w:after="120" w:line="288" w:lineRule="auto"/>
        <w:ind w:left="0"/>
        <w:jc w:val="left"/>
      </w:pPr>
      <w:r>
        <w:rPr>
          <w:rFonts w:ascii="Arial" w:hAnsi="Arial" w:eastAsia="等线" w:cs="Arial"/>
          <w:sz w:val="22"/>
        </w:rPr>
        <w:t>职业发展空间较为广阔：可朝着工业大模型应用专家、物联网产业生态负责人等方向进阶，以契合行业从“连接规模”向“价值深度挖掘”的转型需求。</w:t>
      </w:r>
    </w:p>
    <w:p w14:paraId="7C4D6ECA">
      <w:pPr>
        <w:spacing w:before="300" w:after="120" w:line="288" w:lineRule="auto"/>
        <w:ind w:left="0"/>
        <w:jc w:val="left"/>
        <w:outlineLvl w:val="2"/>
      </w:pPr>
      <w:bookmarkStart w:id="22" w:name="heading_23"/>
      <w:r>
        <w:rPr>
          <w:rFonts w:ascii="Arial" w:hAnsi="Arial" w:eastAsia="等线" w:cs="Arial"/>
          <w:b/>
          <w:sz w:val="30"/>
        </w:rPr>
        <w:t>4.2 薪资水平调研</w:t>
      </w:r>
      <w:bookmarkEnd w:id="22"/>
    </w:p>
    <w:p w14:paraId="44B0B983">
      <w:pPr>
        <w:spacing w:before="260" w:after="120" w:line="288" w:lineRule="auto"/>
        <w:ind w:left="0"/>
        <w:jc w:val="left"/>
        <w:outlineLvl w:val="3"/>
      </w:pPr>
      <w:bookmarkStart w:id="23" w:name="heading_24"/>
      <w:r>
        <w:rPr>
          <w:rFonts w:ascii="Arial" w:hAnsi="Arial" w:eastAsia="等线" w:cs="Arial"/>
          <w:b/>
          <w:sz w:val="28"/>
        </w:rPr>
        <w:t>（一）一线城市（北上广深）应届生平均薪资</w:t>
      </w:r>
      <w:bookmarkEnd w:id="23"/>
    </w:p>
    <w:p w14:paraId="43F622AA">
      <w:pPr>
        <w:numPr>
          <w:ilvl w:val="0"/>
          <w:numId w:val="38"/>
        </w:numPr>
        <w:spacing w:before="120" w:after="120" w:line="288" w:lineRule="auto"/>
        <w:ind w:left="0"/>
        <w:jc w:val="left"/>
      </w:pPr>
      <w:r>
        <w:rPr>
          <w:rFonts w:ascii="Arial" w:hAnsi="Arial" w:eastAsia="等线" w:cs="Arial"/>
          <w:sz w:val="22"/>
        </w:rPr>
        <w:t>平均月度薪资：15000元；</w:t>
      </w:r>
    </w:p>
    <w:p w14:paraId="4EAAF872">
      <w:pPr>
        <w:numPr>
          <w:ilvl w:val="0"/>
          <w:numId w:val="39"/>
        </w:numPr>
        <w:spacing w:before="120" w:after="120" w:line="288" w:lineRule="auto"/>
        <w:ind w:left="0"/>
        <w:jc w:val="left"/>
      </w:pPr>
      <w:r>
        <w:rPr>
          <w:rFonts w:ascii="Arial" w:hAnsi="Arial" w:eastAsia="等线" w:cs="Arial"/>
          <w:sz w:val="22"/>
        </w:rPr>
        <w:t>年度综合薪资：18-25万元区间（含1-3个月薪资的年终奖金）；</w:t>
      </w:r>
    </w:p>
    <w:p w14:paraId="2C726DD2">
      <w:pPr>
        <w:numPr>
          <w:ilvl w:val="0"/>
          <w:numId w:val="40"/>
        </w:numPr>
        <w:spacing w:before="120" w:after="120" w:line="288" w:lineRule="auto"/>
        <w:ind w:left="0"/>
        <w:jc w:val="left"/>
      </w:pPr>
      <w:r>
        <w:rPr>
          <w:rFonts w:ascii="Arial" w:hAnsi="Arial" w:eastAsia="等线" w:cs="Arial"/>
          <w:sz w:val="22"/>
        </w:rPr>
        <w:t>薪资构成：基础工资（80%）+绩效奖金（15%）+项目奖金（5%），部分企业提供住房补贴（1500-3000元/月）或落户补贴（如上海对重点产业应届生最高补贴3万元）。</w:t>
      </w:r>
    </w:p>
    <w:p w14:paraId="744D44CA">
      <w:pPr>
        <w:widowControl w:val="0"/>
        <w:numPr>
          <w:numId w:val="0"/>
        </w:numPr>
        <w:spacing w:before="120" w:after="120" w:line="288" w:lineRule="auto"/>
        <w:jc w:val="left"/>
      </w:pPr>
      <w:r>
        <w:rPr>
          <w:rFonts w:hint="default"/>
          <w:sz w:val="28"/>
          <w:szCs w:val="28"/>
          <w:lang w:val="en-US" w:eastAsia="zh-CN"/>
        </w:rPr>
        <w:drawing>
          <wp:inline distT="0" distB="0" distL="114300" distR="114300">
            <wp:extent cx="2588895" cy="4039870"/>
            <wp:effectExtent l="0" t="0" r="1905" b="13970"/>
            <wp:docPr id="2" name="图片 2" descr="0a2a245c2f03c64335c3499774ed7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a2a245c2f03c64335c3499774ed725b"/>
                    <pic:cNvPicPr>
                      <a:picLocks noChangeAspect="1"/>
                    </pic:cNvPicPr>
                  </pic:nvPicPr>
                  <pic:blipFill>
                    <a:blip r:embed="rId8"/>
                    <a:srcRect t="22310" b="5638"/>
                    <a:stretch>
                      <a:fillRect/>
                    </a:stretch>
                  </pic:blipFill>
                  <pic:spPr>
                    <a:xfrm>
                      <a:off x="0" y="0"/>
                      <a:ext cx="2588895" cy="4039870"/>
                    </a:xfrm>
                    <a:prstGeom prst="rect">
                      <a:avLst/>
                    </a:prstGeom>
                  </pic:spPr>
                </pic:pic>
              </a:graphicData>
            </a:graphic>
          </wp:inline>
        </w:drawing>
      </w:r>
      <w:r>
        <w:rPr>
          <w:rFonts w:hint="default"/>
          <w:sz w:val="28"/>
          <w:szCs w:val="28"/>
          <w:lang w:val="en-US" w:eastAsia="zh-CN"/>
        </w:rPr>
        <w:drawing>
          <wp:inline distT="0" distB="0" distL="114300" distR="114300">
            <wp:extent cx="2571115" cy="4059555"/>
            <wp:effectExtent l="0" t="0" r="4445" b="9525"/>
            <wp:docPr id="4" name="图片 4" descr="74b476a0abfb87889ee8d93998ed6e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4b476a0abfb87889ee8d93998ed6efe"/>
                    <pic:cNvPicPr>
                      <a:picLocks noChangeAspect="1"/>
                    </pic:cNvPicPr>
                  </pic:nvPicPr>
                  <pic:blipFill>
                    <a:blip r:embed="rId9"/>
                    <a:srcRect t="22538" b="4577"/>
                    <a:stretch>
                      <a:fillRect/>
                    </a:stretch>
                  </pic:blipFill>
                  <pic:spPr>
                    <a:xfrm>
                      <a:off x="0" y="0"/>
                      <a:ext cx="2571115" cy="4059555"/>
                    </a:xfrm>
                    <a:prstGeom prst="rect">
                      <a:avLst/>
                    </a:prstGeom>
                  </pic:spPr>
                </pic:pic>
              </a:graphicData>
            </a:graphic>
          </wp:inline>
        </w:drawing>
      </w:r>
    </w:p>
    <w:p w14:paraId="4D07D3EF">
      <w:pPr>
        <w:widowControl w:val="0"/>
        <w:numPr>
          <w:ilvl w:val="0"/>
          <w:numId w:val="0"/>
        </w:numPr>
        <w:spacing w:before="120" w:after="120" w:line="288" w:lineRule="auto"/>
        <w:jc w:val="left"/>
      </w:pPr>
    </w:p>
    <w:p w14:paraId="3DC92EB9">
      <w:pPr>
        <w:spacing w:before="260" w:after="120" w:line="288" w:lineRule="auto"/>
        <w:ind w:left="0"/>
        <w:jc w:val="left"/>
        <w:outlineLvl w:val="3"/>
      </w:pPr>
      <w:bookmarkStart w:id="24" w:name="heading_25"/>
      <w:r>
        <w:rPr>
          <w:rFonts w:ascii="Arial" w:hAnsi="Arial" w:eastAsia="等线" w:cs="Arial"/>
          <w:b/>
          <w:sz w:val="28"/>
        </w:rPr>
        <w:t>（二）核心二三线城市（产业强市）</w:t>
      </w:r>
      <w:bookmarkEnd w:id="24"/>
    </w:p>
    <w:p w14:paraId="4D7FB6E7">
      <w:pPr>
        <w:numPr>
          <w:ilvl w:val="0"/>
          <w:numId w:val="41"/>
        </w:numPr>
        <w:spacing w:before="120" w:after="120" w:line="288" w:lineRule="auto"/>
        <w:ind w:left="0"/>
        <w:jc w:val="left"/>
      </w:pPr>
      <w:r>
        <w:rPr>
          <w:rFonts w:ascii="Arial" w:hAnsi="Arial" w:eastAsia="等线" w:cs="Arial"/>
          <w:sz w:val="22"/>
        </w:rPr>
        <w:t>月度薪资范围：8000-12000元；</w:t>
      </w:r>
    </w:p>
    <w:p w14:paraId="7FB58D90">
      <w:pPr>
        <w:numPr>
          <w:ilvl w:val="0"/>
          <w:numId w:val="42"/>
        </w:numPr>
        <w:spacing w:before="120" w:after="120" w:line="288" w:lineRule="auto"/>
        <w:ind w:left="0"/>
        <w:jc w:val="left"/>
      </w:pPr>
      <w:r>
        <w:rPr>
          <w:rFonts w:ascii="Arial" w:hAnsi="Arial" w:eastAsia="等线" w:cs="Arial"/>
          <w:sz w:val="22"/>
        </w:rPr>
        <w:t>平均月度薪资：10000元；</w:t>
      </w:r>
    </w:p>
    <w:p w14:paraId="6E3D3580">
      <w:pPr>
        <w:numPr>
          <w:ilvl w:val="0"/>
          <w:numId w:val="43"/>
        </w:numPr>
        <w:spacing w:before="120" w:after="120" w:line="288" w:lineRule="auto"/>
        <w:ind w:left="0"/>
        <w:jc w:val="left"/>
      </w:pPr>
      <w:r>
        <w:rPr>
          <w:rFonts w:ascii="Arial" w:hAnsi="Arial" w:eastAsia="等线" w:cs="Arial"/>
          <w:sz w:val="22"/>
        </w:rPr>
        <w:t>年度综合薪资：12-15万元（含年终奖金1-2个月薪资）；</w:t>
      </w:r>
    </w:p>
    <w:p w14:paraId="145D99F9">
      <w:pPr>
        <w:numPr>
          <w:ilvl w:val="0"/>
          <w:numId w:val="44"/>
        </w:numPr>
        <w:spacing w:before="120" w:after="120" w:line="288" w:lineRule="auto"/>
        <w:ind w:left="0"/>
        <w:jc w:val="left"/>
      </w:pPr>
      <w:r>
        <w:rPr>
          <w:rFonts w:ascii="Arial" w:hAnsi="Arial" w:eastAsia="等线" w:cs="Arial"/>
          <w:sz w:val="22"/>
        </w:rPr>
        <w:t>产业支撑情况：这些城市拥有国家级工业互联网平台（如苏州树根互联、无锡雪浪云、杭州阿里云IoT），且作为物联网产业集群核心节点（如无锡国家传感网创新示范区、成都高新区），企业对AIoT技能需求明确，应届生薪资较当地平均水平高出30%-50%。</w:t>
      </w:r>
    </w:p>
    <w:p w14:paraId="1A08F952">
      <w:pPr>
        <w:widowControl w:val="0"/>
        <w:numPr>
          <w:ilvl w:val="0"/>
          <w:numId w:val="0"/>
        </w:numPr>
        <w:spacing w:before="120" w:after="120" w:line="288" w:lineRule="auto"/>
        <w:jc w:val="left"/>
      </w:pPr>
      <w:r>
        <w:rPr>
          <w:rFonts w:hint="default"/>
          <w:sz w:val="28"/>
          <w:szCs w:val="28"/>
          <w:lang w:val="en-US" w:eastAsia="zh-CN"/>
        </w:rPr>
        <w:drawing>
          <wp:inline distT="0" distB="0" distL="114300" distR="114300">
            <wp:extent cx="2578735" cy="4304030"/>
            <wp:effectExtent l="0" t="0" r="12065" b="8890"/>
            <wp:docPr id="5" name="图片 5" descr="344792880a8212c0426ba9b448b8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44792880a8212c0426ba9b448b84717"/>
                    <pic:cNvPicPr>
                      <a:picLocks noChangeAspect="1"/>
                    </pic:cNvPicPr>
                  </pic:nvPicPr>
                  <pic:blipFill>
                    <a:blip r:embed="rId10"/>
                    <a:srcRect t="22925"/>
                    <a:stretch>
                      <a:fillRect/>
                    </a:stretch>
                  </pic:blipFill>
                  <pic:spPr>
                    <a:xfrm>
                      <a:off x="0" y="0"/>
                      <a:ext cx="2578735" cy="4304030"/>
                    </a:xfrm>
                    <a:prstGeom prst="rect">
                      <a:avLst/>
                    </a:prstGeom>
                  </pic:spPr>
                </pic:pic>
              </a:graphicData>
            </a:graphic>
          </wp:inline>
        </w:drawing>
      </w:r>
      <w:r>
        <w:rPr>
          <w:rFonts w:hint="default"/>
          <w:sz w:val="28"/>
          <w:szCs w:val="28"/>
          <w:lang w:val="en-US" w:eastAsia="zh-CN"/>
        </w:rPr>
        <w:drawing>
          <wp:inline distT="0" distB="0" distL="114300" distR="114300">
            <wp:extent cx="2638425" cy="4316730"/>
            <wp:effectExtent l="0" t="0" r="13335" b="11430"/>
            <wp:docPr id="6" name="图片 6" descr="cb21f8d4af41164c7db3c33917352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b21f8d4af41164c7db3c33917352b0a"/>
                    <pic:cNvPicPr>
                      <a:picLocks noChangeAspect="1"/>
                    </pic:cNvPicPr>
                  </pic:nvPicPr>
                  <pic:blipFill>
                    <a:blip r:embed="rId11"/>
                    <a:srcRect t="22241" b="2212"/>
                    <a:stretch>
                      <a:fillRect/>
                    </a:stretch>
                  </pic:blipFill>
                  <pic:spPr>
                    <a:xfrm>
                      <a:off x="0" y="0"/>
                      <a:ext cx="2638425" cy="4316730"/>
                    </a:xfrm>
                    <a:prstGeom prst="rect">
                      <a:avLst/>
                    </a:prstGeom>
                  </pic:spPr>
                </pic:pic>
              </a:graphicData>
            </a:graphic>
          </wp:inline>
        </w:drawing>
      </w:r>
    </w:p>
    <w:p w14:paraId="641F8A0B">
      <w:pPr>
        <w:spacing w:before="260" w:after="120" w:line="288" w:lineRule="auto"/>
        <w:ind w:left="0"/>
        <w:jc w:val="left"/>
        <w:outlineLvl w:val="3"/>
      </w:pPr>
      <w:bookmarkStart w:id="25" w:name="heading_26"/>
      <w:r>
        <w:rPr>
          <w:rFonts w:ascii="Arial" w:hAnsi="Arial" w:eastAsia="等线" w:cs="Arial"/>
          <w:b/>
          <w:sz w:val="28"/>
        </w:rPr>
        <w:t>（三）普通二三线城市（产业基础较弱）</w:t>
      </w:r>
      <w:bookmarkEnd w:id="25"/>
    </w:p>
    <w:p w14:paraId="605A65D1">
      <w:pPr>
        <w:numPr>
          <w:ilvl w:val="0"/>
          <w:numId w:val="45"/>
        </w:numPr>
        <w:spacing w:before="120" w:after="120" w:line="288" w:lineRule="auto"/>
        <w:ind w:left="0"/>
        <w:jc w:val="left"/>
      </w:pPr>
      <w:r>
        <w:rPr>
          <w:rFonts w:ascii="Arial" w:hAnsi="Arial" w:eastAsia="等线" w:cs="Arial"/>
          <w:sz w:val="22"/>
        </w:rPr>
        <w:t>月度薪资范围：6000-9000元；</w:t>
      </w:r>
    </w:p>
    <w:p w14:paraId="178C747C">
      <w:pPr>
        <w:numPr>
          <w:ilvl w:val="0"/>
          <w:numId w:val="46"/>
        </w:numPr>
        <w:spacing w:before="120" w:after="120" w:line="288" w:lineRule="auto"/>
        <w:ind w:left="0"/>
        <w:jc w:val="left"/>
      </w:pPr>
      <w:r>
        <w:rPr>
          <w:rFonts w:ascii="Arial" w:hAnsi="Arial" w:eastAsia="等线" w:cs="Arial"/>
          <w:sz w:val="22"/>
        </w:rPr>
        <w:t>平均月度薪资：7500元；</w:t>
      </w:r>
    </w:p>
    <w:p w14:paraId="4EE0F23D">
      <w:pPr>
        <w:numPr>
          <w:ilvl w:val="0"/>
          <w:numId w:val="47"/>
        </w:numPr>
        <w:spacing w:before="120" w:after="120" w:line="288" w:lineRule="auto"/>
        <w:ind w:left="0"/>
        <w:jc w:val="left"/>
      </w:pPr>
      <w:r>
        <w:rPr>
          <w:rFonts w:ascii="Arial" w:hAnsi="Arial" w:eastAsia="等线" w:cs="Arial"/>
          <w:sz w:val="22"/>
        </w:rPr>
        <w:t>年度综合薪资：9-11万元（含1个月薪资的年终奖金）；</w:t>
      </w:r>
    </w:p>
    <w:p w14:paraId="0EB0DAC4">
      <w:pPr>
        <w:numPr>
          <w:ilvl w:val="0"/>
          <w:numId w:val="48"/>
        </w:numPr>
        <w:spacing w:before="120" w:after="120" w:line="288" w:lineRule="auto"/>
        <w:ind w:left="0"/>
        <w:jc w:val="left"/>
      </w:pPr>
      <w:r>
        <w:rPr>
          <w:rFonts w:ascii="Arial" w:hAnsi="Arial" w:eastAsia="等线" w:cs="Arial"/>
          <w:sz w:val="22"/>
        </w:rPr>
        <w:t>薪资特点：企业以传统制造业数字化转型需求为主，岗位侧重“工业设备联网+基础方案设计”，对AI、6G等前沿技术需求较少，因此薪资低于产业强市，但高于当地传统IT岗位（如普通软件开发岗6000-8000元/月）。</w:t>
      </w:r>
    </w:p>
    <w:p w14:paraId="3DA19385">
      <w:pPr>
        <w:widowControl w:val="0"/>
        <w:numPr>
          <w:ilvl w:val="0"/>
          <w:numId w:val="0"/>
        </w:numPr>
        <w:spacing w:before="120" w:after="120" w:line="288" w:lineRule="auto"/>
        <w:jc w:val="left"/>
      </w:pPr>
      <w:r>
        <w:rPr>
          <w:rFonts w:hint="default"/>
          <w:sz w:val="28"/>
          <w:szCs w:val="28"/>
          <w:lang w:val="en-US" w:eastAsia="zh-CN"/>
        </w:rPr>
        <w:drawing>
          <wp:inline distT="0" distB="0" distL="114300" distR="114300">
            <wp:extent cx="2553335" cy="4129405"/>
            <wp:effectExtent l="0" t="0" r="6985" b="635"/>
            <wp:docPr id="7" name="图片 7" descr="18740e7735cef18016c29ce42ed2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8740e7735cef18016c29ce42ed28845"/>
                    <pic:cNvPicPr>
                      <a:picLocks noChangeAspect="1"/>
                    </pic:cNvPicPr>
                  </pic:nvPicPr>
                  <pic:blipFill>
                    <a:blip r:embed="rId12"/>
                    <a:srcRect t="25336"/>
                    <a:stretch>
                      <a:fillRect/>
                    </a:stretch>
                  </pic:blipFill>
                  <pic:spPr>
                    <a:xfrm>
                      <a:off x="0" y="0"/>
                      <a:ext cx="2553335" cy="4129405"/>
                    </a:xfrm>
                    <a:prstGeom prst="rect">
                      <a:avLst/>
                    </a:prstGeom>
                  </pic:spPr>
                </pic:pic>
              </a:graphicData>
            </a:graphic>
          </wp:inline>
        </w:drawing>
      </w:r>
      <w:r>
        <w:rPr>
          <w:rFonts w:hint="default"/>
          <w:sz w:val="28"/>
          <w:szCs w:val="28"/>
          <w:lang w:val="en-US" w:eastAsia="zh-CN"/>
        </w:rPr>
        <w:drawing>
          <wp:inline distT="0" distB="0" distL="114300" distR="114300">
            <wp:extent cx="2454910" cy="4152265"/>
            <wp:effectExtent l="0" t="0" r="13970" b="8255"/>
            <wp:docPr id="8" name="图片 8" descr="b02288489730d04b17f6d71f2b11e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02288489730d04b17f6d71f2b11e939"/>
                    <pic:cNvPicPr>
                      <a:picLocks noChangeAspect="1"/>
                    </pic:cNvPicPr>
                  </pic:nvPicPr>
                  <pic:blipFill>
                    <a:blip r:embed="rId13"/>
                    <a:srcRect t="21895"/>
                    <a:stretch>
                      <a:fillRect/>
                    </a:stretch>
                  </pic:blipFill>
                  <pic:spPr>
                    <a:xfrm>
                      <a:off x="0" y="0"/>
                      <a:ext cx="2454910" cy="4152265"/>
                    </a:xfrm>
                    <a:prstGeom prst="rect">
                      <a:avLst/>
                    </a:prstGeom>
                  </pic:spPr>
                </pic:pic>
              </a:graphicData>
            </a:graphic>
          </wp:inline>
        </w:drawing>
      </w:r>
    </w:p>
    <w:p w14:paraId="3B78D93C">
      <w:pPr>
        <w:spacing w:before="300" w:after="120" w:line="288" w:lineRule="auto"/>
        <w:ind w:left="0"/>
        <w:jc w:val="left"/>
        <w:outlineLvl w:val="2"/>
      </w:pPr>
      <w:bookmarkStart w:id="26" w:name="heading_27"/>
      <w:r>
        <w:rPr>
          <w:rFonts w:ascii="Arial" w:hAnsi="Arial" w:eastAsia="等线" w:cs="Arial"/>
          <w:b/>
          <w:sz w:val="30"/>
        </w:rPr>
        <w:t>4.3 结论</w:t>
      </w:r>
      <w:bookmarkEnd w:id="26"/>
    </w:p>
    <w:p w14:paraId="19070F94">
      <w:pPr>
        <w:spacing w:before="120" w:after="120" w:line="288" w:lineRule="auto"/>
        <w:ind w:left="0"/>
        <w:jc w:val="left"/>
      </w:pPr>
      <w:r>
        <w:rPr>
          <w:rFonts w:ascii="Arial" w:hAnsi="Arial" w:eastAsia="等线" w:cs="Arial"/>
          <w:sz w:val="22"/>
        </w:rPr>
        <w:t>需从“技能升级、方向聚焦、实践积累”三个维度实现突破，以避免成为技术替代的“受害者”：</w:t>
      </w:r>
    </w:p>
    <w:p w14:paraId="28CE36C2">
      <w:pPr>
        <w:spacing w:before="260" w:after="120" w:line="288" w:lineRule="auto"/>
        <w:ind w:left="0"/>
        <w:jc w:val="left"/>
        <w:outlineLvl w:val="3"/>
      </w:pPr>
      <w:bookmarkStart w:id="27" w:name="heading_28"/>
      <w:r>
        <w:rPr>
          <w:rFonts w:ascii="Arial" w:hAnsi="Arial" w:eastAsia="等线" w:cs="Arial"/>
          <w:b/>
          <w:sz w:val="28"/>
        </w:rPr>
        <w:t>（一）拒绝“万金油”，聚焦细分高价值方向</w:t>
      </w:r>
      <w:bookmarkEnd w:id="27"/>
    </w:p>
    <w:p w14:paraId="4CA61507">
      <w:pPr>
        <w:spacing w:before="120" w:after="120" w:line="288" w:lineRule="auto"/>
        <w:ind w:left="0"/>
        <w:jc w:val="left"/>
      </w:pPr>
      <w:r>
        <w:rPr>
          <w:rFonts w:ascii="Arial" w:hAnsi="Arial" w:eastAsia="等线" w:cs="Arial"/>
          <w:sz w:val="22"/>
        </w:rPr>
        <w:t>规避已饱和的初级领域，选取物联网与AI、6G、工业互联网融合的细分赛道，如“边缘AI算法部署”“卫星物联网终端开发”“工业物联网大模型应用”，通过选修相关课程（如《边缘计算》《物联网与机器学习》）、考取认证（如华为IoT高级工程师认证）构建差异化竞争优势。</w:t>
      </w:r>
    </w:p>
    <w:p w14:paraId="4539E588">
      <w:pPr>
        <w:spacing w:before="260" w:after="120" w:line="288" w:lineRule="auto"/>
        <w:ind w:left="0"/>
        <w:jc w:val="left"/>
        <w:outlineLvl w:val="3"/>
      </w:pPr>
      <w:bookmarkStart w:id="28" w:name="heading_29"/>
      <w:r>
        <w:rPr>
          <w:rFonts w:ascii="Arial" w:hAnsi="Arial" w:eastAsia="等线" w:cs="Arial"/>
          <w:b/>
          <w:sz w:val="28"/>
        </w:rPr>
        <w:t>（二）主动拥抱AI工具，从“工具使用者”转向“应用合作者”</w:t>
      </w:r>
      <w:bookmarkEnd w:id="28"/>
    </w:p>
    <w:p w14:paraId="2E63F17E">
      <w:pPr>
        <w:spacing w:before="120" w:after="120" w:line="288" w:lineRule="auto"/>
        <w:ind w:left="0"/>
        <w:jc w:val="left"/>
      </w:pPr>
      <w:r>
        <w:rPr>
          <w:rFonts w:ascii="Arial" w:hAnsi="Arial" w:eastAsia="等线" w:cs="Arial"/>
          <w:sz w:val="22"/>
        </w:rPr>
        <w:t>不排斥AI工具，而是借助其提升工作效率（如利用GitHub Copilot辅助开发，节省基础代码编写时间），同时着重培养AI无法替代的能力——如复杂系统架构设计（如工业物联网平台分层架构）、业务场景拆解（如将“智慧工厂”需求转化为物联网解决方案）、跨团队协作（如协调硬件与AI团队推进项目），这些能力是抵御“技术性失业”风险的核心“防护屏障”。</w:t>
      </w:r>
    </w:p>
    <w:p w14:paraId="3AA5CAB5">
      <w:pPr>
        <w:spacing w:before="260" w:after="120" w:line="288" w:lineRule="auto"/>
        <w:ind w:left="0"/>
        <w:jc w:val="left"/>
        <w:outlineLvl w:val="3"/>
      </w:pPr>
      <w:bookmarkStart w:id="29" w:name="heading_30"/>
      <w:r>
        <w:rPr>
          <w:rFonts w:ascii="Arial" w:hAnsi="Arial" w:eastAsia="等线" w:cs="Arial"/>
          <w:b/>
          <w:sz w:val="28"/>
        </w:rPr>
        <w:t>（三）提前积累实战经验，弥补学历与课程短板</w:t>
      </w:r>
      <w:bookmarkEnd w:id="29"/>
    </w:p>
    <w:p w14:paraId="5E77A858">
      <w:pPr>
        <w:spacing w:before="120" w:after="120" w:line="288" w:lineRule="auto"/>
        <w:ind w:left="0"/>
        <w:jc w:val="left"/>
      </w:pPr>
      <w:r>
        <w:rPr>
          <w:rFonts w:ascii="Arial" w:hAnsi="Arial" w:eastAsia="等线" w:cs="Arial"/>
          <w:sz w:val="22"/>
        </w:rPr>
        <w:t>通过参与“物联网+AI”跨学科项目（如大学生智能汽车竞赛、工业互联网创新大赛）、进入企业实习（优先选择“AIoT部门”，如华为车联网团队、阿里IoT创新中心），积累“真实场景项目经验”。例如，参与“基于AI的设备故障预测”项目，掌握“传感器数据采集+TensorFlow模型训练+边缘部署”全流程，可显著提升就业竞争力。2025年数据显示，有此类项目经验的学生，获得中</w:t>
      </w:r>
      <w:bookmarkStart w:id="31" w:name="_GoBack"/>
      <w:bookmarkEnd w:id="31"/>
      <w:r>
        <w:rPr>
          <w:rFonts w:ascii="Arial" w:hAnsi="Arial" w:eastAsia="等线" w:cs="Arial"/>
          <w:sz w:val="22"/>
        </w:rPr>
        <w:t>高端岗位Offer的概率是无经验者的3.2倍。</w:t>
      </w:r>
    </w:p>
    <w:p w14:paraId="2EC78F04">
      <w:pPr>
        <w:spacing w:before="320" w:after="120" w:line="288" w:lineRule="auto"/>
        <w:ind w:left="0"/>
        <w:jc w:val="left"/>
        <w:outlineLvl w:val="1"/>
      </w:pPr>
      <w:bookmarkStart w:id="30" w:name="heading_31"/>
      <w:r>
        <w:rPr>
          <w:rFonts w:ascii="Arial" w:hAnsi="Arial" w:eastAsia="等线" w:cs="Arial"/>
          <w:b/>
          <w:sz w:val="32"/>
        </w:rPr>
        <w:t>五、参考文献</w:t>
      </w:r>
      <w:bookmarkEnd w:id="30"/>
    </w:p>
    <w:p w14:paraId="075523FF">
      <w:pPr>
        <w:numPr>
          <w:ilvl w:val="0"/>
          <w:numId w:val="49"/>
        </w:numPr>
        <w:spacing w:before="120" w:after="120" w:line="288" w:lineRule="auto"/>
        <w:ind w:left="0"/>
        <w:jc w:val="left"/>
      </w:pPr>
      <w:r>
        <w:rPr>
          <w:rFonts w:ascii="Arial" w:hAnsi="Arial" w:eastAsia="等线" w:cs="Arial"/>
          <w:sz w:val="22"/>
        </w:rPr>
        <w:t>中国工业互联网研究院. 中国工业互联网研究院加快推进评价体系建设 工业互联网工程技术人员或成高薪新职业[R].</w:t>
      </w:r>
    </w:p>
    <w:p w14:paraId="595FF087">
      <w:pPr>
        <w:numPr>
          <w:ilvl w:val="0"/>
          <w:numId w:val="50"/>
        </w:numPr>
        <w:spacing w:before="120" w:after="120" w:line="288" w:lineRule="auto"/>
        <w:ind w:left="0"/>
        <w:jc w:val="left"/>
      </w:pPr>
      <w:r>
        <w:rPr>
          <w:rFonts w:ascii="Arial" w:hAnsi="Arial" w:eastAsia="等线" w:cs="Arial"/>
          <w:sz w:val="22"/>
        </w:rPr>
        <w:t>华经产业研究院. 2023年全球及中国物联网行业现状及发展趋势分析，未来物联网行业将会进一步向更多的领域拓展[R].</w:t>
      </w:r>
    </w:p>
    <w:p w14:paraId="166D1EEC">
      <w:pPr>
        <w:numPr>
          <w:ilvl w:val="0"/>
          <w:numId w:val="51"/>
        </w:numPr>
        <w:spacing w:before="120" w:after="120" w:line="288" w:lineRule="auto"/>
        <w:ind w:left="0"/>
        <w:jc w:val="left"/>
      </w:pPr>
      <w:r>
        <w:rPr>
          <w:rFonts w:ascii="Arial" w:hAnsi="Arial" w:eastAsia="等线" w:cs="Arial"/>
          <w:sz w:val="22"/>
        </w:rPr>
        <w:t>中国物联网发展年度报告编写组. 2024-2025中国物联网发展年度报告[R].</w:t>
      </w:r>
    </w:p>
    <w:p w14:paraId="227F3AAD">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068F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1B9F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decimal"/>
      <w:lvlText w:val="%1."/>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3"/>
      <w:numFmt w:val="decimal"/>
      <w:lvlText w:val="%1."/>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1"/>
      <w:numFmt w:val="decimal"/>
      <w:lvlText w:val="%1."/>
      <w:lvlJc w:val="left"/>
      <w:rPr>
        <w:color w:val="3370FF"/>
      </w:rPr>
    </w:lvl>
  </w:abstractNum>
  <w:abstractNum w:abstractNumId="6">
    <w:nsid w:val="9288B902"/>
    <w:multiLevelType w:val="singleLevel"/>
    <w:tmpl w:val="9288B902"/>
    <w:lvl w:ilvl="0" w:tentative="0">
      <w:start w:val="1"/>
      <w:numFmt w:val="decimal"/>
      <w:lvlText w:val="%1."/>
      <w:lvlJc w:val="left"/>
      <w:rPr>
        <w:color w:val="3370FF"/>
      </w:rPr>
    </w:lvl>
  </w:abstractNum>
  <w:abstractNum w:abstractNumId="7">
    <w:nsid w:val="9C8AC8EF"/>
    <w:multiLevelType w:val="singleLevel"/>
    <w:tmpl w:val="9C8AC8EF"/>
    <w:lvl w:ilvl="0" w:tentative="0">
      <w:start w:val="3"/>
      <w:numFmt w:val="decimal"/>
      <w:lvlText w:val="%1."/>
      <w:lvlJc w:val="left"/>
      <w:rPr>
        <w:color w:val="3370FF"/>
      </w:rPr>
    </w:lvl>
  </w:abstractNum>
  <w:abstractNum w:abstractNumId="8">
    <w:nsid w:val="B0F1ACD9"/>
    <w:multiLevelType w:val="singleLevel"/>
    <w:tmpl w:val="B0F1ACD9"/>
    <w:lvl w:ilvl="0" w:tentative="0">
      <w:start w:val="2"/>
      <w:numFmt w:val="decimal"/>
      <w:lvlText w:val="%1."/>
      <w:lvlJc w:val="left"/>
      <w:rPr>
        <w:color w:val="3370FF"/>
      </w:rPr>
    </w:lvl>
  </w:abstractNum>
  <w:abstractNum w:abstractNumId="9">
    <w:nsid w:val="B5E306ED"/>
    <w:multiLevelType w:val="singleLevel"/>
    <w:tmpl w:val="B5E306ED"/>
    <w:lvl w:ilvl="0" w:tentative="0">
      <w:start w:val="5"/>
      <w:numFmt w:val="decimal"/>
      <w:lvlText w:val="%1."/>
      <w:lvlJc w:val="left"/>
      <w:rPr>
        <w:color w:val="3370FF"/>
      </w:rPr>
    </w:lvl>
  </w:abstractNum>
  <w:abstractNum w:abstractNumId="10">
    <w:nsid w:val="B8CEF35B"/>
    <w:multiLevelType w:val="singleLevel"/>
    <w:tmpl w:val="B8CEF35B"/>
    <w:lvl w:ilvl="0" w:tentative="0">
      <w:start w:val="0"/>
      <w:numFmt w:val="bullet"/>
      <w:lvlText w:val="•"/>
      <w:lvlJc w:val="left"/>
      <w:rPr>
        <w:color w:val="3370FF"/>
      </w:rPr>
    </w:lvl>
  </w:abstractNum>
  <w:abstractNum w:abstractNumId="11">
    <w:nsid w:val="BB64CFA9"/>
    <w:multiLevelType w:val="singleLevel"/>
    <w:tmpl w:val="BB64CFA9"/>
    <w:lvl w:ilvl="0" w:tentative="0">
      <w:start w:val="0"/>
      <w:numFmt w:val="bullet"/>
      <w:lvlText w:val="•"/>
      <w:lvlJc w:val="left"/>
      <w:rPr>
        <w:color w:val="3370FF"/>
      </w:rPr>
    </w:lvl>
  </w:abstractNum>
  <w:abstractNum w:abstractNumId="12">
    <w:nsid w:val="BE923771"/>
    <w:multiLevelType w:val="singleLevel"/>
    <w:tmpl w:val="BE923771"/>
    <w:lvl w:ilvl="0" w:tentative="0">
      <w:start w:val="2"/>
      <w:numFmt w:val="decimal"/>
      <w:lvlText w:val="%1."/>
      <w:lvlJc w:val="left"/>
      <w:rPr>
        <w:color w:val="3370FF"/>
      </w:rPr>
    </w:lvl>
  </w:abstractNum>
  <w:abstractNum w:abstractNumId="13">
    <w:nsid w:val="BF205925"/>
    <w:multiLevelType w:val="singleLevel"/>
    <w:tmpl w:val="BF205925"/>
    <w:lvl w:ilvl="0" w:tentative="0">
      <w:start w:val="4"/>
      <w:numFmt w:val="decimal"/>
      <w:lvlText w:val="%1."/>
      <w:lvlJc w:val="left"/>
      <w:rPr>
        <w:color w:val="3370FF"/>
      </w:rPr>
    </w:lvl>
  </w:abstractNum>
  <w:abstractNum w:abstractNumId="14">
    <w:nsid w:val="C8879AEF"/>
    <w:multiLevelType w:val="singleLevel"/>
    <w:tmpl w:val="C8879AEF"/>
    <w:lvl w:ilvl="0" w:tentative="0">
      <w:start w:val="2"/>
      <w:numFmt w:val="decimal"/>
      <w:lvlText w:val="%1."/>
      <w:lvlJc w:val="left"/>
      <w:rPr>
        <w:color w:val="3370FF"/>
      </w:rPr>
    </w:lvl>
  </w:abstractNum>
  <w:abstractNum w:abstractNumId="15">
    <w:nsid w:val="CF092B84"/>
    <w:multiLevelType w:val="singleLevel"/>
    <w:tmpl w:val="CF092B84"/>
    <w:lvl w:ilvl="0" w:tentative="0">
      <w:start w:val="2"/>
      <w:numFmt w:val="decimal"/>
      <w:lvlText w:val="%1."/>
      <w:lvlJc w:val="left"/>
      <w:rPr>
        <w:color w:val="3370FF"/>
      </w:rPr>
    </w:lvl>
  </w:abstractNum>
  <w:abstractNum w:abstractNumId="16">
    <w:nsid w:val="D7F9FE59"/>
    <w:multiLevelType w:val="singleLevel"/>
    <w:tmpl w:val="D7F9FE59"/>
    <w:lvl w:ilvl="0" w:tentative="0">
      <w:start w:val="2"/>
      <w:numFmt w:val="decimal"/>
      <w:lvlText w:val="%1."/>
      <w:lvlJc w:val="left"/>
      <w:rPr>
        <w:color w:val="3370FF"/>
      </w:rPr>
    </w:lvl>
  </w:abstractNum>
  <w:abstractNum w:abstractNumId="17">
    <w:nsid w:val="DCBA6B53"/>
    <w:multiLevelType w:val="singleLevel"/>
    <w:tmpl w:val="DCBA6B53"/>
    <w:lvl w:ilvl="0" w:tentative="0">
      <w:start w:val="1"/>
      <w:numFmt w:val="decimal"/>
      <w:lvlText w:val="%1."/>
      <w:lvlJc w:val="left"/>
      <w:rPr>
        <w:color w:val="3370FF"/>
      </w:rPr>
    </w:lvl>
  </w:abstractNum>
  <w:abstractNum w:abstractNumId="18">
    <w:nsid w:val="E093A4B0"/>
    <w:multiLevelType w:val="singleLevel"/>
    <w:tmpl w:val="E093A4B0"/>
    <w:lvl w:ilvl="0" w:tentative="0">
      <w:start w:val="0"/>
      <w:numFmt w:val="bullet"/>
      <w:lvlText w:val="•"/>
      <w:lvlJc w:val="left"/>
      <w:rPr>
        <w:color w:val="3370FF"/>
      </w:rPr>
    </w:lvl>
  </w:abstractNum>
  <w:abstractNum w:abstractNumId="19">
    <w:nsid w:val="F4B5D9F5"/>
    <w:multiLevelType w:val="singleLevel"/>
    <w:tmpl w:val="F4B5D9F5"/>
    <w:lvl w:ilvl="0" w:tentative="0">
      <w:start w:val="2"/>
      <w:numFmt w:val="decimal"/>
      <w:lvlText w:val="%1."/>
      <w:lvlJc w:val="left"/>
      <w:rPr>
        <w:color w:val="3370FF"/>
      </w:rPr>
    </w:lvl>
  </w:abstractNum>
  <w:abstractNum w:abstractNumId="20">
    <w:nsid w:val="F7735DC9"/>
    <w:multiLevelType w:val="singleLevel"/>
    <w:tmpl w:val="F7735DC9"/>
    <w:lvl w:ilvl="0" w:tentative="0">
      <w:start w:val="4"/>
      <w:numFmt w:val="decimal"/>
      <w:lvlText w:val="%1."/>
      <w:lvlJc w:val="left"/>
      <w:rPr>
        <w:color w:val="3370FF"/>
      </w:rPr>
    </w:lvl>
  </w:abstractNum>
  <w:abstractNum w:abstractNumId="21">
    <w:nsid w:val="0053208E"/>
    <w:multiLevelType w:val="singleLevel"/>
    <w:tmpl w:val="0053208E"/>
    <w:lvl w:ilvl="0" w:tentative="0">
      <w:start w:val="1"/>
      <w:numFmt w:val="decimal"/>
      <w:lvlText w:val="%1."/>
      <w:lvlJc w:val="left"/>
      <w:rPr>
        <w:color w:val="3370FF"/>
      </w:rPr>
    </w:lvl>
  </w:abstractNum>
  <w:abstractNum w:abstractNumId="22">
    <w:nsid w:val="0248C179"/>
    <w:multiLevelType w:val="singleLevel"/>
    <w:tmpl w:val="0248C179"/>
    <w:lvl w:ilvl="0" w:tentative="0">
      <w:start w:val="2"/>
      <w:numFmt w:val="decimal"/>
      <w:lvlText w:val="%1."/>
      <w:lvlJc w:val="left"/>
      <w:rPr>
        <w:color w:val="3370FF"/>
      </w:rPr>
    </w:lvl>
  </w:abstractNum>
  <w:abstractNum w:abstractNumId="23">
    <w:nsid w:val="03D62ECE"/>
    <w:multiLevelType w:val="singleLevel"/>
    <w:tmpl w:val="03D62ECE"/>
    <w:lvl w:ilvl="0" w:tentative="0">
      <w:start w:val="1"/>
      <w:numFmt w:val="decimal"/>
      <w:lvlText w:val="%1."/>
      <w:lvlJc w:val="left"/>
      <w:rPr>
        <w:color w:val="3370FF"/>
      </w:rPr>
    </w:lvl>
  </w:abstractNum>
  <w:abstractNum w:abstractNumId="24">
    <w:nsid w:val="0E640482"/>
    <w:multiLevelType w:val="singleLevel"/>
    <w:tmpl w:val="0E640482"/>
    <w:lvl w:ilvl="0" w:tentative="0">
      <w:start w:val="3"/>
      <w:numFmt w:val="decimal"/>
      <w:lvlText w:val="%1."/>
      <w:lvlJc w:val="left"/>
      <w:rPr>
        <w:color w:val="3370FF"/>
      </w:rPr>
    </w:lvl>
  </w:abstractNum>
  <w:abstractNum w:abstractNumId="25">
    <w:nsid w:val="1ACDE60F"/>
    <w:multiLevelType w:val="singleLevel"/>
    <w:tmpl w:val="1ACDE60F"/>
    <w:lvl w:ilvl="0" w:tentative="0">
      <w:start w:val="0"/>
      <w:numFmt w:val="bullet"/>
      <w:lvlText w:val="•"/>
      <w:lvlJc w:val="left"/>
      <w:rPr>
        <w:color w:val="3370FF"/>
      </w:rPr>
    </w:lvl>
  </w:abstractNum>
  <w:abstractNum w:abstractNumId="26">
    <w:nsid w:val="243FCF68"/>
    <w:multiLevelType w:val="singleLevel"/>
    <w:tmpl w:val="243FCF68"/>
    <w:lvl w:ilvl="0" w:tentative="0">
      <w:start w:val="2"/>
      <w:numFmt w:val="decimal"/>
      <w:lvlText w:val="%1."/>
      <w:lvlJc w:val="left"/>
      <w:rPr>
        <w:color w:val="3370FF"/>
      </w:rPr>
    </w:lvl>
  </w:abstractNum>
  <w:abstractNum w:abstractNumId="27">
    <w:nsid w:val="2470EC97"/>
    <w:multiLevelType w:val="singleLevel"/>
    <w:tmpl w:val="2470EC97"/>
    <w:lvl w:ilvl="0" w:tentative="0">
      <w:start w:val="3"/>
      <w:numFmt w:val="decimal"/>
      <w:lvlText w:val="%1."/>
      <w:lvlJc w:val="left"/>
      <w:rPr>
        <w:color w:val="3370FF"/>
      </w:rPr>
    </w:lvl>
  </w:abstractNum>
  <w:abstractNum w:abstractNumId="28">
    <w:nsid w:val="25B654F3"/>
    <w:multiLevelType w:val="singleLevel"/>
    <w:tmpl w:val="25B654F3"/>
    <w:lvl w:ilvl="0" w:tentative="0">
      <w:start w:val="2"/>
      <w:numFmt w:val="decimal"/>
      <w:lvlText w:val="%1."/>
      <w:lvlJc w:val="left"/>
      <w:rPr>
        <w:color w:val="3370FF"/>
      </w:rPr>
    </w:lvl>
  </w:abstractNum>
  <w:abstractNum w:abstractNumId="29">
    <w:nsid w:val="2A8F537B"/>
    <w:multiLevelType w:val="singleLevel"/>
    <w:tmpl w:val="2A8F537B"/>
    <w:lvl w:ilvl="0" w:tentative="0">
      <w:start w:val="2"/>
      <w:numFmt w:val="decimal"/>
      <w:lvlText w:val="%1."/>
      <w:lvlJc w:val="left"/>
      <w:rPr>
        <w:color w:val="3370FF"/>
      </w:rPr>
    </w:lvl>
  </w:abstractNum>
  <w:abstractNum w:abstractNumId="30">
    <w:nsid w:val="30FC5B15"/>
    <w:multiLevelType w:val="singleLevel"/>
    <w:tmpl w:val="30FC5B15"/>
    <w:lvl w:ilvl="0" w:tentative="0">
      <w:start w:val="0"/>
      <w:numFmt w:val="bullet"/>
      <w:lvlText w:val="•"/>
      <w:lvlJc w:val="left"/>
      <w:rPr>
        <w:color w:val="3370FF"/>
      </w:rPr>
    </w:lvl>
  </w:abstractNum>
  <w:abstractNum w:abstractNumId="31">
    <w:nsid w:val="322D85CA"/>
    <w:multiLevelType w:val="singleLevel"/>
    <w:tmpl w:val="322D85CA"/>
    <w:lvl w:ilvl="0" w:tentative="0">
      <w:start w:val="3"/>
      <w:numFmt w:val="decimal"/>
      <w:lvlText w:val="%1."/>
      <w:lvlJc w:val="left"/>
      <w:rPr>
        <w:color w:val="3370FF"/>
      </w:rPr>
    </w:lvl>
  </w:abstractNum>
  <w:abstractNum w:abstractNumId="32">
    <w:nsid w:val="39A0D9AC"/>
    <w:multiLevelType w:val="singleLevel"/>
    <w:tmpl w:val="39A0D9AC"/>
    <w:lvl w:ilvl="0" w:tentative="0">
      <w:start w:val="2"/>
      <w:numFmt w:val="decimal"/>
      <w:lvlText w:val="%1."/>
      <w:lvlJc w:val="left"/>
      <w:rPr>
        <w:color w:val="3370FF"/>
      </w:rPr>
    </w:lvl>
  </w:abstractNum>
  <w:abstractNum w:abstractNumId="33">
    <w:nsid w:val="46A08BB8"/>
    <w:multiLevelType w:val="singleLevel"/>
    <w:tmpl w:val="46A08BB8"/>
    <w:lvl w:ilvl="0" w:tentative="0">
      <w:start w:val="1"/>
      <w:numFmt w:val="decimal"/>
      <w:lvlText w:val="%1."/>
      <w:lvlJc w:val="left"/>
      <w:rPr>
        <w:color w:val="3370FF"/>
      </w:rPr>
    </w:lvl>
  </w:abstractNum>
  <w:abstractNum w:abstractNumId="34">
    <w:nsid w:val="4C1BAE26"/>
    <w:multiLevelType w:val="singleLevel"/>
    <w:tmpl w:val="4C1BAE26"/>
    <w:lvl w:ilvl="0" w:tentative="0">
      <w:start w:val="1"/>
      <w:numFmt w:val="decimal"/>
      <w:lvlText w:val="%1."/>
      <w:lvlJc w:val="left"/>
      <w:rPr>
        <w:color w:val="3370FF"/>
      </w:rPr>
    </w:lvl>
  </w:abstractNum>
  <w:abstractNum w:abstractNumId="35">
    <w:nsid w:val="4C3D7A74"/>
    <w:multiLevelType w:val="singleLevel"/>
    <w:tmpl w:val="4C3D7A74"/>
    <w:lvl w:ilvl="0" w:tentative="0">
      <w:start w:val="2"/>
      <w:numFmt w:val="decimal"/>
      <w:lvlText w:val="%1."/>
      <w:lvlJc w:val="left"/>
      <w:rPr>
        <w:color w:val="3370FF"/>
      </w:rPr>
    </w:lvl>
  </w:abstractNum>
  <w:abstractNum w:abstractNumId="36">
    <w:nsid w:val="4D4DC07F"/>
    <w:multiLevelType w:val="singleLevel"/>
    <w:tmpl w:val="4D4DC07F"/>
    <w:lvl w:ilvl="0" w:tentative="0">
      <w:start w:val="1"/>
      <w:numFmt w:val="decimal"/>
      <w:lvlText w:val="%1."/>
      <w:lvlJc w:val="left"/>
      <w:rPr>
        <w:color w:val="3370FF"/>
      </w:rPr>
    </w:lvl>
  </w:abstractNum>
  <w:abstractNum w:abstractNumId="37">
    <w:nsid w:val="4D94DA66"/>
    <w:multiLevelType w:val="singleLevel"/>
    <w:tmpl w:val="4D94DA66"/>
    <w:lvl w:ilvl="0" w:tentative="0">
      <w:start w:val="3"/>
      <w:numFmt w:val="decimal"/>
      <w:lvlText w:val="%1."/>
      <w:lvlJc w:val="left"/>
      <w:rPr>
        <w:color w:val="3370FF"/>
      </w:rPr>
    </w:lvl>
  </w:abstractNum>
  <w:abstractNum w:abstractNumId="38">
    <w:nsid w:val="58765686"/>
    <w:multiLevelType w:val="singleLevel"/>
    <w:tmpl w:val="58765686"/>
    <w:lvl w:ilvl="0" w:tentative="0">
      <w:start w:val="1"/>
      <w:numFmt w:val="decimal"/>
      <w:lvlText w:val="%1."/>
      <w:lvlJc w:val="left"/>
      <w:rPr>
        <w:color w:val="3370FF"/>
      </w:rPr>
    </w:lvl>
  </w:abstractNum>
  <w:abstractNum w:abstractNumId="39">
    <w:nsid w:val="59ADCABA"/>
    <w:multiLevelType w:val="singleLevel"/>
    <w:tmpl w:val="59ADCABA"/>
    <w:lvl w:ilvl="0" w:tentative="0">
      <w:start w:val="3"/>
      <w:numFmt w:val="decimal"/>
      <w:lvlText w:val="%1."/>
      <w:lvlJc w:val="left"/>
      <w:rPr>
        <w:color w:val="3370FF"/>
      </w:rPr>
    </w:lvl>
  </w:abstractNum>
  <w:abstractNum w:abstractNumId="40">
    <w:nsid w:val="5A241D34"/>
    <w:multiLevelType w:val="singleLevel"/>
    <w:tmpl w:val="5A241D34"/>
    <w:lvl w:ilvl="0" w:tentative="0">
      <w:start w:val="1"/>
      <w:numFmt w:val="decimal"/>
      <w:lvlText w:val="%1."/>
      <w:lvlJc w:val="left"/>
      <w:rPr>
        <w:color w:val="3370FF"/>
      </w:rPr>
    </w:lvl>
  </w:abstractNum>
  <w:abstractNum w:abstractNumId="41">
    <w:nsid w:val="5E29AB5A"/>
    <w:multiLevelType w:val="singleLevel"/>
    <w:tmpl w:val="5E29AB5A"/>
    <w:lvl w:ilvl="0" w:tentative="0">
      <w:start w:val="0"/>
      <w:numFmt w:val="bullet"/>
      <w:lvlText w:val="•"/>
      <w:lvlJc w:val="left"/>
      <w:rPr>
        <w:color w:val="3370FF"/>
      </w:rPr>
    </w:lvl>
  </w:abstractNum>
  <w:abstractNum w:abstractNumId="42">
    <w:nsid w:val="5FFFB1A7"/>
    <w:multiLevelType w:val="singleLevel"/>
    <w:tmpl w:val="5FFFB1A7"/>
    <w:lvl w:ilvl="0" w:tentative="0">
      <w:start w:val="0"/>
      <w:numFmt w:val="bullet"/>
      <w:lvlText w:val="•"/>
      <w:lvlJc w:val="left"/>
      <w:rPr>
        <w:color w:val="3370FF"/>
      </w:rPr>
    </w:lvl>
  </w:abstractNum>
  <w:abstractNum w:abstractNumId="43">
    <w:nsid w:val="60382F6E"/>
    <w:multiLevelType w:val="singleLevel"/>
    <w:tmpl w:val="60382F6E"/>
    <w:lvl w:ilvl="0" w:tentative="0">
      <w:start w:val="2"/>
      <w:numFmt w:val="decimal"/>
      <w:lvlText w:val="%1."/>
      <w:lvlJc w:val="left"/>
      <w:rPr>
        <w:color w:val="3370FF"/>
      </w:rPr>
    </w:lvl>
  </w:abstractNum>
  <w:abstractNum w:abstractNumId="44">
    <w:nsid w:val="629F7852"/>
    <w:multiLevelType w:val="singleLevel"/>
    <w:tmpl w:val="629F7852"/>
    <w:lvl w:ilvl="0" w:tentative="0">
      <w:start w:val="3"/>
      <w:numFmt w:val="decimal"/>
      <w:lvlText w:val="%1."/>
      <w:lvlJc w:val="left"/>
      <w:rPr>
        <w:color w:val="3370FF"/>
      </w:rPr>
    </w:lvl>
  </w:abstractNum>
  <w:abstractNum w:abstractNumId="45">
    <w:nsid w:val="72183CF9"/>
    <w:multiLevelType w:val="singleLevel"/>
    <w:tmpl w:val="72183CF9"/>
    <w:lvl w:ilvl="0" w:tentative="0">
      <w:start w:val="1"/>
      <w:numFmt w:val="decimal"/>
      <w:lvlText w:val="%1."/>
      <w:lvlJc w:val="left"/>
      <w:rPr>
        <w:color w:val="3370FF"/>
      </w:rPr>
    </w:lvl>
  </w:abstractNum>
  <w:abstractNum w:abstractNumId="46">
    <w:nsid w:val="74C28B35"/>
    <w:multiLevelType w:val="singleLevel"/>
    <w:tmpl w:val="74C28B35"/>
    <w:lvl w:ilvl="0" w:tentative="0">
      <w:start w:val="1"/>
      <w:numFmt w:val="decimal"/>
      <w:lvlText w:val="%1."/>
      <w:lvlJc w:val="left"/>
      <w:rPr>
        <w:color w:val="3370FF"/>
      </w:rPr>
    </w:lvl>
  </w:abstractNum>
  <w:abstractNum w:abstractNumId="47">
    <w:nsid w:val="77ECEA79"/>
    <w:multiLevelType w:val="singleLevel"/>
    <w:tmpl w:val="77ECEA79"/>
    <w:lvl w:ilvl="0" w:tentative="0">
      <w:start w:val="1"/>
      <w:numFmt w:val="decimal"/>
      <w:lvlText w:val="%1."/>
      <w:lvlJc w:val="left"/>
      <w:rPr>
        <w:color w:val="3370FF"/>
      </w:rPr>
    </w:lvl>
  </w:abstractNum>
  <w:abstractNum w:abstractNumId="48">
    <w:nsid w:val="79AA4FA4"/>
    <w:multiLevelType w:val="singleLevel"/>
    <w:tmpl w:val="79AA4FA4"/>
    <w:lvl w:ilvl="0" w:tentative="0">
      <w:start w:val="0"/>
      <w:numFmt w:val="bullet"/>
      <w:lvlText w:val="•"/>
      <w:lvlJc w:val="left"/>
      <w:rPr>
        <w:color w:val="3370FF"/>
      </w:rPr>
    </w:lvl>
  </w:abstractNum>
  <w:abstractNum w:abstractNumId="49">
    <w:nsid w:val="7C246926"/>
    <w:multiLevelType w:val="singleLevel"/>
    <w:tmpl w:val="7C246926"/>
    <w:lvl w:ilvl="0" w:tentative="0">
      <w:start w:val="3"/>
      <w:numFmt w:val="decimal"/>
      <w:lvlText w:val="%1."/>
      <w:lvlJc w:val="left"/>
      <w:rPr>
        <w:color w:val="3370FF"/>
      </w:rPr>
    </w:lvl>
  </w:abstractNum>
  <w:abstractNum w:abstractNumId="50">
    <w:nsid w:val="7DEC2089"/>
    <w:multiLevelType w:val="singleLevel"/>
    <w:tmpl w:val="7DEC2089"/>
    <w:lvl w:ilvl="0" w:tentative="0">
      <w:start w:val="2"/>
      <w:numFmt w:val="decimal"/>
      <w:lvlText w:val="%1."/>
      <w:lvlJc w:val="left"/>
      <w:rPr>
        <w:color w:val="3370FF"/>
      </w:rPr>
    </w:lvl>
  </w:abstractNum>
  <w:num w:numId="1">
    <w:abstractNumId w:val="21"/>
  </w:num>
  <w:num w:numId="2">
    <w:abstractNumId w:val="15"/>
  </w:num>
  <w:num w:numId="3">
    <w:abstractNumId w:val="39"/>
  </w:num>
  <w:num w:numId="4">
    <w:abstractNumId w:val="13"/>
  </w:num>
  <w:num w:numId="5">
    <w:abstractNumId w:val="9"/>
  </w:num>
  <w:num w:numId="6">
    <w:abstractNumId w:val="23"/>
  </w:num>
  <w:num w:numId="7">
    <w:abstractNumId w:val="28"/>
  </w:num>
  <w:num w:numId="8">
    <w:abstractNumId w:val="45"/>
  </w:num>
  <w:num w:numId="9">
    <w:abstractNumId w:val="22"/>
  </w:num>
  <w:num w:numId="10">
    <w:abstractNumId w:val="5"/>
  </w:num>
  <w:num w:numId="11">
    <w:abstractNumId w:val="29"/>
  </w:num>
  <w:num w:numId="12">
    <w:abstractNumId w:val="40"/>
  </w:num>
  <w:num w:numId="13">
    <w:abstractNumId w:val="14"/>
  </w:num>
  <w:num w:numId="14">
    <w:abstractNumId w:val="36"/>
  </w:num>
  <w:num w:numId="15">
    <w:abstractNumId w:val="19"/>
  </w:num>
  <w:num w:numId="16">
    <w:abstractNumId w:val="27"/>
  </w:num>
  <w:num w:numId="17">
    <w:abstractNumId w:val="17"/>
  </w:num>
  <w:num w:numId="18">
    <w:abstractNumId w:val="16"/>
  </w:num>
  <w:num w:numId="19">
    <w:abstractNumId w:val="7"/>
  </w:num>
  <w:num w:numId="20">
    <w:abstractNumId w:val="34"/>
  </w:num>
  <w:num w:numId="21">
    <w:abstractNumId w:val="43"/>
  </w:num>
  <w:num w:numId="22">
    <w:abstractNumId w:val="24"/>
  </w:num>
  <w:num w:numId="23">
    <w:abstractNumId w:val="33"/>
  </w:num>
  <w:num w:numId="24">
    <w:abstractNumId w:val="8"/>
  </w:num>
  <w:num w:numId="25">
    <w:abstractNumId w:val="49"/>
  </w:num>
  <w:num w:numId="26">
    <w:abstractNumId w:val="47"/>
  </w:num>
  <w:num w:numId="27">
    <w:abstractNumId w:val="12"/>
  </w:num>
  <w:num w:numId="28">
    <w:abstractNumId w:val="44"/>
  </w:num>
  <w:num w:numId="29">
    <w:abstractNumId w:val="6"/>
  </w:num>
  <w:num w:numId="30">
    <w:abstractNumId w:val="32"/>
  </w:num>
  <w:num w:numId="31">
    <w:abstractNumId w:val="2"/>
  </w:num>
  <w:num w:numId="32">
    <w:abstractNumId w:val="38"/>
  </w:num>
  <w:num w:numId="33">
    <w:abstractNumId w:val="50"/>
  </w:num>
  <w:num w:numId="34">
    <w:abstractNumId w:val="0"/>
  </w:num>
  <w:num w:numId="35">
    <w:abstractNumId w:val="26"/>
  </w:num>
  <w:num w:numId="36">
    <w:abstractNumId w:val="37"/>
  </w:num>
  <w:num w:numId="37">
    <w:abstractNumId w:val="20"/>
  </w:num>
  <w:num w:numId="38">
    <w:abstractNumId w:val="18"/>
  </w:num>
  <w:num w:numId="39">
    <w:abstractNumId w:val="30"/>
  </w:num>
  <w:num w:numId="40">
    <w:abstractNumId w:val="48"/>
  </w:num>
  <w:num w:numId="41">
    <w:abstractNumId w:val="11"/>
  </w:num>
  <w:num w:numId="42">
    <w:abstractNumId w:val="4"/>
  </w:num>
  <w:num w:numId="43">
    <w:abstractNumId w:val="10"/>
  </w:num>
  <w:num w:numId="44">
    <w:abstractNumId w:val="41"/>
  </w:num>
  <w:num w:numId="45">
    <w:abstractNumId w:val="1"/>
  </w:num>
  <w:num w:numId="46">
    <w:abstractNumId w:val="25"/>
  </w:num>
  <w:num w:numId="47">
    <w:abstractNumId w:val="3"/>
  </w:num>
  <w:num w:numId="48">
    <w:abstractNumId w:val="42"/>
  </w:num>
  <w:num w:numId="49">
    <w:abstractNumId w:val="46"/>
  </w:num>
  <w:num w:numId="50">
    <w:abstractNumId w:val="35"/>
  </w:num>
  <w:num w:numId="5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B71DDB"/>
    <w:rsid w:val="13186C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7074</Words>
  <Characters>7770</Characters>
  <TotalTime>4</TotalTime>
  <ScaleCrop>false</ScaleCrop>
  <LinksUpToDate>false</LinksUpToDate>
  <CharactersWithSpaces>7817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2025-12-25T10:22:00Z</dcterms:created>
  <dc:creator>Apache POI</dc:creator>
  <cp:lastModifiedBy>Yellowbug</cp:lastModifiedBy>
  <dcterms:modified xsi:type="dcterms:W3CDTF">2025-12-25T10:31:20Z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eyJoZGlkIjoiYjM3OTMyYzJiYTRmMzRhM2M2ZTRkMzI2NjA5YjA3NDEiLCJ1c2VySWQiOiI4NjI0MDMwOTkifQ==</vt:lpwstr>
  </property>
  <property fmtid="{D5CDD505-2E9C-101B-9397-08002B2CF9AE}" pid="3" name="KSOProductBuildVer">
    <vt:lpwstr>2052-12.1.0.24034</vt:lpwstr>
  </property>
  <property fmtid="{D5CDD505-2E9C-101B-9397-08002B2CF9AE}" pid="4" name="ICV">
    <vt:lpwstr>0EDA42176D6B4169950BAF617C2AF9E8_13</vt:lpwstr>
  </property>
</Properties>
</file>