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Spec="center" w:tblpY="1438"/>
        <w:tblOverlap w:val="never"/>
        <w:tblW w:w="48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4"/>
        <w:gridCol w:w="2164"/>
        <w:gridCol w:w="2164"/>
        <w:gridCol w:w="1220"/>
        <w:gridCol w:w="1227"/>
      </w:tblGrid>
      <w:tr w14:paraId="0F49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4" w:hRule="atLeast"/>
          <w:jc w:val="center"/>
        </w:trPr>
        <w:tc>
          <w:tcPr>
            <w:tcW w:w="1210" w:type="pct"/>
            <w:vMerge w:val="restart"/>
            <w:tcMar>
              <w:top w:w="60" w:type="dxa"/>
              <w:left w:w="120" w:type="dxa"/>
              <w:bottom w:w="30" w:type="dxa"/>
              <w:right w:w="120" w:type="dxa"/>
            </w:tcMar>
            <w:vAlign w:val="center"/>
          </w:tcPr>
          <w:p w14:paraId="0504AF24">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班级</w:t>
            </w:r>
          </w:p>
        </w:tc>
        <w:tc>
          <w:tcPr>
            <w:tcW w:w="1210" w:type="pct"/>
            <w:vMerge w:val="restart"/>
            <w:tcMar>
              <w:top w:w="60" w:type="dxa"/>
              <w:left w:w="120" w:type="dxa"/>
              <w:bottom w:w="30" w:type="dxa"/>
              <w:right w:w="120" w:type="dxa"/>
            </w:tcMar>
            <w:vAlign w:val="center"/>
          </w:tcPr>
          <w:p w14:paraId="135605CB">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学号</w:t>
            </w:r>
          </w:p>
        </w:tc>
        <w:tc>
          <w:tcPr>
            <w:tcW w:w="1210" w:type="pct"/>
            <w:vMerge w:val="restart"/>
            <w:tcMar>
              <w:top w:w="60" w:type="dxa"/>
              <w:left w:w="120" w:type="dxa"/>
              <w:bottom w:w="30" w:type="dxa"/>
              <w:right w:w="120" w:type="dxa"/>
            </w:tcMar>
            <w:vAlign w:val="center"/>
          </w:tcPr>
          <w:p w14:paraId="617DC5D9">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姓名</w:t>
            </w:r>
          </w:p>
        </w:tc>
        <w:tc>
          <w:tcPr>
            <w:tcW w:w="1368" w:type="pct"/>
            <w:gridSpan w:val="2"/>
            <w:tcMar>
              <w:top w:w="60" w:type="dxa"/>
              <w:left w:w="120" w:type="dxa"/>
              <w:bottom w:w="30" w:type="dxa"/>
              <w:right w:w="120" w:type="dxa"/>
            </w:tcMar>
            <w:vAlign w:val="center"/>
          </w:tcPr>
          <w:p w14:paraId="2D7F4B1C">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得分</w:t>
            </w:r>
          </w:p>
        </w:tc>
      </w:tr>
      <w:tr w14:paraId="7ECB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jc w:val="center"/>
        </w:trPr>
        <w:tc>
          <w:tcPr>
            <w:tcW w:w="1210" w:type="pct"/>
            <w:vMerge w:val="continue"/>
            <w:tcMar>
              <w:top w:w="60" w:type="dxa"/>
              <w:left w:w="120" w:type="dxa"/>
              <w:bottom w:w="30" w:type="dxa"/>
              <w:right w:w="120" w:type="dxa"/>
            </w:tcMar>
            <w:vAlign w:val="center"/>
          </w:tcPr>
          <w:p w14:paraId="08FC1864">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1210" w:type="pct"/>
            <w:vMerge w:val="continue"/>
            <w:tcMar>
              <w:top w:w="60" w:type="dxa"/>
              <w:left w:w="120" w:type="dxa"/>
              <w:bottom w:w="30" w:type="dxa"/>
              <w:right w:w="120" w:type="dxa"/>
            </w:tcMar>
            <w:vAlign w:val="center"/>
          </w:tcPr>
          <w:p w14:paraId="3584DDF7">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1210" w:type="pct"/>
            <w:vMerge w:val="continue"/>
            <w:tcMar>
              <w:top w:w="60" w:type="dxa"/>
              <w:left w:w="120" w:type="dxa"/>
              <w:bottom w:w="30" w:type="dxa"/>
              <w:right w:w="120" w:type="dxa"/>
            </w:tcMar>
            <w:vAlign w:val="center"/>
          </w:tcPr>
          <w:p w14:paraId="07DD129E">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682" w:type="pct"/>
            <w:tcMar>
              <w:top w:w="60" w:type="dxa"/>
              <w:left w:w="120" w:type="dxa"/>
              <w:bottom w:w="30" w:type="dxa"/>
              <w:right w:w="120" w:type="dxa"/>
            </w:tcMar>
            <w:vAlign w:val="center"/>
          </w:tcPr>
          <w:p w14:paraId="2A1A2770">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教师一</w:t>
            </w:r>
          </w:p>
        </w:tc>
        <w:tc>
          <w:tcPr>
            <w:tcW w:w="685" w:type="pct"/>
            <w:tcMar>
              <w:top w:w="60" w:type="dxa"/>
              <w:left w:w="120" w:type="dxa"/>
              <w:bottom w:w="30" w:type="dxa"/>
              <w:right w:w="120" w:type="dxa"/>
            </w:tcMar>
            <w:vAlign w:val="center"/>
          </w:tcPr>
          <w:p w14:paraId="466BA1A7">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教师二</w:t>
            </w:r>
          </w:p>
        </w:tc>
      </w:tr>
      <w:tr w14:paraId="439FC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jc w:val="center"/>
        </w:trPr>
        <w:tc>
          <w:tcPr>
            <w:tcW w:w="1210" w:type="pct"/>
            <w:tcMar>
              <w:top w:w="60" w:type="dxa"/>
              <w:left w:w="120" w:type="dxa"/>
              <w:bottom w:w="30" w:type="dxa"/>
              <w:right w:w="120" w:type="dxa"/>
            </w:tcMar>
            <w:vAlign w:val="center"/>
          </w:tcPr>
          <w:p w14:paraId="681FF2E4">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物联网工程1班</w:t>
            </w:r>
          </w:p>
        </w:tc>
        <w:tc>
          <w:tcPr>
            <w:tcW w:w="1210" w:type="pct"/>
            <w:tcMar>
              <w:top w:w="60" w:type="dxa"/>
              <w:left w:w="120" w:type="dxa"/>
              <w:bottom w:w="30" w:type="dxa"/>
              <w:right w:w="120" w:type="dxa"/>
            </w:tcMar>
            <w:vAlign w:val="center"/>
          </w:tcPr>
          <w:p w14:paraId="1211F73D">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202502210094</w:t>
            </w:r>
          </w:p>
        </w:tc>
        <w:tc>
          <w:tcPr>
            <w:tcW w:w="1210" w:type="pct"/>
            <w:tcMar>
              <w:top w:w="60" w:type="dxa"/>
              <w:left w:w="120" w:type="dxa"/>
              <w:bottom w:w="30" w:type="dxa"/>
              <w:right w:w="120" w:type="dxa"/>
            </w:tcMar>
            <w:vAlign w:val="center"/>
          </w:tcPr>
          <w:p w14:paraId="3F0CD3D8">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李泽宇</w:t>
            </w:r>
          </w:p>
        </w:tc>
        <w:tc>
          <w:tcPr>
            <w:tcW w:w="682" w:type="pct"/>
            <w:tcMar>
              <w:top w:w="60" w:type="dxa"/>
              <w:left w:w="120" w:type="dxa"/>
              <w:bottom w:w="30" w:type="dxa"/>
              <w:right w:w="120" w:type="dxa"/>
            </w:tcMar>
            <w:vAlign w:val="center"/>
          </w:tcPr>
          <w:p w14:paraId="7F0CCD5D">
            <w:pPr>
              <w:spacing w:before="120" w:after="120" w:line="240" w:lineRule="auto"/>
              <w:ind w:left="0" w:leftChars="0"/>
              <w:jc w:val="center"/>
              <w:rPr>
                <w:rFonts w:hint="eastAsia" w:asciiTheme="majorEastAsia" w:hAnsiTheme="majorEastAsia" w:eastAsiaTheme="majorEastAsia" w:cstheme="majorEastAsia"/>
                <w:sz w:val="21"/>
                <w:szCs w:val="21"/>
              </w:rPr>
            </w:pPr>
          </w:p>
        </w:tc>
        <w:tc>
          <w:tcPr>
            <w:tcW w:w="685" w:type="pct"/>
            <w:tcMar>
              <w:top w:w="60" w:type="dxa"/>
              <w:left w:w="120" w:type="dxa"/>
              <w:bottom w:w="30" w:type="dxa"/>
              <w:right w:w="120" w:type="dxa"/>
            </w:tcMar>
            <w:vAlign w:val="center"/>
          </w:tcPr>
          <w:p w14:paraId="641205A8">
            <w:pPr>
              <w:spacing w:before="120" w:after="120" w:line="240" w:lineRule="auto"/>
              <w:ind w:left="0" w:leftChars="0"/>
              <w:jc w:val="center"/>
              <w:rPr>
                <w:rFonts w:hint="eastAsia" w:asciiTheme="majorEastAsia" w:hAnsiTheme="majorEastAsia" w:eastAsiaTheme="majorEastAsia" w:cstheme="majorEastAsia"/>
                <w:sz w:val="21"/>
                <w:szCs w:val="21"/>
              </w:rPr>
            </w:pPr>
          </w:p>
        </w:tc>
      </w:tr>
    </w:tbl>
    <w:p w14:paraId="45CCEE07">
      <w:pPr>
        <w:keepNext w:val="0"/>
        <w:keepLines w:val="0"/>
        <w:pageBreakBefore w:val="0"/>
        <w:widowControl w:val="0"/>
        <w:kinsoku/>
        <w:wordWrap/>
        <w:overflowPunct/>
        <w:topLinePunct w:val="0"/>
        <w:autoSpaceDE/>
        <w:autoSpaceDN/>
        <w:bidi w:val="0"/>
        <w:adjustRightInd/>
        <w:snapToGrid/>
        <w:spacing w:before="600" w:after="480" w:line="240" w:lineRule="auto"/>
        <w:ind w:left="0"/>
        <w:jc w:val="center"/>
        <w:textAlignment w:val="auto"/>
        <w:outlineLvl w:val="1"/>
        <w:rPr>
          <w:rFonts w:hint="eastAsia"/>
          <w:b/>
          <w:bCs/>
          <w:sz w:val="52"/>
          <w:szCs w:val="52"/>
          <w:lang w:val="en-US" w:eastAsia="zh-CN"/>
        </w:rPr>
      </w:pPr>
      <w:r>
        <w:rPr>
          <w:rFonts w:hint="eastAsia"/>
          <w:b/>
          <w:bCs/>
          <w:sz w:val="52"/>
          <w:szCs w:val="52"/>
          <w:lang w:val="en-US" w:eastAsia="zh-CN"/>
        </w:rPr>
        <w:t>专业分析报告</w:t>
      </w:r>
    </w:p>
    <w:p w14:paraId="550E0529">
      <w:pPr>
        <w:pStyle w:val="2"/>
        <w:spacing w:line="360" w:lineRule="auto"/>
        <w:jc w:val="right"/>
        <w:rPr>
          <w:rFonts w:hint="eastAsia" w:ascii="宋体" w:hAnsi="宋体" w:eastAsia="宋体" w:cs="宋体"/>
          <w:lang w:eastAsia="zh-CN"/>
        </w:rPr>
      </w:pPr>
      <w:r>
        <w:rPr>
          <w:rFonts w:hint="eastAsia" w:ascii="宋体" w:hAnsi="宋体" w:eastAsia="宋体" w:cs="宋体"/>
          <w:sz w:val="32"/>
          <w:szCs w:val="32"/>
        </w:rPr>
        <w:t>——</w:t>
      </w:r>
    </w:p>
    <w:p w14:paraId="4D7CBE68">
      <w:pPr>
        <w:pStyle w:val="5"/>
        <w:keepNext w:val="0"/>
        <w:keepLines w:val="0"/>
        <w:widowControl/>
        <w:suppressLineNumbers w:val="0"/>
        <w:spacing w:line="360" w:lineRule="auto"/>
        <w:ind w:firstLine="480" w:firstLineChars="200"/>
        <w:rPr>
          <w:rFonts w:hint="eastAsia"/>
          <w:lang w:val="en-US" w:eastAsia="zh-CN"/>
        </w:rPr>
      </w:pPr>
      <w:r>
        <w:rPr>
          <w:rFonts w:hint="eastAsia"/>
          <w:lang w:val="en-US" w:eastAsia="zh-CN"/>
        </w:rPr>
        <w:t>在初次入学前，对这个专业并没有很明确的认知，只知道是一个软件硬件都需要学习的专业。并且网上关于这个专业的评价褒贬不一，让我在入学前产生了不少迷茫。唯一的了解便是清楚这是个应用面和就业面非常广泛的专业，</w:t>
      </w:r>
      <w:r>
        <w:t>物联网就像给身边的各种物体装上“感官”和“神经”，让它们能感知环境、相互沟通，并协同工作。这项技术已经像水和电一样，悄悄融入我们生活和社会的方方面面，解决了很多过去棘手的问题。</w:t>
      </w:r>
      <w:r>
        <w:rPr>
          <w:rFonts w:hint="eastAsia"/>
          <w:lang w:val="en-US" w:eastAsia="zh-CN"/>
        </w:rPr>
        <w:t>截至目前，专业课基本围绕c语言编程和集成电路方面的知识为主。</w:t>
      </w:r>
    </w:p>
    <w:p w14:paraId="2301767B">
      <w:pPr>
        <w:pStyle w:val="5"/>
        <w:keepNext w:val="0"/>
        <w:keepLines w:val="0"/>
        <w:widowControl/>
        <w:suppressLineNumbers w:val="0"/>
        <w:spacing w:line="360" w:lineRule="auto"/>
        <w:ind w:firstLine="480" w:firstLineChars="200"/>
        <w:rPr>
          <w:rFonts w:hint="default"/>
          <w:lang w:val="en-US" w:eastAsia="zh-CN"/>
        </w:rPr>
      </w:pPr>
      <w:r>
        <w:rPr>
          <w:rFonts w:hint="eastAsia"/>
          <w:lang w:val="en-US" w:eastAsia="zh-CN"/>
        </w:rPr>
        <w:t xml:space="preserve">这个专业对于相关技能的要求较高，尤其是数学和物理方面。他们是理解后续知识的根基，还有不可或缺的计算机核心语言，相关知识等。技能树方面，可以按照专业的分层去规划，大致上分为四个逻辑层，感知层、网络层、平台层以及应用层。在感知层，需要熟练掌握嵌入式相关知识，对各类传感器的应用有一定的要求，使设备具备智能。在网络层方面，主要是通信方面的要求，会要求对相关网络通信协议的了解，以及近场通信方面的专业知识。在平台层和应用层则要求大数据和前端开发应用的知识 </w:t>
      </w:r>
    </w:p>
    <w:p w14:paraId="1975DA2E">
      <w:pPr>
        <w:pStyle w:val="5"/>
        <w:keepNext w:val="0"/>
        <w:keepLines w:val="0"/>
        <w:widowControl/>
        <w:suppressLineNumbers w:val="0"/>
        <w:spacing w:line="360" w:lineRule="auto"/>
        <w:ind w:firstLine="480" w:firstLineChars="200"/>
      </w:pPr>
      <w:r>
        <w:t>在城市管理上，物联网成了得力的“智慧管家”。它通过遍布城市的传感器，实时感知交通流量、环境质量、公共设施状态。比如，智慧路灯能根据人流量自动调节亮度，智慧水表能实时监测用水量和漏损情况，这不仅能节约资源，当发现异常时（如燃气泄漏或井盖移位），系统还能自动报警并安排维修，让城市运行更安全、更高效，也减轻了管理人员的负担。</w:t>
      </w:r>
    </w:p>
    <w:p w14:paraId="0533FA61">
      <w:pPr>
        <w:pStyle w:val="5"/>
        <w:keepNext w:val="0"/>
        <w:keepLines w:val="0"/>
        <w:widowControl/>
        <w:suppressLineNumbers w:val="0"/>
        <w:spacing w:line="360" w:lineRule="auto"/>
        <w:ind w:firstLine="480" w:firstLineChars="200"/>
      </w:pPr>
      <w:r>
        <w:t>在日常生活中，物联网带来的便利也随处可见。家中的智能家电可以相互连接，让你远程控制家里的灯光、空调，智能电表、燃气表可以实现远程抄表和自动安全预警。在养老方面，智能穿戴设备或智能床垫能监测老人的心率、血压等健康数据，在发生意外时能及时报警，让家人更安心。智慧农业系统则能自动监测农田的土壤湿度和病虫害情况，进行精准灌溉，帮助农民节省成本、提高产量。</w:t>
      </w:r>
    </w:p>
    <w:p w14:paraId="7FC75B5E">
      <w:pPr>
        <w:pStyle w:val="5"/>
        <w:keepNext w:val="0"/>
        <w:keepLines w:val="0"/>
        <w:widowControl/>
        <w:suppressLineNumbers w:val="0"/>
        <w:spacing w:line="360" w:lineRule="auto"/>
        <w:ind w:firstLine="480" w:firstLineChars="200"/>
      </w:pPr>
      <w:r>
        <w:t>在工厂和企业里，物联网的作用更是革命性的。生产线上，给设备装上传感器后，管理人员能随时看到机器运行状态，提前预警故障，还能远程操控。物联网技术也助力构建现代化的制造体系，通过集成智能装备和信息系统，实现人、机、料等多源数据的一体化管控，从而提升生产效率和资源利用率。</w:t>
      </w:r>
    </w:p>
    <w:p w14:paraId="7B147374">
      <w:pPr>
        <w:pStyle w:val="5"/>
        <w:keepNext w:val="0"/>
        <w:keepLines w:val="0"/>
        <w:widowControl/>
        <w:suppressLineNumbers w:val="0"/>
        <w:spacing w:line="360" w:lineRule="auto"/>
        <w:ind w:firstLine="480" w:firstLineChars="200"/>
      </w:pPr>
      <w:r>
        <w:t>总的来说，物联网通过连接万物，让数据“说话”，替我们完成了很多繁琐甚至危险的工作，让城市管理更精细，日常生活更便捷，产业发展更智能。它正逐渐成为我们建设更高效、更安全、更绿色社会的重要基石。</w:t>
      </w:r>
    </w:p>
    <w:p w14:paraId="0BB96FEA">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物联网工程行业在2025年呈现稳步扩张与结构深化并进的态势，其核心驱动力是政策支持与多技术融合。当前，中国物联网市场规模预计已达</w:t>
      </w:r>
      <w:r>
        <w:rPr>
          <w:rFonts w:hint="eastAsia"/>
          <w:sz w:val="24"/>
          <w:szCs w:val="24"/>
          <w:lang w:val="en-US" w:eastAsia="zh-CN"/>
        </w:rPr>
        <w:t>四点五五亿万元</w:t>
      </w:r>
      <w:r>
        <w:rPr>
          <w:sz w:val="24"/>
          <w:szCs w:val="24"/>
        </w:rPr>
        <w:t>，产业链企业总数突破</w:t>
      </w:r>
      <w:r>
        <w:rPr>
          <w:rFonts w:hint="eastAsia"/>
          <w:sz w:val="24"/>
          <w:szCs w:val="24"/>
          <w:lang w:val="en-US" w:eastAsia="zh-CN"/>
        </w:rPr>
        <w:t>三十二万家</w:t>
      </w:r>
      <w:r>
        <w:rPr>
          <w:sz w:val="24"/>
          <w:szCs w:val="24"/>
        </w:rPr>
        <w:t>。从产业价值分布来看，直接面向行业解决方案的</w:t>
      </w:r>
      <w:r>
        <w:rPr>
          <w:rFonts w:hint="eastAsia"/>
          <w:sz w:val="24"/>
          <w:szCs w:val="24"/>
          <w:lang w:val="en-US" w:eastAsia="zh-CN"/>
        </w:rPr>
        <w:t>应用层</w:t>
      </w:r>
      <w:r>
        <w:rPr>
          <w:sz w:val="24"/>
          <w:szCs w:val="24"/>
        </w:rPr>
        <w:t>和作为数据处理中枢的</w:t>
      </w:r>
      <w:r>
        <w:rPr>
          <w:rFonts w:hint="eastAsia"/>
          <w:sz w:val="24"/>
          <w:szCs w:val="24"/>
          <w:lang w:val="en-US" w:eastAsia="zh-CN"/>
        </w:rPr>
        <w:t>平台层</w:t>
      </w:r>
      <w:r>
        <w:rPr>
          <w:sz w:val="24"/>
          <w:szCs w:val="24"/>
        </w:rPr>
        <w:t>是价值核心，分别占据约</w:t>
      </w:r>
      <w:r>
        <w:rPr>
          <w:rFonts w:hint="eastAsia"/>
          <w:sz w:val="24"/>
          <w:szCs w:val="24"/>
          <w:lang w:val="en-US" w:eastAsia="zh-CN"/>
        </w:rPr>
        <w:t>35%</w:t>
      </w:r>
      <w:r>
        <w:rPr>
          <w:sz w:val="24"/>
          <w:szCs w:val="24"/>
        </w:rPr>
        <w:t xml:space="preserve"> 和</w:t>
      </w:r>
      <w:r>
        <w:rPr>
          <w:rFonts w:hint="eastAsia"/>
          <w:sz w:val="24"/>
          <w:szCs w:val="24"/>
          <w:lang w:val="en-US" w:eastAsia="zh-CN"/>
        </w:rPr>
        <w:t>34%</w:t>
      </w:r>
      <w:r>
        <w:rPr>
          <w:sz w:val="24"/>
          <w:szCs w:val="24"/>
        </w:rPr>
        <w:t>的份额；作为物联网物理基础的</w:t>
      </w:r>
      <w:r>
        <w:rPr>
          <w:rFonts w:hint="eastAsia"/>
          <w:sz w:val="24"/>
          <w:szCs w:val="24"/>
          <w:lang w:val="en-US" w:eastAsia="zh-CN"/>
        </w:rPr>
        <w:t>感知层</w:t>
      </w:r>
      <w:r>
        <w:rPr>
          <w:sz w:val="24"/>
          <w:szCs w:val="24"/>
        </w:rPr>
        <w:t>占比</w:t>
      </w:r>
      <w:r>
        <w:rPr>
          <w:rFonts w:hint="eastAsia"/>
          <w:sz w:val="24"/>
          <w:szCs w:val="24"/>
          <w:lang w:val="en-US" w:eastAsia="zh-CN"/>
        </w:rPr>
        <w:t>21%,</w:t>
      </w:r>
      <w:r>
        <w:rPr>
          <w:sz w:val="24"/>
          <w:szCs w:val="24"/>
        </w:rPr>
        <w:t>而承担连接功能的</w:t>
      </w:r>
      <w:r>
        <w:rPr>
          <w:rFonts w:hint="eastAsia"/>
          <w:sz w:val="24"/>
          <w:szCs w:val="24"/>
          <w:lang w:val="en-US" w:eastAsia="zh-CN"/>
        </w:rPr>
        <w:t>传输层</w:t>
      </w:r>
      <w:r>
        <w:rPr>
          <w:sz w:val="24"/>
          <w:szCs w:val="24"/>
        </w:rPr>
        <w:t>目前占比约</w:t>
      </w:r>
      <w:r>
        <w:rPr>
          <w:rFonts w:hint="eastAsia"/>
          <w:sz w:val="24"/>
          <w:szCs w:val="24"/>
          <w:lang w:val="en-US" w:eastAsia="zh-CN"/>
        </w:rPr>
        <w:t>10%</w:t>
      </w:r>
      <w:r>
        <w:rPr>
          <w:sz w:val="24"/>
          <w:szCs w:val="24"/>
        </w:rPr>
        <w:t>，但随5G-A、星地一体化等新一代通信技术的发展，其潜力巨大。产业在空间上高度集聚，长三角、珠三角、京津冀的企业总量占全国</w:t>
      </w:r>
      <w:r>
        <w:rPr>
          <w:rFonts w:hint="eastAsia"/>
          <w:sz w:val="24"/>
          <w:szCs w:val="24"/>
          <w:lang w:val="en-US" w:eastAsia="zh-CN"/>
        </w:rPr>
        <w:t>40%</w:t>
      </w:r>
      <w:r>
        <w:rPr>
          <w:sz w:val="24"/>
          <w:szCs w:val="24"/>
        </w:rPr>
        <w:t>。未来，行业将更深入与人工智能融合，推动设备智能化升级，同时物联网安全与设备互联互通的标准建设也日趋紧迫，成为保障产业健康发展的重要基石。</w:t>
      </w:r>
    </w:p>
    <w:p w14:paraId="3462BE13">
      <w:pPr>
        <w:pStyle w:val="5"/>
        <w:keepNext w:val="0"/>
        <w:keepLines w:val="0"/>
        <w:widowControl/>
        <w:suppressLineNumbers w:val="0"/>
        <w:spacing w:line="360" w:lineRule="auto"/>
        <w:ind w:firstLine="480" w:firstLineChars="200"/>
        <w:rPr>
          <w:rFonts w:hint="eastAsia" w:eastAsiaTheme="minorEastAsia"/>
          <w:lang w:eastAsia="zh-CN"/>
        </w:rPr>
      </w:pPr>
      <w:r>
        <w:rPr>
          <w:rFonts w:hint="eastAsia" w:eastAsiaTheme="minorEastAsia"/>
          <w:lang w:eastAsia="zh-CN"/>
        </w:rPr>
        <w:drawing>
          <wp:inline distT="0" distB="0" distL="114300" distR="114300">
            <wp:extent cx="3305810" cy="2684145"/>
            <wp:effectExtent l="0" t="0" r="1270" b="1333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5"/>
                    <a:stretch>
                      <a:fillRect/>
                    </a:stretch>
                  </pic:blipFill>
                  <pic:spPr>
                    <a:xfrm>
                      <a:off x="0" y="0"/>
                      <a:ext cx="3305810" cy="2684145"/>
                    </a:xfrm>
                    <a:prstGeom prst="rect">
                      <a:avLst/>
                    </a:prstGeom>
                  </pic:spPr>
                </pic:pic>
              </a:graphicData>
            </a:graphic>
          </wp:inline>
        </w:drawing>
      </w:r>
    </w:p>
    <w:p w14:paraId="2CEA17F0">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该图直观反映了物联网产业价值的分布情况。应用层和平台层合计占据近70%的产业价值，这表明</w:t>
      </w:r>
      <w:r>
        <w:rPr>
          <w:rFonts w:hint="eastAsia"/>
          <w:lang w:val="en-US" w:eastAsia="zh-CN"/>
        </w:rPr>
        <w:t>数据驱动的方案</w:t>
      </w:r>
      <w:r>
        <w:t>是当前物联网产业的核心利润来源。应用层直接面向终端用户和行业需求，开发智能化解决方案；平台层作为中枢，负责数据汇聚、处理与分析，支撑上层应用。感知层包含传感器等硬件，是物联网的物理基础，产业价值可观。传输层占比相对较小，但其作为数据管道，随着5G-A、卫星物联网等高速通信技术的发展，其价值占比未来有望提升。这种分布指导企业应重点关注高附加值的平台构建与场景应用创新。</w:t>
      </w:r>
    </w:p>
    <w:p w14:paraId="354087A2">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rPr>
        <w:t>目前物联网工程处于行业风口的细分领域主要集中在工业物联网和智慧城市领域。工业物联网通过预测性维护、数字孪生等技术提升制造业智能化水平；智慧城市则借助城市物联网平台整合市政数据，优化交通、安防、能源等公共服务。头部企业中，中国移动物联网公司的OneNET城市物联网平台在江苏等地参与城市生命线安全工程，统一接入和管理燃气、供水等监测设备；中国电信天翼物联的工业物联网智能体则为国产大飞机生产线等项目提供高可靠连接与毫秒级协同控制服务。</w:t>
      </w:r>
    </w:p>
    <w:p w14:paraId="7A7D67E7">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rPr>
        <w:t>人工智能与物联网的深度融合，正在推动社会各领域从“感知连接”向“认知决策”的根本性转变。在工业领域，这种融合通过对海量设备数据的实时分析，实现了从被动响应故障到主动预测维护的飞跃，极大地提升了生产可靠性与效率。在城市治理中，它能整合交通、能源、环境等多源信息，实现资源的智能调度与突发事件的快速预警，让城市运行更安全、更高效。在民生服务层面，从智能家居到健康监测，AI让物联网设备变得更“懂”用户，提供更个性化的便捷服务。然而，这一深刻变革也伴随着显著的挑战。首当其冲的是安全与隐私风险，无处不在的感知设备和汇聚的数据洪流成为攻击的新目标，数据泄露和网络攻击的威胁陡增。其次，技术与标准的碎片化导致设备间互联互通困难，容易形成“数据孤岛”，制约了整体效益的发挥。此外，系统的复杂性与高昂的初期投入，对许多企业构成了门槛。最终，技术对部分传统岗位的替代及其引发的社会适应问题，也需要在发展中通过政策与教育予以审慎应对。</w:t>
      </w:r>
    </w:p>
    <w:p w14:paraId="0E1C855E">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物联网工程相关的嵌入式工程师岗位在薪资上呈现出明显的城市层级差异。根据2025年的行业数据，一线城市如北京、上海、深圳，为应届生或初级工程师提供的月薪普遍在8000元至12000元之间，拥有一年经验后通常可增长到10000元至16000元。而在杭州、南京、武汉等新一线城市，同级岗位的月薪约为6000元至10000元，工作一年后可达8000元至13000元。二三线城市的薪资水平则进一步温和，初级岗位月薪多在5000元至8000元区间。值得注意的是，薪资水平不仅与城市能级挂钩，也深受具体技术方向的影响，例如，专注于Linux驱动开发、通信协议栈或嵌入式人工智能边缘计算等复杂技术的岗位，其薪酬上限会显著高于通用型开发岗位。</w:t>
      </w:r>
    </w:p>
    <w:p w14:paraId="469B001D">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要在毕业后成功获得此类岗位，从大二大三开始就需要进行系统性的技能储备。其知识体系的核心是熟练掌握C/C++语言编程，这是嵌入式开发的基石。在此基础上，你需要有步骤地构建从硬件到软件的全栈理解。这包括：深入理解处理器体系结构，特别是ARM Cortex-M/A系列；掌握至少一种实时操作系统的原理与应用，如FreeRTOS或UCOS；并具备阅读硬件原理图、使用示波器等工具进行基础硬件调试的能力。进一步地，需要熟悉常见的硬件接口协议，如UART、SPI、I2C，以及网络协议，如TCP/IP、MQTT。对于物联网工程而言，对Zigbee、蓝牙、Wi-Fi、LoRa等无线通信技术的理解也尤为重要。理论学习之外，实践是巩固知识的最佳途径。积极利用STM32或树莓派等平台进行个人项目实践，或参加电子设计竞赛，尝试完成从需求分析、编码、硬件调试到系统集成的完整流程，这样的项目经验不仅能深化技术理解，也是求职时极具说服力的证明。</w:t>
      </w:r>
    </w:p>
    <w:p w14:paraId="3E315BF9">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bookmarkStart w:id="0" w:name="_GoBack"/>
      <w:bookmarkEnd w:id="0"/>
      <w:r>
        <w:t>此外，熟练使用Git进行版本控制、学习编写规范的开发文档、培养解决问题的逻辑思维和团队协作能力，这些软技能同样不可或缺。总而言之，明确目标并持之以恒地进行理论学习和项目实践，是你在大学后半程为职业发展铺平道路的关键</w:t>
      </w:r>
    </w:p>
    <w:p w14:paraId="73F7306D">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rPr>
      </w:pPr>
    </w:p>
    <w:p w14:paraId="02E8DC09">
      <w:pPr>
        <w:pStyle w:val="5"/>
        <w:keepNext w:val="0"/>
        <w:keepLines w:val="0"/>
        <w:widowControl/>
        <w:suppressLineNumbers w:val="0"/>
        <w:spacing w:line="360" w:lineRule="auto"/>
        <w:ind w:firstLine="480" w:firstLineChars="200"/>
        <w:rPr>
          <w:rFonts w:hint="eastAsia" w:eastAsiaTheme="minorEastAsia"/>
          <w:lang w:eastAsia="zh-CN"/>
        </w:rPr>
      </w:pPr>
    </w:p>
    <w:p w14:paraId="1CB13531">
      <w:pPr>
        <w:numPr>
          <w:ilvl w:val="0"/>
          <w:numId w:val="1"/>
        </w:numPr>
        <w:spacing w:before="120" w:after="120" w:line="288" w:lineRule="auto"/>
        <w:ind w:left="420" w:leftChars="0" w:hanging="420" w:firstLineChars="0"/>
        <w:jc w:val="left"/>
      </w:pPr>
      <w:r>
        <w:rPr>
          <w:rFonts w:ascii="Arial" w:hAnsi="Arial" w:eastAsia="等线" w:cs="Arial"/>
          <w:b/>
          <w:sz w:val="22"/>
        </w:rPr>
        <w:t>文件命名</w:t>
      </w:r>
      <w:r>
        <w:rPr>
          <w:rFonts w:hint="eastAsia" w:ascii="Arial" w:hAnsi="Arial" w:eastAsia="等线" w:cs="Arial"/>
          <w:b/>
          <w:sz w:val="22"/>
          <w:lang w:eastAsia="zh-CN"/>
        </w:rPr>
        <w:t>：</w:t>
      </w:r>
      <w:r>
        <w:rPr>
          <w:rFonts w:hint="eastAsia" w:asciiTheme="majorEastAsia" w:hAnsiTheme="majorEastAsia" w:eastAsiaTheme="majorEastAsia" w:cstheme="majorEastAsia"/>
          <w:sz w:val="22"/>
          <w:szCs w:val="22"/>
        </w:rPr>
        <w:t>统一格式为</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班级+姓名+学号+作业名称</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（例：2</w:t>
      </w:r>
      <w:r>
        <w:rPr>
          <w:rFonts w:hint="eastAsia" w:asciiTheme="majorEastAsia" w:hAnsiTheme="majorEastAsia" w:eastAsiaTheme="majorEastAsia" w:cstheme="majorEastAsia"/>
          <w:sz w:val="22"/>
          <w:szCs w:val="22"/>
          <w:lang w:val="en-US" w:eastAsia="zh-CN"/>
        </w:rPr>
        <w:t>5计算机科学与技术</w:t>
      </w:r>
      <w:r>
        <w:rPr>
          <w:rFonts w:hint="eastAsia" w:asciiTheme="majorEastAsia" w:hAnsiTheme="majorEastAsia" w:eastAsiaTheme="majorEastAsia" w:cstheme="majorEastAsia"/>
          <w:sz w:val="22"/>
          <w:szCs w:val="22"/>
        </w:rPr>
        <w:t>1班+张三</w:t>
      </w:r>
      <w:r>
        <w:rPr>
          <w:rFonts w:hint="eastAsia" w:asciiTheme="majorEastAsia" w:hAnsiTheme="majorEastAsia" w:eastAsiaTheme="majorEastAsia" w:cstheme="majorEastAsia"/>
          <w:sz w:val="22"/>
          <w:szCs w:val="22"/>
          <w:lang w:val="en-US" w:eastAsia="zh-CN"/>
        </w:rPr>
        <w:t>三</w:t>
      </w:r>
      <w:r>
        <w:rPr>
          <w:rFonts w:hint="eastAsia" w:asciiTheme="majorEastAsia" w:hAnsiTheme="majorEastAsia" w:eastAsiaTheme="majorEastAsia" w:cstheme="majorEastAsia"/>
          <w:sz w:val="22"/>
          <w:szCs w:val="22"/>
        </w:rPr>
        <w:t>+202</w:t>
      </w:r>
      <w:r>
        <w:rPr>
          <w:rFonts w:hint="eastAsia" w:asciiTheme="majorEastAsia" w:hAnsiTheme="majorEastAsia" w:eastAsiaTheme="majorEastAsia" w:cstheme="majorEastAsia"/>
          <w:sz w:val="22"/>
          <w:szCs w:val="22"/>
          <w:lang w:val="en-US" w:eastAsia="zh-CN"/>
        </w:rPr>
        <w:t>502210111</w:t>
      </w:r>
      <w:r>
        <w:rPr>
          <w:rFonts w:hint="eastAsia" w:asciiTheme="majorEastAsia" w:hAnsiTheme="majorEastAsia" w:eastAsiaTheme="majorEastAsia" w:cstheme="majorEastAsia"/>
          <w:sz w:val="22"/>
          <w:szCs w:val="22"/>
        </w:rPr>
        <w:t>+</w:t>
      </w:r>
      <w:r>
        <w:rPr>
          <w:rFonts w:hint="eastAsia" w:asciiTheme="majorEastAsia" w:hAnsiTheme="majorEastAsia" w:eastAsiaTheme="majorEastAsia" w:cstheme="majorEastAsia"/>
          <w:sz w:val="22"/>
          <w:szCs w:val="22"/>
          <w:lang w:val="en-US" w:eastAsia="zh-CN"/>
        </w:rPr>
        <w:t>专业分析报告</w:t>
      </w:r>
      <w:r>
        <w:rPr>
          <w:rFonts w:hint="eastAsia" w:asciiTheme="majorEastAsia" w:hAnsiTheme="majorEastAsia" w:eastAsiaTheme="majorEastAsia" w:cstheme="majorEastAsia"/>
          <w:sz w:val="22"/>
          <w:szCs w:val="22"/>
        </w:rPr>
        <w:t>）</w:t>
      </w:r>
    </w:p>
    <w:p w14:paraId="23CFCD90">
      <w:pPr>
        <w:numPr>
          <w:ilvl w:val="0"/>
          <w:numId w:val="1"/>
        </w:numPr>
        <w:spacing w:before="120" w:after="120" w:line="288" w:lineRule="auto"/>
        <w:ind w:left="420" w:leftChars="0" w:hanging="420" w:firstLineChars="0"/>
        <w:jc w:val="left"/>
      </w:pPr>
      <w:r>
        <w:rPr>
          <w:rFonts w:hint="eastAsia" w:ascii="Arial" w:hAnsi="Arial" w:eastAsia="等线" w:cs="Arial"/>
          <w:b/>
          <w:sz w:val="22"/>
          <w:lang w:val="en-US" w:eastAsia="zh-CN"/>
        </w:rPr>
        <w:t>作业内容：</w:t>
      </w:r>
      <w:r>
        <w:rPr>
          <w:rFonts w:hint="eastAsia" w:asciiTheme="majorEastAsia" w:hAnsiTheme="majorEastAsia" w:eastAsiaTheme="majorEastAsia" w:cstheme="majorEastAsia"/>
          <w:sz w:val="22"/>
          <w:szCs w:val="22"/>
          <w:lang w:val="en-US" w:eastAsia="zh-CN"/>
        </w:rPr>
        <w:t xml:space="preserve">涵盖对行业发展的情况分析、AI对行业的正负面影响、学完本专业认为自己能从事的岗位与薪资等。 </w:t>
      </w:r>
    </w:p>
    <w:p w14:paraId="13F48030">
      <w:pPr>
        <w:numPr>
          <w:ilvl w:val="0"/>
          <w:numId w:val="1"/>
        </w:numPr>
        <w:spacing w:before="120" w:after="120" w:line="288" w:lineRule="auto"/>
        <w:ind w:left="420" w:leftChars="0" w:hanging="420" w:firstLineChars="0"/>
        <w:jc w:val="left"/>
      </w:pPr>
      <w:r>
        <w:rPr>
          <w:rFonts w:hint="eastAsia" w:ascii="Arial" w:hAnsi="Arial" w:eastAsia="等线" w:cs="Arial"/>
          <w:b/>
          <w:sz w:val="22"/>
          <w:lang w:val="en-US" w:eastAsia="zh-CN"/>
        </w:rPr>
        <w:t>字数要求</w:t>
      </w:r>
      <w:r>
        <w:rPr>
          <w:rFonts w:hint="eastAsia" w:ascii="Arial" w:hAnsi="Arial" w:eastAsia="等线" w:cs="Arial"/>
          <w:b/>
          <w:sz w:val="22"/>
          <w:lang w:eastAsia="zh-CN"/>
        </w:rPr>
        <w:t>：</w:t>
      </w:r>
      <w:r>
        <w:rPr>
          <w:rFonts w:hint="eastAsia" w:asciiTheme="majorEastAsia" w:hAnsiTheme="majorEastAsia" w:eastAsiaTheme="majorEastAsia" w:cstheme="majorEastAsia"/>
          <w:sz w:val="22"/>
          <w:szCs w:val="22"/>
          <w:lang w:val="en-US" w:eastAsia="zh-CN"/>
        </w:rPr>
        <w:t>不少于2000字（字数统计范围为正文主体部分，图表、图片等内容不计入）</w:t>
      </w:r>
    </w:p>
    <w:p w14:paraId="1D9A43BD">
      <w:pPr>
        <w:spacing w:before="120" w:after="120" w:line="288" w:lineRule="auto"/>
        <w:ind w:left="0"/>
        <w:jc w:val="left"/>
      </w:pPr>
    </w:p>
    <w:sectPr>
      <w:footerReference r:id="rId3" w:type="default"/>
      <w:pgSz w:w="11905" w:h="16840"/>
      <w:pgMar w:top="1417" w:right="1417" w:bottom="1417" w:left="1417" w:header="850" w:footer="992" w:gutter="0"/>
      <w:pgNumType w:fmt="decimal"/>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0C438">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CB1C8C">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pci88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q9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EqXIvPLAQAAnAMAAA4AAAAAAAAAAQAgAAAAHgEAAGRycy9lMm9E&#10;b2MueG1sUEsFBgAAAAAGAAYAWQEAAFsFAAAAAA==&#10;">
              <v:fill on="f" focussize="0,0"/>
              <v:stroke on="f"/>
              <v:imagedata o:title=""/>
              <o:lock v:ext="edit" aspectratio="f"/>
              <v:textbox inset="0mm,0mm,0mm,0mm" style="mso-fit-shape-to-text:t;">
                <w:txbxContent>
                  <w:p w14:paraId="13CB1C8C">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489E5B"/>
    <w:multiLevelType w:val="singleLevel"/>
    <w:tmpl w:val="40489E5B"/>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05EA5"/>
    <w:rsid w:val="067E22F4"/>
    <w:rsid w:val="15285206"/>
    <w:rsid w:val="15F14CB0"/>
    <w:rsid w:val="1FED6527"/>
    <w:rsid w:val="21EF545F"/>
    <w:rsid w:val="27DC5671"/>
    <w:rsid w:val="295848B1"/>
    <w:rsid w:val="2DA134D1"/>
    <w:rsid w:val="2E1D6FFC"/>
    <w:rsid w:val="341B7669"/>
    <w:rsid w:val="344211B7"/>
    <w:rsid w:val="37100520"/>
    <w:rsid w:val="390A586B"/>
    <w:rsid w:val="497D7EF4"/>
    <w:rsid w:val="4C893C80"/>
    <w:rsid w:val="4DB36BDD"/>
    <w:rsid w:val="54C72DE8"/>
    <w:rsid w:val="6051650D"/>
    <w:rsid w:val="60D31618"/>
    <w:rsid w:val="62662018"/>
    <w:rsid w:val="67917634"/>
    <w:rsid w:val="6C953C26"/>
    <w:rsid w:val="6D02561C"/>
    <w:rsid w:val="72AA7CFF"/>
    <w:rsid w:val="78A656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1173</Words>
  <Characters>1202</Characters>
  <TotalTime>19</TotalTime>
  <ScaleCrop>false</ScaleCrop>
  <LinksUpToDate>false</LinksUpToDate>
  <CharactersWithSpaces>1204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2025-12-05T01:13:00Z</dcterms:created>
  <dc:creator>Apache POI</dc:creator>
  <cp:lastModifiedBy>对方正在输入...</cp:lastModifiedBy>
  <dcterms:modified xsi:type="dcterms:W3CDTF">2025-12-28T16:14:55Z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eyJoZGlkIjoiMGQzYmJmMjE1YjE4YTFmZDhhZDEzYzQxZGQ4MmViNTciLCJ1c2VySWQiOiIzNzg4MjkwMzgifQ==</vt:lpwstr>
  </property>
  <property fmtid="{D5CDD505-2E9C-101B-9397-08002B2CF9AE}" pid="3" name="KSOProductBuildVer">
    <vt:lpwstr>2052-12.1.0.24034</vt:lpwstr>
  </property>
  <property fmtid="{D5CDD505-2E9C-101B-9397-08002B2CF9AE}" pid="4" name="ICV">
    <vt:lpwstr>E6A420FCF92A461D94B61BE250D2F338_13</vt:lpwstr>
  </property>
</Properties>
</file>