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1498B">
      <w:pPr>
        <w:autoSpaceDE w:val="0"/>
        <w:autoSpaceDN w:val="0"/>
        <w:adjustRightInd w:val="0"/>
        <w:spacing w:line="200" w:lineRule="exact"/>
        <w:outlineLvl w:val="9"/>
        <w:rPr>
          <w:rFonts w:hint="eastAsia"/>
          <w:kern w:val="0"/>
          <w:sz w:val="16"/>
          <w:szCs w:val="18"/>
        </w:rPr>
      </w:pPr>
    </w:p>
    <w:p w14:paraId="41DF069A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16"/>
          <w:szCs w:val="18"/>
        </w:rPr>
      </w:pPr>
    </w:p>
    <w:p w14:paraId="240D2920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16"/>
          <w:szCs w:val="18"/>
        </w:rPr>
      </w:pPr>
      <w:r>
        <w:rPr>
          <w:rFonts w:hint="eastAsia" w:eastAsia="Times New Roman"/>
          <w:sz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2151380</wp:posOffset>
            </wp:positionH>
            <wp:positionV relativeFrom="page">
              <wp:posOffset>1271905</wp:posOffset>
            </wp:positionV>
            <wp:extent cx="3538855" cy="767715"/>
            <wp:effectExtent l="0" t="0" r="4445" b="698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EF68AC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16"/>
          <w:szCs w:val="18"/>
        </w:rPr>
      </w:pPr>
    </w:p>
    <w:p w14:paraId="268F633B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16"/>
          <w:szCs w:val="18"/>
        </w:rPr>
      </w:pPr>
    </w:p>
    <w:p w14:paraId="65DE929E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16"/>
          <w:szCs w:val="18"/>
        </w:rPr>
      </w:pPr>
    </w:p>
    <w:p w14:paraId="26AB9C7B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16"/>
          <w:szCs w:val="18"/>
        </w:rPr>
      </w:pPr>
    </w:p>
    <w:p w14:paraId="209ECF6F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16"/>
          <w:szCs w:val="18"/>
        </w:rPr>
      </w:pPr>
    </w:p>
    <w:p w14:paraId="0788AA5F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16"/>
          <w:szCs w:val="18"/>
        </w:rPr>
      </w:pPr>
    </w:p>
    <w:p w14:paraId="493B6A71">
      <w:pPr>
        <w:autoSpaceDE w:val="0"/>
        <w:autoSpaceDN w:val="0"/>
        <w:adjustRightInd w:val="0"/>
        <w:spacing w:line="200" w:lineRule="exact"/>
        <w:rPr>
          <w:rFonts w:hint="eastAsia"/>
          <w:kern w:val="0"/>
          <w:sz w:val="72"/>
          <w:szCs w:val="72"/>
        </w:rPr>
      </w:pPr>
    </w:p>
    <w:tbl>
      <w:tblPr>
        <w:tblStyle w:val="17"/>
        <w:tblpPr w:leftFromText="180" w:rightFromText="180" w:vertAnchor="page" w:horzAnchor="page" w:tblpX="1655" w:tblpY="3681"/>
        <w:tblOverlap w:val="never"/>
        <w:tblW w:w="47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4"/>
        <w:gridCol w:w="2154"/>
        <w:gridCol w:w="2154"/>
        <w:gridCol w:w="1214"/>
        <w:gridCol w:w="1221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25物联网工程1班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202502210088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梁梓恒</w:t>
            </w: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69BBB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after="480" w:line="240" w:lineRule="auto"/>
        <w:ind w:left="0"/>
        <w:jc w:val="center"/>
        <w:textAlignment w:val="auto"/>
        <w:outlineLvl w:val="9"/>
        <w:rPr>
          <w:rFonts w:hint="eastAsia" w:ascii="华文新魏" w:hAnsi="华文新魏" w:eastAsia="华文新魏" w:cs="华文新魏"/>
          <w:b/>
          <w:bCs/>
          <w:sz w:val="72"/>
          <w:szCs w:val="72"/>
          <w:lang w:val="en-US" w:eastAsia="zh-CN"/>
        </w:rPr>
      </w:pPr>
    </w:p>
    <w:p w14:paraId="40078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after="480" w:line="240" w:lineRule="auto"/>
        <w:ind w:left="0"/>
        <w:jc w:val="center"/>
        <w:textAlignment w:val="auto"/>
        <w:outlineLvl w:val="9"/>
        <w:rPr>
          <w:rFonts w:hint="eastAsia" w:ascii="华文新魏" w:hAnsi="华文新魏" w:eastAsia="华文新魏" w:cs="华文新魏"/>
          <w:b/>
          <w:bCs/>
          <w:sz w:val="72"/>
          <w:szCs w:val="72"/>
          <w:lang w:val="en-US" w:eastAsia="zh-CN"/>
        </w:rPr>
      </w:pPr>
    </w:p>
    <w:p w14:paraId="45CCE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after="480" w:line="240" w:lineRule="auto"/>
        <w:ind w:left="0" w:leftChars="0"/>
        <w:jc w:val="center"/>
        <w:textAlignment w:val="auto"/>
        <w:outlineLvl w:val="0"/>
        <w:rPr>
          <w:rFonts w:hint="eastAsia" w:ascii="华文新魏" w:hAnsi="华文新魏" w:eastAsia="华文新魏" w:cs="华文新魏"/>
          <w:b/>
          <w:bCs/>
          <w:sz w:val="72"/>
          <w:szCs w:val="72"/>
          <w:lang w:val="en-US" w:eastAsia="zh-CN"/>
        </w:rPr>
      </w:pPr>
      <w:bookmarkStart w:id="0" w:name="_Toc16469"/>
      <w:bookmarkStart w:id="1" w:name="_Toc20577"/>
      <w:bookmarkStart w:id="2" w:name="_Toc668"/>
      <w:bookmarkStart w:id="3" w:name="_Toc10293"/>
      <w:bookmarkStart w:id="4" w:name="_Toc30380"/>
      <w:bookmarkStart w:id="5" w:name="_Toc28968"/>
      <w:r>
        <w:rPr>
          <w:rFonts w:hint="eastAsia" w:ascii="华文新魏" w:hAnsi="华文新魏" w:eastAsia="华文新魏" w:cs="华文新魏"/>
          <w:b/>
          <w:bCs/>
          <w:sz w:val="72"/>
          <w:szCs w:val="72"/>
          <w:lang w:val="en-US" w:eastAsia="zh-CN"/>
        </w:rPr>
        <w:t>专业分析报告</w:t>
      </w:r>
      <w:bookmarkEnd w:id="0"/>
      <w:bookmarkEnd w:id="1"/>
      <w:bookmarkEnd w:id="2"/>
      <w:bookmarkEnd w:id="3"/>
      <w:bookmarkEnd w:id="4"/>
      <w:bookmarkEnd w:id="5"/>
    </w:p>
    <w:p w14:paraId="4E2EB6DA">
      <w:pPr>
        <w:autoSpaceDE w:val="0"/>
        <w:autoSpaceDN w:val="0"/>
        <w:adjustRightInd w:val="0"/>
        <w:spacing w:line="960" w:lineRule="exact"/>
        <w:jc w:val="center"/>
        <w:rPr>
          <w:rFonts w:hint="eastAsia"/>
          <w:kern w:val="0"/>
          <w:sz w:val="72"/>
          <w:szCs w:val="72"/>
        </w:rPr>
      </w:pPr>
    </w:p>
    <w:p w14:paraId="314946C6">
      <w:pPr>
        <w:autoSpaceDE w:val="0"/>
        <w:autoSpaceDN w:val="0"/>
        <w:adjustRightInd w:val="0"/>
        <w:spacing w:line="960" w:lineRule="exact"/>
        <w:jc w:val="center"/>
        <w:rPr>
          <w:rFonts w:hint="eastAsia"/>
          <w:kern w:val="0"/>
          <w:sz w:val="72"/>
          <w:szCs w:val="72"/>
        </w:rPr>
      </w:pPr>
      <w:r>
        <w:rPr>
          <w:rFonts w:hint="eastAsia"/>
          <w:kern w:val="0"/>
          <w:sz w:val="72"/>
          <w:szCs w:val="72"/>
        </w:rPr>
        <w:t xml:space="preserve"> </w:t>
      </w:r>
    </w:p>
    <w:p w14:paraId="50E5E196">
      <w:pPr>
        <w:jc w:val="both"/>
        <w:rPr>
          <w:rFonts w:hint="eastAsia"/>
        </w:rPr>
      </w:pPr>
    </w:p>
    <w:p w14:paraId="1E0C1155">
      <w:pPr>
        <w:jc w:val="both"/>
        <w:rPr>
          <w:rFonts w:hint="eastAsia"/>
        </w:rPr>
      </w:pPr>
    </w:p>
    <w:p w14:paraId="5001BB8D">
      <w:pPr>
        <w:jc w:val="both"/>
        <w:rPr>
          <w:rFonts w:hint="eastAsia"/>
          <w:b/>
          <w:bCs/>
          <w:sz w:val="32"/>
        </w:rPr>
      </w:pPr>
    </w:p>
    <w:p w14:paraId="6D84E99C">
      <w:pPr>
        <w:ind w:firstLine="643"/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 xml:space="preserve">           </w:t>
      </w:r>
    </w:p>
    <w:p w14:paraId="1F02FA43">
      <w:pPr>
        <w:autoSpaceDE w:val="0"/>
        <w:autoSpaceDN w:val="0"/>
        <w:adjustRightInd w:val="0"/>
        <w:spacing w:line="319" w:lineRule="exact"/>
        <w:ind w:left="1488"/>
        <w:rPr>
          <w:rFonts w:hint="eastAsia"/>
          <w:kern w:val="0"/>
          <w:sz w:val="31"/>
          <w:szCs w:val="31"/>
        </w:rPr>
      </w:pPr>
    </w:p>
    <w:p w14:paraId="1912C916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p w14:paraId="00973329"/>
    <w:p w14:paraId="0686570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b/>
          <w:bCs/>
          <w:sz w:val="36"/>
          <w:szCs w:val="36"/>
        </w:rPr>
      </w:pPr>
      <w:bookmarkStart w:id="6" w:name="_Toc31965"/>
    </w:p>
    <w:p w14:paraId="427ECE8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b/>
          <w:bCs/>
          <w:sz w:val="36"/>
          <w:szCs w:val="36"/>
        </w:rPr>
      </w:pPr>
    </w:p>
    <w:p w14:paraId="67EFBEB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b/>
          <w:bCs/>
          <w:sz w:val="36"/>
          <w:szCs w:val="36"/>
        </w:rPr>
      </w:pPr>
    </w:p>
    <w:p w14:paraId="7F4803D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ascii="宋体" w:hAnsi="宋体" w:eastAsia="宋体"/>
          <w:b/>
          <w:bCs/>
          <w:sz w:val="36"/>
          <w:szCs w:val="36"/>
        </w:rPr>
        <w:t>目录</w:t>
      </w:r>
    </w:p>
    <w:p w14:paraId="52B043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/>
          <w:b/>
          <w:bCs/>
          <w:sz w:val="36"/>
          <w:szCs w:val="36"/>
          <w:lang w:eastAsia="zh-CN"/>
        </w:rPr>
      </w:pPr>
      <w:bookmarkStart w:id="19" w:name="_GoBack"/>
      <w:bookmarkEnd w:id="19"/>
    </w:p>
    <w:p w14:paraId="75C7372E">
      <w:pPr>
        <w:pStyle w:val="12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Cs w:val="24"/>
        </w:rPr>
        <w:fldChar w:fldCharType="begin"/>
      </w:r>
      <w:r>
        <w:rPr>
          <w:rFonts w:hint="eastAsia"/>
          <w:color w:val="auto"/>
          <w:szCs w:val="24"/>
        </w:rPr>
        <w:instrText xml:space="preserve">TOC \o "1-3" \h \u </w:instrText>
      </w:r>
      <w:r>
        <w:rPr>
          <w:rFonts w:hint="eastAsia"/>
          <w:color w:val="auto"/>
          <w:szCs w:val="24"/>
        </w:rPr>
        <w:fldChar w:fldCharType="separate"/>
      </w:r>
      <w:r>
        <w:rPr>
          <w:rFonts w:hint="eastAsia"/>
          <w:color w:val="auto"/>
          <w:sz w:val="36"/>
          <w:szCs w:val="36"/>
        </w:rPr>
        <w:fldChar w:fldCharType="begin"/>
      </w:r>
      <w:r>
        <w:rPr>
          <w:rFonts w:hint="eastAsia"/>
          <w:sz w:val="36"/>
          <w:szCs w:val="36"/>
        </w:rPr>
        <w:instrText xml:space="preserve"> HYPERLINK \l _Toc30380 </w:instrText>
      </w:r>
      <w:r>
        <w:rPr>
          <w:rFonts w:hint="eastAsia"/>
          <w:sz w:val="36"/>
          <w:szCs w:val="36"/>
        </w:rPr>
        <w:fldChar w:fldCharType="separate"/>
      </w:r>
      <w:r>
        <w:rPr>
          <w:rFonts w:hint="eastAsia" w:ascii="华文新魏" w:hAnsi="华文新魏" w:eastAsia="华文新魏" w:cs="华文新魏"/>
          <w:bCs/>
          <w:sz w:val="36"/>
          <w:szCs w:val="36"/>
          <w:lang w:val="en-US" w:eastAsia="zh-CN"/>
        </w:rPr>
        <w:t>专业分析报告</w:t>
      </w:r>
      <w:r>
        <w:rPr>
          <w:sz w:val="36"/>
          <w:szCs w:val="36"/>
        </w:rPr>
        <w:tab/>
      </w: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PAGEREF _Toc30380 \h </w:instrText>
      </w:r>
      <w:r>
        <w:rPr>
          <w:sz w:val="36"/>
          <w:szCs w:val="36"/>
        </w:rPr>
        <w:fldChar w:fldCharType="separate"/>
      </w:r>
      <w:r>
        <w:rPr>
          <w:sz w:val="36"/>
          <w:szCs w:val="36"/>
        </w:rPr>
        <w:t>1</w:t>
      </w:r>
      <w:r>
        <w:rPr>
          <w:sz w:val="36"/>
          <w:szCs w:val="36"/>
        </w:rPr>
        <w:fldChar w:fldCharType="end"/>
      </w:r>
      <w:r>
        <w:rPr>
          <w:rFonts w:hint="eastAsia"/>
          <w:color w:val="auto"/>
          <w:sz w:val="36"/>
          <w:szCs w:val="36"/>
        </w:rPr>
        <w:fldChar w:fldCharType="end"/>
      </w:r>
    </w:p>
    <w:p w14:paraId="63114BA7">
      <w:pPr>
        <w:pStyle w:val="12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_Toc31965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一、专业的 “真相”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0E3C7869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_Toc11411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sz w:val="32"/>
          <w:szCs w:val="32"/>
          <w:lang w:val="en-US" w:eastAsia="zh-CN"/>
        </w:rPr>
        <w:t>1.1 认知迭代：从 “想象” 到 “本质”​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30ED33A3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_Toc9665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1.2 社会价值：专业的 “问题解决力”​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67D8D95E">
      <w:pPr>
        <w:pStyle w:val="12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_Toc29619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二、行业发展现状与趋势</w:t>
      </w:r>
      <w:r>
        <w:rPr>
          <w:rFonts w:hint="eastAsia"/>
          <w:sz w:val="32"/>
          <w:szCs w:val="32"/>
          <w:lang w:val="en-US" w:eastAsia="zh-CN"/>
        </w:rPr>
        <w:t>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31D3CC76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_Toc9757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2.1 行业大数据分析（必备数据支撑）</w:t>
      </w:r>
      <w:r>
        <w:rPr>
          <w:rFonts w:hint="eastAsia"/>
          <w:sz w:val="32"/>
          <w:szCs w:val="32"/>
          <w:lang w:val="en-US" w:eastAsia="zh-CN"/>
        </w:rPr>
        <w:t>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3D3D41E2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_Toc8205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2.2 行业新风口：细分领域机遇</w:t>
      </w:r>
      <w:r>
        <w:rPr>
          <w:rFonts w:hint="eastAsia"/>
          <w:sz w:val="32"/>
          <w:szCs w:val="32"/>
          <w:lang w:val="en-US" w:eastAsia="zh-CN"/>
        </w:rPr>
        <w:t>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1D970E25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_Toc3300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2.3 典型企业分析：头部玩家的布局</w:t>
      </w:r>
      <w:r>
        <w:rPr>
          <w:rFonts w:hint="eastAsia"/>
          <w:sz w:val="32"/>
          <w:szCs w:val="32"/>
          <w:lang w:val="en-US" w:eastAsia="zh-CN"/>
        </w:rPr>
        <w:t>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599C645D">
      <w:pPr>
        <w:pStyle w:val="12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_Toc19419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三、AI 技术对行业的颠覆与重塑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0242A3BD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_Toc32305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3.1 AI 工具的行业落地场景​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090E62C0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_Toc23149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3.2 正面影响：效率革命与价值升级​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_Toc23149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6</w:t>
      </w:r>
      <w:r>
        <w:rPr>
          <w:sz w:val="32"/>
          <w:szCs w:val="32"/>
        </w:rPr>
        <w:fldChar w:fldCharType="end"/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578BEE10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_Toc26928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3.3 负面挑战与危机应对</w:t>
      </w:r>
      <w:r>
        <w:rPr>
          <w:rFonts w:hint="eastAsia"/>
          <w:sz w:val="32"/>
          <w:szCs w:val="32"/>
          <w:lang w:val="en-US" w:eastAsia="zh-CN"/>
        </w:rPr>
        <w:t>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523EB518">
      <w:pPr>
        <w:pStyle w:val="12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_Toc6899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四、我的目标岗位与行动规划</w:t>
      </w:r>
      <w:r>
        <w:rPr>
          <w:rFonts w:hint="eastAsia"/>
          <w:sz w:val="32"/>
          <w:szCs w:val="32"/>
          <w:lang w:val="en-US" w:eastAsia="zh-CN"/>
        </w:rPr>
        <w:t>​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310F27CE">
      <w:pPr>
        <w:pStyle w:val="15"/>
        <w:tabs>
          <w:tab w:val="right" w:leader="dot" w:pos="9030"/>
        </w:tabs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</w:rPr>
        <w:fldChar w:fldCharType="begin"/>
      </w:r>
      <w:r>
        <w:rPr>
          <w:rFonts w:hint="eastAsia"/>
          <w:sz w:val="32"/>
          <w:szCs w:val="32"/>
        </w:rPr>
        <w:instrText xml:space="preserve"> HYPERLINK \l _Toc21051 </w:instrText>
      </w:r>
      <w:r>
        <w:rPr>
          <w:rFonts w:hint="eastAsia"/>
          <w:sz w:val="32"/>
          <w:szCs w:val="32"/>
        </w:rPr>
        <w:fldChar w:fldCharType="separate"/>
      </w:r>
      <w:r>
        <w:rPr>
          <w:rFonts w:hint="eastAsia"/>
          <w:bCs/>
          <w:sz w:val="32"/>
          <w:szCs w:val="32"/>
          <w:lang w:val="en-US" w:eastAsia="zh-CN"/>
        </w:rPr>
        <w:t>4.1 目标岗位画像（精准锁定）</w:t>
      </w:r>
      <w:r>
        <w:rPr>
          <w:rFonts w:hint="eastAsia"/>
          <w:sz w:val="32"/>
          <w:szCs w:val="32"/>
          <w:lang w:val="en-US" w:eastAsia="zh-CN"/>
        </w:rPr>
        <w:t>​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_Toc21051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6</w:t>
      </w:r>
      <w:r>
        <w:rPr>
          <w:sz w:val="32"/>
          <w:szCs w:val="32"/>
        </w:rPr>
        <w:fldChar w:fldCharType="end"/>
      </w:r>
      <w:r>
        <w:rPr>
          <w:rFonts w:hint="eastAsia"/>
          <w:color w:val="auto"/>
          <w:sz w:val="32"/>
          <w:szCs w:val="32"/>
        </w:rPr>
        <w:fldChar w:fldCharType="end"/>
      </w:r>
    </w:p>
    <w:p w14:paraId="4517E30B">
      <w:pPr>
        <w:pStyle w:val="15"/>
        <w:tabs>
          <w:tab w:val="right" w:leader="dot" w:pos="9030"/>
        </w:tabs>
        <w:ind w:left="0" w:leftChars="0" w:firstLine="0" w:firstLineChars="0"/>
      </w:pPr>
    </w:p>
    <w:p w14:paraId="0585170F">
      <w:pPr>
        <w:pStyle w:val="16"/>
        <w:widowControl/>
        <w:shd w:val="clear" w:color="auto" w:fill="FFFFFF"/>
        <w:jc w:val="both"/>
        <w:outlineLvl w:val="0"/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Cs w:val="24"/>
        </w:rPr>
        <w:fldChar w:fldCharType="end"/>
      </w:r>
    </w:p>
    <w:p w14:paraId="375A9437">
      <w:pPr>
        <w:pStyle w:val="16"/>
        <w:widowControl/>
        <w:shd w:val="clear" w:color="auto" w:fill="FFFFFF"/>
        <w:jc w:val="both"/>
        <w:outlineLvl w:val="0"/>
        <w:rPr>
          <w:rFonts w:hint="eastAsia"/>
          <w:b/>
          <w:bCs/>
          <w:color w:val="auto"/>
          <w:sz w:val="32"/>
          <w:szCs w:val="32"/>
          <w:lang w:val="en-US" w:eastAsia="zh-CN"/>
        </w:rPr>
      </w:pPr>
    </w:p>
    <w:p w14:paraId="17BC54F8">
      <w:pPr>
        <w:pStyle w:val="16"/>
        <w:widowControl/>
        <w:shd w:val="clear" w:color="auto" w:fill="FFFFFF"/>
        <w:jc w:val="both"/>
        <w:outlineLvl w:val="0"/>
        <w:rPr>
          <w:rFonts w:hint="eastAsia"/>
          <w:b/>
          <w:bCs/>
          <w:color w:val="auto"/>
          <w:sz w:val="32"/>
          <w:szCs w:val="32"/>
          <w:lang w:val="en-US" w:eastAsia="zh-CN"/>
        </w:rPr>
      </w:pPr>
    </w:p>
    <w:p w14:paraId="5F35A284">
      <w:pPr>
        <w:pStyle w:val="16"/>
        <w:widowControl/>
        <w:shd w:val="clear" w:color="auto" w:fill="FFFFFF"/>
        <w:jc w:val="both"/>
        <w:outlineLvl w:val="0"/>
        <w:rPr>
          <w:rFonts w:hint="eastAsia"/>
          <w:b/>
          <w:bCs/>
          <w:color w:val="auto"/>
          <w:sz w:val="32"/>
          <w:szCs w:val="32"/>
          <w:lang w:val="en-US" w:eastAsia="zh-CN"/>
        </w:rPr>
      </w:pPr>
    </w:p>
    <w:p w14:paraId="26C96F05">
      <w:pPr>
        <w:pStyle w:val="16"/>
        <w:widowControl/>
        <w:shd w:val="clear" w:color="auto" w:fill="FFFFFF"/>
        <w:jc w:val="both"/>
        <w:outlineLvl w:val="0"/>
        <w:rPr>
          <w:rFonts w:hint="eastAsia"/>
          <w:color w:val="auto"/>
          <w:sz w:val="24"/>
          <w:szCs w:val="24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一、专业的 “真相”</w:t>
      </w:r>
      <w:bookmarkEnd w:id="6"/>
    </w:p>
    <w:p w14:paraId="074CA343">
      <w:pPr>
        <w:pStyle w:val="16"/>
        <w:widowControl/>
        <w:shd w:val="clear" w:color="auto" w:fill="FFFFFF"/>
        <w:jc w:val="both"/>
        <w:outlineLvl w:val="1"/>
        <w:rPr>
          <w:rFonts w:hint="eastAsia"/>
          <w:color w:val="auto"/>
          <w:sz w:val="24"/>
          <w:szCs w:val="24"/>
        </w:rPr>
      </w:pPr>
      <w:bookmarkStart w:id="7" w:name="_Toc11411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1.1 认知迭代：从 “想象” 到 “本质”</w:t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bookmarkEnd w:id="7"/>
    </w:p>
    <w:p w14:paraId="6E4F57DA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入学前，我对物联网工程专业的认知停留在 “连接万物的网络技术”，简单理解为 “给设备装传感器、连上网”，认为核心是硬件搭建与网络配置。但经过一学期专业学习，我发现其核心内核是跨领域整合能力的综合体现：一是感知层技术能力，包括传感器选型、数据采集与预处理，需掌握嵌入式开发、传感器原理等知识；二是网络层通信能力，熟悉 WiFi、蓝牙、5G 等通信协议的适配与优化；三是平台层数据处理能力，具备边缘计算、云计算平台应用及数据建模分析技能；四是应用层解决方案能力，能结合行业场景（如工业、农业、医疗）设计落地的物联网系统。这种认知偏差源于对 “物联网”“互联” 表象的关注，而忽略了其 “感知 - 传输 - 处理 - 应用” 全链路的技术闭环，真正的物联网工程是 “硬件 + 软件 + 数据 + 场景” 的深度融合，需兼具技术实现与需求落地思维。​</w:t>
      </w:r>
    </w:p>
    <w:p w14:paraId="3F3F8A29">
      <w:pPr>
        <w:pStyle w:val="16"/>
        <w:widowControl/>
        <w:shd w:val="clear" w:color="auto" w:fill="FFFFFF"/>
        <w:jc w:val="both"/>
        <w:outlineLvl w:val="1"/>
        <w:rPr>
          <w:rFonts w:hint="eastAsia"/>
          <w:b/>
          <w:bCs/>
          <w:color w:val="auto"/>
          <w:sz w:val="30"/>
          <w:szCs w:val="30"/>
        </w:rPr>
      </w:pPr>
      <w:bookmarkStart w:id="8" w:name="_Toc9665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1.2 社会价值：专业的 “问题解决力”​</w:t>
      </w:r>
      <w:bookmarkEnd w:id="8"/>
    </w:p>
    <w:p w14:paraId="69EF6A0D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物联网工程专业的核心社会价值是打破 “信息孤岛”，通过技术手段实现物理世界与数字世界的联动，解决社会生产生活中的 “效率低、成本高、监管难” 等问题。在工业领域，工业物联网（IIoT）实现设备远程监控、预测性维护，降低工厂停机损失，如某汽车制造厂通过物联网系统将设备故障率降低 30%；在民生领域，智慧家居、智能穿戴设备提升生活便捷度，老年人智能手环的心率监测功能为健康安全提供保障；在公共服务领域，智慧交通通过车路协同技术缓解拥堵，智慧农业借助环境监测与自动灌溉系统提高农产品产量。随着数字经济与实体经济深度融合，专业价值正从 “单一设备互联” 向 “产业数字化转型赋能” 延伸，成为推动各行业智能化升级的核心支撑。​</w:t>
      </w:r>
    </w:p>
    <w:p w14:paraId="0770E645">
      <w:pPr>
        <w:pStyle w:val="16"/>
        <w:widowControl/>
        <w:shd w:val="clear" w:color="auto" w:fill="FFFFFF"/>
        <w:jc w:val="both"/>
        <w:outlineLvl w:val="0"/>
        <w:rPr>
          <w:rFonts w:hint="eastAsia"/>
          <w:color w:val="auto"/>
          <w:sz w:val="24"/>
          <w:szCs w:val="24"/>
        </w:rPr>
      </w:pPr>
      <w:bookmarkStart w:id="9" w:name="_Toc29619"/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二、行业发展现状与趋势</w:t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bookmarkEnd w:id="9"/>
    </w:p>
    <w:p w14:paraId="2E57D608">
      <w:pPr>
        <w:pStyle w:val="16"/>
        <w:widowControl/>
        <w:shd w:val="clear" w:color="auto" w:fill="FFFFFF"/>
        <w:jc w:val="both"/>
        <w:outlineLvl w:val="1"/>
        <w:rPr>
          <w:rFonts w:hint="eastAsia"/>
          <w:color w:val="auto"/>
          <w:sz w:val="24"/>
          <w:szCs w:val="24"/>
        </w:rPr>
      </w:pPr>
      <w:bookmarkStart w:id="10" w:name="_Toc9757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2.1 行业大数据分析（必备数据支撑）</w:t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bookmarkEnd w:id="10"/>
    </w:p>
    <w:p w14:paraId="0FF70546">
      <w:pPr>
        <w:pStyle w:val="16"/>
        <w:widowControl/>
        <w:shd w:val="clear" w:color="auto" w:fill="FFFFFF"/>
        <w:ind w:firstLine="480" w:firstLineChars="200"/>
        <w:jc w:val="center"/>
        <w:rPr>
          <w:rFonts w:hint="eastAsia"/>
          <w:color w:val="auto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72125" cy="3114675"/>
            <wp:effectExtent l="0" t="0" r="3175" b="952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r>
        <w:rPr>
          <w:rFonts w:ascii="Arial" w:hAnsi="Arial" w:eastAsia="宋体" w:cs="Arial"/>
          <w:i w:val="0"/>
          <w:iCs w:val="0"/>
          <w:caps w:val="0"/>
          <w:color w:val="666666"/>
          <w:spacing w:val="0"/>
          <w:sz w:val="18"/>
          <w:szCs w:val="18"/>
        </w:rPr>
        <w:t>数据来源：新华社、中商产业研究院整理</w:t>
      </w:r>
    </w:p>
    <w:p w14:paraId="7DB9D4F4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从图表可见，2019-2024 年中国物联网市场规模从 1.76 万亿元增长至 4.31 万亿元，年复合增长率达 22.3%，保持高速增长态势。2022 年增速小幅回落至 18.5%，主要受全球供应链波动影响；2023-2024 年增速回升至 25% 以上，核心驱动力包括 5G 网络规模化部署、工业互联网政策扶持、消费级物联网产品普及。深度分析来看：一是市场结构持续优化，软件与服务占比从 2020 年的 32% 提升至 2024 年的 47%，反映出行业从 “硬件依赖” 向 “价值服务” 转型；二是细分领域分化明显，工业物联网、智慧交通、智慧医疗贡献了 60% 以上的市场增量，成为核心增长引擎；三是人才需求缺口扩大，2024 年行业人才缺口达 450 万，其中嵌入式开发、物联网系统架构师等岗位供需比达 1:8，具备跨领域技能的复合型人才尤为紧缺。​</w:t>
      </w:r>
    </w:p>
    <w:p w14:paraId="5C5B59E8">
      <w:pPr>
        <w:pStyle w:val="16"/>
        <w:widowControl/>
        <w:shd w:val="clear" w:color="auto" w:fill="FFFFFF"/>
        <w:jc w:val="both"/>
        <w:outlineLvl w:val="1"/>
        <w:rPr>
          <w:rFonts w:hint="eastAsia"/>
          <w:color w:val="auto"/>
          <w:sz w:val="24"/>
          <w:szCs w:val="24"/>
        </w:rPr>
      </w:pPr>
      <w:bookmarkStart w:id="11" w:name="_Toc8205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2.2 行业新风口：细分领域机遇</w:t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bookmarkEnd w:id="11"/>
    </w:p>
    <w:p w14:paraId="34931B74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当前物联网行业三大热门细分领域：一是工业互联网边缘计算，兴起原因是工业场景对数据实时性、安全性要求提升，边缘计算可实现数据本地处理，降低网络延迟与带宽成本，未来 3-5 年市场规模预计年增长 35%；二是低功耗广域网（LPWAN）应用，以 LoRa、NB-IoT 为代表的技术适配智慧城市、农业物联网等远距离、低功耗场景，政策层面 “新基建” 对通信网络的支持进一步推动其普及；三是物联网安全，随着联网设备数量激增（2024 年中国物联网终端设备数突破 30 亿台），设备漏洞、数据泄露等安全风险凸显，行业对安全检测、加密防护技术的需求爆发式增长，人才缺口超 80 万。​</w:t>
      </w:r>
    </w:p>
    <w:p w14:paraId="5EF442EF">
      <w:pPr>
        <w:pStyle w:val="16"/>
        <w:widowControl/>
        <w:shd w:val="clear" w:color="auto" w:fill="FFFFFF"/>
        <w:jc w:val="both"/>
        <w:outlineLvl w:val="1"/>
        <w:rPr>
          <w:rFonts w:hint="eastAsia"/>
          <w:color w:val="auto"/>
          <w:sz w:val="24"/>
          <w:szCs w:val="24"/>
        </w:rPr>
      </w:pPr>
      <w:bookmarkStart w:id="12" w:name="_Toc3300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2.3 典型企业分析：头部玩家的布局</w:t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bookmarkEnd w:id="12"/>
    </w:p>
    <w:p w14:paraId="6BF984D2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华为：作为物联网基础设施提供商，近 2 年重点推进 “鸿蒙智联” 生态与 “华为云 IoT 平台” 项目，鸿蒙智联已连接超 8 亿台智能设备，覆盖家居、汽车、办公等场景，华为云 IoT 平台为工业、能源等行业提供 “连接 + 计算 + AI” 一体化解决方案。其布局反映出行业对 “生态化”“平台化” 的需求，要求从业者熟悉物联网操作系统与云平台应用。​</w:t>
      </w:r>
    </w:p>
    <w:p w14:paraId="7151A136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海康威视：物联网硬件与解决方案龙头企业，近期聚焦 “工业物联网传感器与边缘网关” 研发，推出支持多协议接入的智能传感器系列，适配智能制造场景的设备状态监测需求，同时布局 AI 视觉识别与物联网数据融合技术，实现 “感知 + 分析 + 决策” 的闭环。这体现了 “硬件 + AI + 场景” 的融合趋势，需要技术人员具备传感器技术与数据处理的跨领域能力。​</w:t>
      </w:r>
    </w:p>
    <w:p w14:paraId="050CF40F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西门子（外企）：深耕工业物联网领域，推进 “MindSphere 工业云平台” 本土化落地，为中国制造业企业提供设备联网、生产流程数字化改造服务，近期推出 “数字孪生 + 物联网” 解决方案，帮助汽车、电子等行业实现虚拟仿真与实体生产的联动。这表明行业对 “高端制造 + 物联网” 融合应用的重视，要求从业者具备工业场景认知与系统集成能力。​</w:t>
      </w:r>
    </w:p>
    <w:p w14:paraId="26728391">
      <w:pPr>
        <w:pStyle w:val="16"/>
        <w:widowControl/>
        <w:shd w:val="clear" w:color="auto" w:fill="FFFFFF"/>
        <w:jc w:val="both"/>
        <w:outlineLvl w:val="0"/>
        <w:rPr>
          <w:rFonts w:hint="eastAsia"/>
          <w:color w:val="auto"/>
          <w:sz w:val="24"/>
          <w:szCs w:val="24"/>
        </w:rPr>
      </w:pPr>
      <w:bookmarkStart w:id="13" w:name="_Toc19419"/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三、AI 技术对行业的颠覆与重塑</w:t>
      </w:r>
      <w:bookmarkEnd w:id="13"/>
    </w:p>
    <w:p w14:paraId="6F155BDF">
      <w:pPr>
        <w:pStyle w:val="16"/>
        <w:widowControl/>
        <w:shd w:val="clear" w:color="auto" w:fill="FFFFFF"/>
        <w:jc w:val="both"/>
        <w:outlineLvl w:val="1"/>
        <w:rPr>
          <w:rFonts w:hint="eastAsia"/>
          <w:b/>
          <w:bCs/>
          <w:color w:val="auto"/>
          <w:sz w:val="30"/>
          <w:szCs w:val="30"/>
        </w:rPr>
      </w:pPr>
      <w:bookmarkStart w:id="14" w:name="_Toc32305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3.1 AI 工具的行业落地场景​</w:t>
      </w:r>
      <w:bookmarkEnd w:id="14"/>
    </w:p>
    <w:p w14:paraId="222E7194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通用 AI 工具：Copilot（代码生成）、TensorFlow/PyTorch（机器学习框架）、Excel Power BI（数据可视化）。Copilot 替代了 “物联网设备驱动程序初稿编写”“通信协议适配代码生成” 等环节，原本需要 4 小时的嵌入式代码开发，AI 可在 30 分钟内生成基础框架并标注关键优化点；TensorFlow/PyTorch 替代了 “物联网数据特征提取”“异常检测模型训练” 的基础环节，传统人工建模需 1-2 周的数据分析工作，借助 AI 框架可缩短至 3 天内完成。​</w:t>
      </w:r>
    </w:p>
    <w:p w14:paraId="4529A300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行业专用 AI 工具：华为云 IoT AI 引擎、阿里物联网平台智能分析模块、研华 WISE-PaaS AI 套件。华为云 IoT AI 引擎替代了 “设备故障预测” 的传统人工诊断环节，通过分析设备运行数据自动识别异常特征，提前预警故障风险；阿里物联网平台智能分析模块替代了 “物联网海量数据清洗与分类” 工作，传统人工处理 100 万条设备数据需 2 天，AI 工具可在 2 小时内完成且准确率达 98%；研华 WISE-PaaS AI 套件则实现了 “生产场景物联网数据与 AI 算法的快速集成”，替代了传统 “算法与硬件适配的反复调试” 环节，缩短项目落地周期。​</w:t>
      </w:r>
    </w:p>
    <w:p w14:paraId="023A570B">
      <w:pPr>
        <w:pStyle w:val="16"/>
        <w:widowControl/>
        <w:shd w:val="clear" w:color="auto" w:fill="FFFFFF"/>
        <w:jc w:val="both"/>
        <w:outlineLvl w:val="1"/>
        <w:rPr>
          <w:rFonts w:hint="eastAsia"/>
          <w:b/>
          <w:bCs/>
          <w:color w:val="auto"/>
          <w:sz w:val="36"/>
          <w:szCs w:val="36"/>
        </w:rPr>
      </w:pPr>
      <w:bookmarkStart w:id="15" w:name="_Toc23149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3.2 正面影响：效率革命与价值升级</w:t>
      </w:r>
      <w:r>
        <w:rPr>
          <w:rFonts w:hint="eastAsia"/>
          <w:b/>
          <w:bCs/>
          <w:color w:val="auto"/>
          <w:sz w:val="36"/>
          <w:szCs w:val="36"/>
          <w:lang w:val="en-US" w:eastAsia="zh-CN"/>
        </w:rPr>
        <w:t>​</w:t>
      </w:r>
      <w:bookmarkEnd w:id="15"/>
    </w:p>
    <w:p w14:paraId="4619BC2A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AI 技术对物联网行业的效率提升体现在三个维度：一是开发效率提升，AI 工具简化了代码编写、模型训练、协议适配等基础工作，物联网系统开发周期平均缩短 40%，如某智慧农业项目原本 6 个月的开发周期，借助 AI 工具压缩至 3.5 个月；二是运维效率优化，AI 驱动的预测性维护替代了传统 “定期检修”，设备维护成本降低 50% 以上，某工厂通过 AI 分析物联网传感器数据，将设备维护频率从每月 1 次优化为 “按需维护”，年节省维护费用超 200 万元；三是数据价值释放，AI 算法能从海量物联网数据中挖掘隐藏规律，如智慧交通系统通过 AI 分析车流量数据，实现信号灯动态调控，道路通行效率提升 25%。同时，AI 推动物联网行业从 “数据采集” 向 “智能决策” 升级，从业者工作重心从 “技术实现” 转向 “场景理解 + 方案设计”，创造更高价值。​</w:t>
      </w:r>
    </w:p>
    <w:p w14:paraId="59516003">
      <w:pPr>
        <w:pStyle w:val="16"/>
        <w:widowControl/>
        <w:shd w:val="clear" w:color="auto" w:fill="FFFFFF"/>
        <w:jc w:val="both"/>
        <w:outlineLvl w:val="1"/>
        <w:rPr>
          <w:rFonts w:hint="eastAsia"/>
          <w:color w:val="auto"/>
          <w:sz w:val="24"/>
          <w:szCs w:val="24"/>
        </w:rPr>
      </w:pPr>
      <w:bookmarkStart w:id="16" w:name="_Toc26928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3.3 负面挑战与危机应对</w:t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bookmarkEnd w:id="16"/>
    </w:p>
    <w:p w14:paraId="490FB271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消失的初级岗位：受 AI 冲击最明显的初级岗位包括 “物联网设备调试员”“基础代码编写员”“数据录入与整理专员”。例如，AI 调试工具可自动识别设备连接故障并给出解决方案，使得初级调试岗位需求减少 30%；基础嵌入式代码的自动化生成，让仅掌握简单编程技能的从业者面临淘汰风险。​</w:t>
      </w:r>
    </w:p>
    <w:p w14:paraId="3D24D6C0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技术性失业风险评估：结合行业报告，物联网工程专业学生面临的技术性失业风险等级为 “中等”。核心原因：一是初级技术岗位被替代的速度较快，但中高端岗位（如系统架构师、场景解决方案专家）因需要跨领域整合与创新能力，AI 短期内难以替代；二是行业整体人才缺口仍在扩大，AI 替代的主要是 “重复性、流程化” 工作，而非核心技术与创意环节。​</w:t>
      </w:r>
    </w:p>
    <w:p w14:paraId="5A33D54D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个人应对思路：一是 “技术深耕 + 跨界拓展”，在夯实嵌入式开发、通信协议等核心技术的基础上，学习 AI 基础算法与行业场景知识，打造 “物联网 + AI + 行业” 的复合技能标签；二是 “主动拥抱 AI 工具”，将 AI 作为效率提升工具，而非竞争对手，熟练掌握物联网专用 AI 平台的应用，提升工作产出质量；三是 “强化实践能力”，通过参与校企合作项目、开源物联网项目，积累场景化解决方案经验，形成不可替代的核心竞争力。​</w:t>
      </w:r>
    </w:p>
    <w:p w14:paraId="5173DB27">
      <w:pPr>
        <w:pStyle w:val="16"/>
        <w:widowControl/>
        <w:shd w:val="clear" w:color="auto" w:fill="FFFFFF"/>
        <w:jc w:val="both"/>
        <w:outlineLvl w:val="0"/>
        <w:rPr>
          <w:rFonts w:hint="eastAsia"/>
          <w:color w:val="auto"/>
          <w:sz w:val="24"/>
          <w:szCs w:val="24"/>
        </w:rPr>
      </w:pPr>
      <w:bookmarkStart w:id="17" w:name="_Toc6899"/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四、我的目标岗位与行动规划</w:t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bookmarkEnd w:id="17"/>
    </w:p>
    <w:p w14:paraId="0E389ECF">
      <w:pPr>
        <w:pStyle w:val="16"/>
        <w:widowControl/>
        <w:shd w:val="clear" w:color="auto" w:fill="FFFFFF"/>
        <w:jc w:val="both"/>
        <w:outlineLvl w:val="1"/>
        <w:rPr>
          <w:rFonts w:hint="eastAsia"/>
          <w:color w:val="auto"/>
          <w:sz w:val="24"/>
          <w:szCs w:val="24"/>
        </w:rPr>
      </w:pPr>
      <w:bookmarkStart w:id="18" w:name="_Toc21051"/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4.1 目标岗位画像（精准锁定）</w:t>
      </w:r>
      <w:r>
        <w:rPr>
          <w:rFonts w:hint="eastAsia"/>
          <w:color w:val="auto"/>
          <w:sz w:val="24"/>
          <w:szCs w:val="24"/>
          <w:lang w:val="en-US" w:eastAsia="zh-CN"/>
        </w:rPr>
        <w:t>​</w:t>
      </w:r>
      <w:bookmarkEnd w:id="18"/>
    </w:p>
    <w:p w14:paraId="05479423">
      <w:pPr>
        <w:pStyle w:val="16"/>
        <w:widowControl/>
        <w:shd w:val="clear" w:color="auto" w:fill="FFFFFF"/>
        <w:ind w:firstLine="480" w:firstLineChars="200"/>
        <w:jc w:val="both"/>
        <w:rPr>
          <w:rFonts w:hint="eastAsia"/>
          <w:color w:val="auto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基于前文行业趋势与 AI 影响分析，我的核心目标岗位是工业物联网嵌入式开发工程师。该岗位的核心职责包括：一是物联网终端设备（传感器、控制器）的嵌入式软件开发，适配 ARM 架构，熟练运用 C/C++ 语言编写驱动程序；二是通信协议（Modbus、MQTT、LoRa）的移植与优化，确保设备与网关、云平台的稳定通信；三是与硬件工程师、算法工程师协作，完成工业场景物联网系统的调试与落地；四是基于边缘计算需求，优化终端数据处理逻辑，降低网络传输压力。岗位适配性方面，我已掌握 C/C++ 编程、STM32 嵌入式开发基础，具备传感器原理与数据采集知识，且对工业生产场景有一定认知，符合岗位核心技能要求。​</w:t>
      </w:r>
    </w:p>
    <w:sectPr>
      <w:headerReference r:id="rId5" w:type="default"/>
      <w:footerReference r:id="rId6" w:type="default"/>
      <w:footnotePr>
        <w:pos w:val="beneathText"/>
      </w:footnotePr>
      <w:pgSz w:w="11907" w:h="16840"/>
      <w:pgMar w:top="1417" w:right="1134" w:bottom="1134" w:left="1701" w:header="720" w:footer="720" w:gutter="42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12425">
    <w:pPr>
      <w:pStyle w:val="10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4E2C71BD">
                          <w:pPr>
                            <w:pStyle w:val="1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0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aYJL0wAAAAUBAAAPAAAAAAAAAAEAIAAAACIAAABk&#10;cnMvZG93bnJldi54bWxQSwECFAAUAAAACACHTuJAmAodudIBAACkAwAADgAAAAAAAAABACAAAAAi&#10;AQAAZHJzL2Uyb0RvYy54bWxQSwUGAAAAAAYABgBZAQAAZgUA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4E2C71BD">
                    <w:pPr>
                      <w:pStyle w:val="1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31FE9FF">
                          <w:pPr>
                            <w:pStyle w:val="10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3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aGmCS9MAAAAFAQAADwAAAAAAAAABACAAAAAiAAAA&#10;ZHJzL2Rvd25yZXYueG1sUEsBAhQAFAAAAAgAh07iQI5a1afTAQAApAMAAA4AAAAAAAAAAQAgAAAA&#10;IgEAAGRycy9lMm9Eb2MueG1sUEsFBgAAAAAGAAYAWQEAAGcFAAAAAA=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31FE9FF">
                    <w:pPr>
                      <w:pStyle w:val="10"/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eastAsia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021080" cy="147955"/>
              <wp:effectExtent l="0" t="0" r="0" b="0"/>
              <wp:wrapNone/>
              <wp:docPr id="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108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FFEA74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rect id="文本框 14" o:spid="_x0000_s1026" o:spt="1" style="position:absolute;left:0pt;margin-top:0.05pt;height:11.65pt;width:80.4pt;mso-position-horizontal:center;mso-position-horizontal-relative:margin;z-index:251659264;mso-width-relative:page;mso-height-relative:page;" filled="f" stroked="f" coordsize="21600,21600" o:gfxdata="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7Pi4dUAAAAEAQAADwAAAAAAAAABACAAAAAiAAAAZHJzL2Rvd25yZXYueG1sUEsBAhQAFAAAAAgA&#10;h07iQEvsaK+2AQAAaQMAAA4AAAAAAAAAAQAgAAAAJ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FFEA74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hint="eastAsia" w:eastAsia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7955"/>
              <wp:effectExtent l="0" t="0" r="0" b="0"/>
              <wp:wrapNone/>
              <wp:docPr id="5" name="矩形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7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FF1CB7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     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9" o:spid="_x0000_s1026" o:spt="1" style="position:absolute;left:0pt;margin-top:0pt;height:11.65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Vb+ENEAAAACAQAADwAAAAAAAAABACAAAAAiAAAAZHJzL2Rvd25yZXYueG1sUEsB&#10;AhQAFAAAAAgAh07iQMfDefbDAQAAiQMAAA4AAAAAAAAAAQAgAAAAIA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FF1CB7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     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 w:eastAsia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47955"/>
              <wp:effectExtent l="0" t="0" r="0" b="0"/>
              <wp:wrapNone/>
              <wp:docPr id="6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93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87812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10" o:spid="_x0000_s1026" o:spt="1" style="position:absolute;left:0pt;margin-top:0pt;height:11.6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z/E4TRAAAAAwEAAA8AAAAAAAAAAQAgAAAAIgAAAGRycy9kb3ducmV2LnhtbFBL&#10;AQIUABQAAAAIAIdO4kBEHRu+xAEAAIsDAAAOAAAAAAAAAAEAIAAAACA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3087812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A4969">
    <w:pPr>
      <w:pStyle w:val="11"/>
      <w:jc w:val="both"/>
      <w:rPr>
        <w:rFonts w:hint="eastAsia"/>
      </w:rPr>
    </w:pPr>
    <w:r>
      <w:rPr>
        <w:rFonts w:hint="eastAsia" w:eastAsia="Times New Roman"/>
        <w:sz w:val="21"/>
        <w:szCs w:val="21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1133475</wp:posOffset>
          </wp:positionH>
          <wp:positionV relativeFrom="page">
            <wp:posOffset>386080</wp:posOffset>
          </wp:positionV>
          <wp:extent cx="1499870" cy="217170"/>
          <wp:effectExtent l="0" t="0" r="11430" b="11430"/>
          <wp:wrapNone/>
          <wp:docPr id="7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9870" cy="217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alignBordersAndEdges w:val="1"/>
  <w:bordersDoNotSurroundHeader w:val="0"/>
  <w:bordersDoNotSurroundFooter w:val="0"/>
  <w:doNotTrackMoves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hdrShapeDefaults>
    <o:shapelayout v:ext="edit">
      <o:idmap v:ext="edit" data="1"/>
    </o:shapelayout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2BC"/>
    <w:rsid w:val="00036434"/>
    <w:rsid w:val="00042122"/>
    <w:rsid w:val="0006376B"/>
    <w:rsid w:val="00084D46"/>
    <w:rsid w:val="000B6608"/>
    <w:rsid w:val="000C0624"/>
    <w:rsid w:val="000F34D3"/>
    <w:rsid w:val="000F7749"/>
    <w:rsid w:val="0011200E"/>
    <w:rsid w:val="00131F83"/>
    <w:rsid w:val="001532B8"/>
    <w:rsid w:val="001545AD"/>
    <w:rsid w:val="00163480"/>
    <w:rsid w:val="00180672"/>
    <w:rsid w:val="00192972"/>
    <w:rsid w:val="00192B76"/>
    <w:rsid w:val="001A0C63"/>
    <w:rsid w:val="001A27CB"/>
    <w:rsid w:val="001D45C9"/>
    <w:rsid w:val="001E38A1"/>
    <w:rsid w:val="001E41A1"/>
    <w:rsid w:val="00202AFB"/>
    <w:rsid w:val="00213688"/>
    <w:rsid w:val="0027038A"/>
    <w:rsid w:val="002A446B"/>
    <w:rsid w:val="002C683B"/>
    <w:rsid w:val="002D5C59"/>
    <w:rsid w:val="002F0861"/>
    <w:rsid w:val="003B3091"/>
    <w:rsid w:val="003E5AB9"/>
    <w:rsid w:val="004017E6"/>
    <w:rsid w:val="00405CA4"/>
    <w:rsid w:val="004218EF"/>
    <w:rsid w:val="0043165B"/>
    <w:rsid w:val="00435836"/>
    <w:rsid w:val="0044142B"/>
    <w:rsid w:val="00442DA8"/>
    <w:rsid w:val="00455578"/>
    <w:rsid w:val="00456C43"/>
    <w:rsid w:val="004A3DA7"/>
    <w:rsid w:val="004F07CC"/>
    <w:rsid w:val="004F0C69"/>
    <w:rsid w:val="00511CA7"/>
    <w:rsid w:val="00520125"/>
    <w:rsid w:val="0053694C"/>
    <w:rsid w:val="005A11C7"/>
    <w:rsid w:val="005B1474"/>
    <w:rsid w:val="005B38E1"/>
    <w:rsid w:val="005B6A22"/>
    <w:rsid w:val="005D59E3"/>
    <w:rsid w:val="005E5062"/>
    <w:rsid w:val="00602EC7"/>
    <w:rsid w:val="006602C4"/>
    <w:rsid w:val="00674CD7"/>
    <w:rsid w:val="00675112"/>
    <w:rsid w:val="0069454F"/>
    <w:rsid w:val="00697A20"/>
    <w:rsid w:val="006D16D2"/>
    <w:rsid w:val="006F58C0"/>
    <w:rsid w:val="00710194"/>
    <w:rsid w:val="007160E9"/>
    <w:rsid w:val="00724DB9"/>
    <w:rsid w:val="00746CA9"/>
    <w:rsid w:val="00773CF2"/>
    <w:rsid w:val="007859C1"/>
    <w:rsid w:val="00793F28"/>
    <w:rsid w:val="007C187C"/>
    <w:rsid w:val="007C30B6"/>
    <w:rsid w:val="007D1E5C"/>
    <w:rsid w:val="007D792F"/>
    <w:rsid w:val="00834514"/>
    <w:rsid w:val="00834F79"/>
    <w:rsid w:val="008526ED"/>
    <w:rsid w:val="008A0338"/>
    <w:rsid w:val="008A2D41"/>
    <w:rsid w:val="008E3CEA"/>
    <w:rsid w:val="008F7B09"/>
    <w:rsid w:val="009047BE"/>
    <w:rsid w:val="00931142"/>
    <w:rsid w:val="00936539"/>
    <w:rsid w:val="009605E4"/>
    <w:rsid w:val="00967C2D"/>
    <w:rsid w:val="009852AF"/>
    <w:rsid w:val="009E11AC"/>
    <w:rsid w:val="00A31BB5"/>
    <w:rsid w:val="00A342BC"/>
    <w:rsid w:val="00A41948"/>
    <w:rsid w:val="00A45360"/>
    <w:rsid w:val="00A52E6A"/>
    <w:rsid w:val="00A86491"/>
    <w:rsid w:val="00A917AD"/>
    <w:rsid w:val="00AB449D"/>
    <w:rsid w:val="00AB752B"/>
    <w:rsid w:val="00AC2564"/>
    <w:rsid w:val="00AE7429"/>
    <w:rsid w:val="00B30B76"/>
    <w:rsid w:val="00B51ADE"/>
    <w:rsid w:val="00B762B5"/>
    <w:rsid w:val="00B771BA"/>
    <w:rsid w:val="00B911BE"/>
    <w:rsid w:val="00BB1EEF"/>
    <w:rsid w:val="00BB41CC"/>
    <w:rsid w:val="00BE5A27"/>
    <w:rsid w:val="00BF1554"/>
    <w:rsid w:val="00C165B8"/>
    <w:rsid w:val="00C33856"/>
    <w:rsid w:val="00C342C4"/>
    <w:rsid w:val="00C63AB0"/>
    <w:rsid w:val="00C76228"/>
    <w:rsid w:val="00CC2417"/>
    <w:rsid w:val="00CC3E4B"/>
    <w:rsid w:val="00CC46C5"/>
    <w:rsid w:val="00CE3925"/>
    <w:rsid w:val="00D065BA"/>
    <w:rsid w:val="00D12AA6"/>
    <w:rsid w:val="00D3068A"/>
    <w:rsid w:val="00D573AC"/>
    <w:rsid w:val="00D62EA8"/>
    <w:rsid w:val="00D775FD"/>
    <w:rsid w:val="00D86866"/>
    <w:rsid w:val="00DF4773"/>
    <w:rsid w:val="00E44E3B"/>
    <w:rsid w:val="00E64A4A"/>
    <w:rsid w:val="00E90B6C"/>
    <w:rsid w:val="00E962D1"/>
    <w:rsid w:val="00EA4375"/>
    <w:rsid w:val="00ED0BB3"/>
    <w:rsid w:val="00EF49BA"/>
    <w:rsid w:val="00F17C0F"/>
    <w:rsid w:val="00F2458E"/>
    <w:rsid w:val="00F37046"/>
    <w:rsid w:val="00F56C1E"/>
    <w:rsid w:val="00F6466E"/>
    <w:rsid w:val="00F84845"/>
    <w:rsid w:val="00FB4A65"/>
    <w:rsid w:val="00FD4934"/>
    <w:rsid w:val="00FF1271"/>
    <w:rsid w:val="036A1510"/>
    <w:rsid w:val="036D2DAF"/>
    <w:rsid w:val="036F750B"/>
    <w:rsid w:val="04050134"/>
    <w:rsid w:val="04D33D4C"/>
    <w:rsid w:val="05D215EF"/>
    <w:rsid w:val="06F04422"/>
    <w:rsid w:val="078E0AF3"/>
    <w:rsid w:val="07F215CD"/>
    <w:rsid w:val="085D7896"/>
    <w:rsid w:val="0928626A"/>
    <w:rsid w:val="093B2F42"/>
    <w:rsid w:val="097F1A8E"/>
    <w:rsid w:val="0BF66BB1"/>
    <w:rsid w:val="0CB6579F"/>
    <w:rsid w:val="0D495F97"/>
    <w:rsid w:val="0D4B6B9D"/>
    <w:rsid w:val="0D955AAF"/>
    <w:rsid w:val="0E2F5830"/>
    <w:rsid w:val="0EAC36DE"/>
    <w:rsid w:val="0F7E3477"/>
    <w:rsid w:val="0FDC19E8"/>
    <w:rsid w:val="115328E2"/>
    <w:rsid w:val="134358DA"/>
    <w:rsid w:val="14A66120"/>
    <w:rsid w:val="14C36CD2"/>
    <w:rsid w:val="15E2439E"/>
    <w:rsid w:val="172041D4"/>
    <w:rsid w:val="1833366D"/>
    <w:rsid w:val="18F338FE"/>
    <w:rsid w:val="1A501737"/>
    <w:rsid w:val="1C8E5E18"/>
    <w:rsid w:val="1CB74E3A"/>
    <w:rsid w:val="1CC23D13"/>
    <w:rsid w:val="1E470974"/>
    <w:rsid w:val="1E57483D"/>
    <w:rsid w:val="1E6E4153"/>
    <w:rsid w:val="1F4D3D68"/>
    <w:rsid w:val="202A3F86"/>
    <w:rsid w:val="21E06624"/>
    <w:rsid w:val="22A531AF"/>
    <w:rsid w:val="234C6B76"/>
    <w:rsid w:val="2425685A"/>
    <w:rsid w:val="252C08C4"/>
    <w:rsid w:val="25BE30F8"/>
    <w:rsid w:val="28061D38"/>
    <w:rsid w:val="298365D8"/>
    <w:rsid w:val="2A035513"/>
    <w:rsid w:val="2A44220C"/>
    <w:rsid w:val="2A755335"/>
    <w:rsid w:val="2AAE58D7"/>
    <w:rsid w:val="2AFF31CA"/>
    <w:rsid w:val="2B015B8B"/>
    <w:rsid w:val="2D452F54"/>
    <w:rsid w:val="2D5E5392"/>
    <w:rsid w:val="2D9149BE"/>
    <w:rsid w:val="2DB56811"/>
    <w:rsid w:val="2EC456C9"/>
    <w:rsid w:val="30B6355D"/>
    <w:rsid w:val="311B14D9"/>
    <w:rsid w:val="31473455"/>
    <w:rsid w:val="314D403B"/>
    <w:rsid w:val="32B85545"/>
    <w:rsid w:val="33250136"/>
    <w:rsid w:val="340706E9"/>
    <w:rsid w:val="34421F4E"/>
    <w:rsid w:val="348162E5"/>
    <w:rsid w:val="369F292C"/>
    <w:rsid w:val="37725F67"/>
    <w:rsid w:val="38534CB0"/>
    <w:rsid w:val="395D3729"/>
    <w:rsid w:val="39A131D7"/>
    <w:rsid w:val="39CC5F2D"/>
    <w:rsid w:val="3AF55DC9"/>
    <w:rsid w:val="3BB16FD5"/>
    <w:rsid w:val="3BF93D1E"/>
    <w:rsid w:val="3C985A13"/>
    <w:rsid w:val="3CA8662A"/>
    <w:rsid w:val="3CDC4526"/>
    <w:rsid w:val="3D84116E"/>
    <w:rsid w:val="3DE90CA8"/>
    <w:rsid w:val="3E23065E"/>
    <w:rsid w:val="3E6A003B"/>
    <w:rsid w:val="3E826CA3"/>
    <w:rsid w:val="3F1104B7"/>
    <w:rsid w:val="40E02836"/>
    <w:rsid w:val="41D831D7"/>
    <w:rsid w:val="428C108B"/>
    <w:rsid w:val="432A3AEC"/>
    <w:rsid w:val="437901D9"/>
    <w:rsid w:val="442104D5"/>
    <w:rsid w:val="45E16C31"/>
    <w:rsid w:val="45E7184E"/>
    <w:rsid w:val="47C87B80"/>
    <w:rsid w:val="4A2D016F"/>
    <w:rsid w:val="4ADD3943"/>
    <w:rsid w:val="4BA97CC9"/>
    <w:rsid w:val="4BB103FB"/>
    <w:rsid w:val="4C51283A"/>
    <w:rsid w:val="4D350769"/>
    <w:rsid w:val="4E742643"/>
    <w:rsid w:val="4F5D3D75"/>
    <w:rsid w:val="4F734876"/>
    <w:rsid w:val="502801A5"/>
    <w:rsid w:val="51CD69B7"/>
    <w:rsid w:val="51DB43E6"/>
    <w:rsid w:val="51F021AD"/>
    <w:rsid w:val="52154D37"/>
    <w:rsid w:val="52E37F64"/>
    <w:rsid w:val="534C3D5B"/>
    <w:rsid w:val="540F0375"/>
    <w:rsid w:val="55FD211F"/>
    <w:rsid w:val="56B05446"/>
    <w:rsid w:val="57DD5F3B"/>
    <w:rsid w:val="58E81E30"/>
    <w:rsid w:val="59DD395F"/>
    <w:rsid w:val="5DB37248"/>
    <w:rsid w:val="5DB623CB"/>
    <w:rsid w:val="5E0537CF"/>
    <w:rsid w:val="5E525F9E"/>
    <w:rsid w:val="6045400C"/>
    <w:rsid w:val="613F1997"/>
    <w:rsid w:val="620D32E9"/>
    <w:rsid w:val="6237778B"/>
    <w:rsid w:val="628E1C9B"/>
    <w:rsid w:val="62C61FCA"/>
    <w:rsid w:val="65BC6ABB"/>
    <w:rsid w:val="65FC5ADD"/>
    <w:rsid w:val="66285F62"/>
    <w:rsid w:val="66743939"/>
    <w:rsid w:val="6686712D"/>
    <w:rsid w:val="66ED2D08"/>
    <w:rsid w:val="673C1CED"/>
    <w:rsid w:val="67584625"/>
    <w:rsid w:val="67902011"/>
    <w:rsid w:val="69981651"/>
    <w:rsid w:val="69A81DE6"/>
    <w:rsid w:val="6ACE6346"/>
    <w:rsid w:val="6BB65DBE"/>
    <w:rsid w:val="6C0079BC"/>
    <w:rsid w:val="6C7B022D"/>
    <w:rsid w:val="6CA246C6"/>
    <w:rsid w:val="6DC742B3"/>
    <w:rsid w:val="6EE65E38"/>
    <w:rsid w:val="6FBD4DD8"/>
    <w:rsid w:val="719637E6"/>
    <w:rsid w:val="725D5159"/>
    <w:rsid w:val="731A1CC8"/>
    <w:rsid w:val="731D6723"/>
    <w:rsid w:val="73F44E67"/>
    <w:rsid w:val="7535244A"/>
    <w:rsid w:val="7568637B"/>
    <w:rsid w:val="75B710B1"/>
    <w:rsid w:val="75FB71EF"/>
    <w:rsid w:val="762D1373"/>
    <w:rsid w:val="764E7C2F"/>
    <w:rsid w:val="76BD26F7"/>
    <w:rsid w:val="77397956"/>
    <w:rsid w:val="77BD4980"/>
    <w:rsid w:val="77DF61B9"/>
    <w:rsid w:val="79312F28"/>
    <w:rsid w:val="79A56C22"/>
    <w:rsid w:val="79EB767A"/>
    <w:rsid w:val="7C413482"/>
    <w:rsid w:val="7CAA1027"/>
    <w:rsid w:val="7E7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qFormat="1" w:uiPriority="0" w:semiHidden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qFormat="1" w:uiPriority="0" w:semiHidden="0" w:name="table of figures"/>
    <w:lsdException w:uiPriority="0" w:name="envelope address"/>
    <w:lsdException w:uiPriority="0" w:name="envelope return"/>
    <w:lsdException w:qFormat="1" w:uiPriority="0" w:semiHidden="0" w:name="footnote reference"/>
    <w:lsdException w:uiPriority="0" w:name="annotation reference"/>
    <w:lsdException w:uiPriority="0" w:name="line number"/>
    <w:lsdException w:qFormat="1" w:uiPriority="0" w:semiHidden="0" w:name="page number"/>
    <w:lsdException w:uiPriority="0" w:name="endnote reference"/>
    <w:lsdException w:uiPriority="0" w:name="endnote text"/>
    <w:lsdException w:qFormat="1" w:uiPriority="0" w:semiHidden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宋体" w:hAnsi="宋体" w:eastAsia="宋体" w:cs="宋体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480" w:lineRule="auto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黑体" w:hAnsi="黑体" w:eastAsia="黑体" w:cs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黑体" w:hAnsi="黑体" w:eastAsia="黑体"/>
      <w:b/>
      <w:bCs/>
      <w:sz w:val="28"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authorities"/>
    <w:basedOn w:val="1"/>
    <w:next w:val="1"/>
    <w:unhideWhenUsed/>
    <w:qFormat/>
    <w:uiPriority w:val="0"/>
    <w:pPr>
      <w:ind w:left="420" w:leftChars="200"/>
    </w:p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Plain Text"/>
    <w:basedOn w:val="1"/>
    <w:link w:val="32"/>
    <w:qFormat/>
    <w:uiPriority w:val="0"/>
    <w:rPr>
      <w:rFonts w:hAnsi="Courier New" w:cs="Times New Roman"/>
      <w:szCs w:val="20"/>
    </w:rPr>
  </w:style>
  <w:style w:type="paragraph" w:styleId="8">
    <w:name w:val="Body Text Indent 2"/>
    <w:basedOn w:val="1"/>
    <w:link w:val="30"/>
    <w:qFormat/>
    <w:uiPriority w:val="0"/>
    <w:pPr>
      <w:ind w:firstLine="480" w:firstLineChars="200"/>
    </w:pPr>
    <w:rPr>
      <w:rFonts w:cs="Times New Roman"/>
      <w:szCs w:val="24"/>
    </w:rPr>
  </w:style>
  <w:style w:type="paragraph" w:styleId="9">
    <w:name w:val="Balloon Text"/>
    <w:basedOn w:val="1"/>
    <w:link w:val="33"/>
    <w:unhideWhenUsed/>
    <w:qFormat/>
    <w:uiPriority w:val="0"/>
    <w:rPr>
      <w:sz w:val="18"/>
      <w:szCs w:val="18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footnote text"/>
    <w:basedOn w:val="1"/>
    <w:link w:val="34"/>
    <w:unhideWhenUsed/>
    <w:qFormat/>
    <w:uiPriority w:val="0"/>
    <w:pPr>
      <w:snapToGrid w:val="0"/>
    </w:pPr>
    <w:rPr>
      <w:sz w:val="18"/>
      <w:szCs w:val="18"/>
    </w:rPr>
  </w:style>
  <w:style w:type="paragraph" w:styleId="14">
    <w:name w:val="table of figures"/>
    <w:basedOn w:val="1"/>
    <w:next w:val="1"/>
    <w:unhideWhenUsed/>
    <w:qFormat/>
    <w:uiPriority w:val="0"/>
    <w:pPr>
      <w:ind w:left="200" w:leftChars="200" w:hanging="200" w:hangingChars="200"/>
    </w:pPr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unhideWhenUsed/>
    <w:qFormat/>
    <w:uiPriority w:val="0"/>
  </w:style>
  <w:style w:type="character" w:styleId="19">
    <w:name w:val="page number"/>
    <w:basedOn w:val="18"/>
    <w:unhideWhenUsed/>
    <w:qFormat/>
    <w:uiPriority w:val="0"/>
  </w:style>
  <w:style w:type="character" w:styleId="20">
    <w:name w:val="Hyperlink"/>
    <w:unhideWhenUsed/>
    <w:qFormat/>
    <w:uiPriority w:val="99"/>
    <w:rPr>
      <w:color w:val="0000FF"/>
      <w:u w:val="single"/>
    </w:rPr>
  </w:style>
  <w:style w:type="character" w:styleId="21">
    <w:name w:val="footnote reference"/>
    <w:unhideWhenUsed/>
    <w:qFormat/>
    <w:uiPriority w:val="0"/>
    <w:rPr>
      <w:vertAlign w:val="superscript"/>
    </w:rPr>
  </w:style>
  <w:style w:type="paragraph" w:customStyle="1" w:styleId="22">
    <w:name w:val="列出段落1"/>
    <w:basedOn w:val="1"/>
    <w:qFormat/>
    <w:uiPriority w:val="34"/>
    <w:pPr>
      <w:ind w:left="720"/>
      <w:contextualSpacing/>
    </w:pPr>
  </w:style>
  <w:style w:type="paragraph" w:customStyle="1" w:styleId="23">
    <w:name w:val="二级标题"/>
    <w:basedOn w:val="1"/>
    <w:qFormat/>
    <w:uiPriority w:val="0"/>
    <w:pPr>
      <w:outlineLvl w:val="1"/>
    </w:pPr>
    <w:rPr>
      <w:rFonts w:ascii="Times New Roman" w:hAnsi="Times New Roman" w:eastAsia="黑体" w:cs="Times New Roman"/>
      <w:bCs/>
      <w:sz w:val="30"/>
      <w:szCs w:val="24"/>
    </w:rPr>
  </w:style>
  <w:style w:type="paragraph" w:customStyle="1" w:styleId="24">
    <w:name w:val="三级标题"/>
    <w:basedOn w:val="1"/>
    <w:qFormat/>
    <w:uiPriority w:val="0"/>
    <w:pPr>
      <w:outlineLvl w:val="2"/>
    </w:pPr>
    <w:rPr>
      <w:rFonts w:ascii="Times New Roman" w:hAnsi="Times New Roman" w:eastAsia="黑体" w:cs="Times New Roman"/>
      <w:sz w:val="28"/>
      <w:szCs w:val="24"/>
    </w:rPr>
  </w:style>
  <w:style w:type="paragraph" w:customStyle="1" w:styleId="25">
    <w:name w:val="正文格式"/>
    <w:basedOn w:val="8"/>
    <w:qFormat/>
    <w:uiPriority w:val="0"/>
    <w:pPr>
      <w:spacing w:line="400" w:lineRule="exact"/>
      <w:ind w:firstLine="200"/>
    </w:pPr>
    <w:rPr>
      <w:rFonts w:ascii="Times New Roman" w:hAnsi="Times New Roman"/>
    </w:rPr>
  </w:style>
  <w:style w:type="paragraph" w:customStyle="1" w:styleId="26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Cambria" w:hAnsi="Cambria" w:eastAsia="宋体" w:cs="黑体"/>
      <w:b w:val="0"/>
      <w:color w:val="365F90"/>
      <w:kern w:val="0"/>
      <w:szCs w:val="32"/>
    </w:rPr>
  </w:style>
  <w:style w:type="character" w:customStyle="1" w:styleId="27">
    <w:name w:val="页眉 字符"/>
    <w:link w:val="11"/>
    <w:qFormat/>
    <w:uiPriority w:val="99"/>
    <w:rPr>
      <w:rFonts w:ascii="宋体" w:hAnsi="宋体" w:eastAsia="Times New Roman" w:cs="宋体"/>
      <w:sz w:val="18"/>
      <w:szCs w:val="18"/>
    </w:rPr>
  </w:style>
  <w:style w:type="character" w:customStyle="1" w:styleId="28">
    <w:name w:val="页脚 字符"/>
    <w:link w:val="10"/>
    <w:qFormat/>
    <w:uiPriority w:val="99"/>
    <w:rPr>
      <w:rFonts w:ascii="宋体" w:hAnsi="宋体" w:eastAsia="Times New Roman" w:cs="宋体"/>
      <w:sz w:val="18"/>
      <w:szCs w:val="18"/>
    </w:rPr>
  </w:style>
  <w:style w:type="character" w:customStyle="1" w:styleId="29">
    <w:name w:val="标题 1 字符"/>
    <w:link w:val="2"/>
    <w:qFormat/>
    <w:uiPriority w:val="0"/>
    <w:rPr>
      <w:rFonts w:eastAsia="黑体"/>
      <w:b/>
      <w:kern w:val="44"/>
      <w:sz w:val="32"/>
    </w:rPr>
  </w:style>
  <w:style w:type="character" w:customStyle="1" w:styleId="30">
    <w:name w:val="正文文本缩进 2 字符"/>
    <w:link w:val="8"/>
    <w:qFormat/>
    <w:uiPriority w:val="0"/>
    <w:rPr>
      <w:rFonts w:ascii="宋体" w:hAnsi="宋体"/>
      <w:kern w:val="2"/>
      <w:sz w:val="24"/>
      <w:szCs w:val="24"/>
    </w:rPr>
  </w:style>
  <w:style w:type="character" w:customStyle="1" w:styleId="31">
    <w:name w:val="simjour"/>
    <w:basedOn w:val="18"/>
    <w:qFormat/>
    <w:uiPriority w:val="0"/>
  </w:style>
  <w:style w:type="character" w:customStyle="1" w:styleId="32">
    <w:name w:val="纯文本 字符"/>
    <w:link w:val="7"/>
    <w:qFormat/>
    <w:uiPriority w:val="0"/>
    <w:rPr>
      <w:rFonts w:ascii="宋体" w:hAnsi="Courier New"/>
      <w:kern w:val="2"/>
      <w:sz w:val="21"/>
    </w:rPr>
  </w:style>
  <w:style w:type="character" w:customStyle="1" w:styleId="33">
    <w:name w:val="批注框文本 字符"/>
    <w:link w:val="9"/>
    <w:semiHidden/>
    <w:qFormat/>
    <w:uiPriority w:val="0"/>
    <w:rPr>
      <w:rFonts w:ascii="宋体" w:hAnsi="宋体" w:eastAsia="Times New Roman" w:cs="宋体"/>
      <w:kern w:val="2"/>
      <w:sz w:val="18"/>
      <w:szCs w:val="18"/>
    </w:rPr>
  </w:style>
  <w:style w:type="character" w:customStyle="1" w:styleId="34">
    <w:name w:val="脚注文本 字符"/>
    <w:link w:val="13"/>
    <w:semiHidden/>
    <w:qFormat/>
    <w:uiPriority w:val="0"/>
    <w:rPr>
      <w:rFonts w:ascii="宋体" w:hAnsi="宋体" w:eastAsia="Times New Roman" w:cs="宋体"/>
      <w:kern w:val="2"/>
      <w:sz w:val="18"/>
      <w:szCs w:val="18"/>
    </w:rPr>
  </w:style>
  <w:style w:type="character" w:customStyle="1" w:styleId="35">
    <w:name w:val="标题 2 字符"/>
    <w:link w:val="3"/>
    <w:qFormat/>
    <w:uiPriority w:val="9"/>
    <w:rPr>
      <w:rFonts w:ascii="黑体" w:hAnsi="黑体" w:eastAsia="黑体" w:cs="黑体"/>
      <w:b/>
      <w:bCs/>
      <w:kern w:val="2"/>
      <w:sz w:val="30"/>
      <w:szCs w:val="32"/>
    </w:rPr>
  </w:style>
  <w:style w:type="character" w:customStyle="1" w:styleId="36">
    <w:name w:val="标题 3 字符"/>
    <w:link w:val="4"/>
    <w:qFormat/>
    <w:uiPriority w:val="9"/>
    <w:rPr>
      <w:rFonts w:ascii="黑体" w:hAnsi="黑体" w:eastAsia="黑体" w:cs="宋体"/>
      <w:b/>
      <w:bCs/>
      <w:kern w:val="2"/>
      <w:sz w:val="28"/>
      <w:szCs w:val="32"/>
    </w:rPr>
  </w:style>
  <w:style w:type="character" w:customStyle="1" w:styleId="37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292E75-C657-4539-8E5F-D6C8A454D7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3557</Words>
  <Characters>3857</Characters>
  <Lines>18</Lines>
  <Paragraphs>5</Paragraphs>
  <TotalTime>34</TotalTime>
  <ScaleCrop>false</ScaleCrop>
  <LinksUpToDate>false</LinksUpToDate>
  <CharactersWithSpaces>4362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2017-10-26T14:43:00Z</dcterms:created>
  <dc:creator>lin</dc:creator>
  <cp:lastModifiedBy>Leung</cp:lastModifiedBy>
  <dcterms:modified xsi:type="dcterms:W3CDTF">2025-12-28T02:46:06Z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eyJoZGlkIjoiZDE2OTQyODg2MWMyZmE5NzQ0MzAwYzE0MWQ4YjIzODAiLCJ1c2VySWQiOiI5NDY0NjI1MzAifQ==</vt:lpwstr>
  </property>
  <property fmtid="{D5CDD505-2E9C-101B-9397-08002B2CF9AE}" pid="4" name="ICV">
    <vt:lpwstr>F7173F4A576B422CA0A6AE82593903A9_13</vt:lpwstr>
  </property>
</Properties>
</file>