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Passion and know-how are two defining features of our earthmoving machinery, the best on the market. This is the result of a complete and fully in-house production cycle which supplies a vast range of components for top quality transmissions, differentials and final drive gears.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spare parts are fully interchangeable with the original ones produced by the major manufacturers earthmoving and mining machines.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Crown wheel and pinion sets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Loaded differential cases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Idler pinions and side gears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Gears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Differential kits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Power divider components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Axle shafts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