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17" w:rsidRDefault="004C2E17" w:rsidP="004C2E17">
      <w:pPr>
        <w:jc w:val="center"/>
        <w:rPr>
          <w:rFonts w:ascii="DIN Alternate" w:hAnsi="DIN Alternate"/>
          <w:caps/>
          <w:sz w:val="36"/>
        </w:rPr>
      </w:pPr>
      <w:r w:rsidRPr="00AC4B0E">
        <w:rPr>
          <w:rFonts w:ascii="DIN Alternate" w:hAnsi="DIN Alternate"/>
          <w:caps/>
          <w:noProof/>
          <w:sz w:val="36"/>
        </w:rPr>
        <w:drawing>
          <wp:inline distT="0" distB="0" distL="0" distR="0" wp14:anchorId="6FDBD06C" wp14:editId="5ED7BAF0">
            <wp:extent cx="3057525" cy="9871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RocketLogo.png"/>
                    <pic:cNvPicPr/>
                  </pic:nvPicPr>
                  <pic:blipFill>
                    <a:blip r:embed="rId4">
                      <a:extLst>
                        <a:ext uri="{28A0092B-C50C-407E-A947-70E740481C1C}">
                          <a14:useLocalDpi xmlns:a14="http://schemas.microsoft.com/office/drawing/2010/main" val="0"/>
                        </a:ext>
                      </a:extLst>
                    </a:blip>
                    <a:stretch>
                      <a:fillRect/>
                    </a:stretch>
                  </pic:blipFill>
                  <pic:spPr>
                    <a:xfrm>
                      <a:off x="0" y="0"/>
                      <a:ext cx="3057525" cy="987162"/>
                    </a:xfrm>
                    <a:prstGeom prst="rect">
                      <a:avLst/>
                    </a:prstGeom>
                  </pic:spPr>
                </pic:pic>
              </a:graphicData>
            </a:graphic>
          </wp:inline>
        </w:drawing>
      </w:r>
    </w:p>
    <w:p w:rsidR="004C2E17" w:rsidRDefault="007A5BFA" w:rsidP="004C2E17">
      <w:pPr>
        <w:jc w:val="center"/>
        <w:rPr>
          <w:rFonts w:ascii="DIN Alternate" w:hAnsi="DIN Alternate"/>
          <w:caps/>
          <w:sz w:val="36"/>
        </w:rPr>
      </w:pPr>
      <w:r>
        <w:rPr>
          <w:rFonts w:ascii="DIN Alternate" w:hAnsi="DIN Alternate"/>
          <w:caps/>
          <w:sz w:val="36"/>
        </w:rPr>
        <w:t>Suggested Additions to The Kit</w:t>
      </w:r>
    </w:p>
    <w:p w:rsidR="003050BF" w:rsidRDefault="003050BF" w:rsidP="00BC0508">
      <w:pPr>
        <w:rPr>
          <w:rFonts w:ascii="Helvetica" w:hAnsi="Helvetica"/>
          <w:sz w:val="24"/>
        </w:rPr>
      </w:pPr>
      <w:r>
        <w:rPr>
          <w:rFonts w:ascii="Helvetica" w:hAnsi="Helvetica"/>
          <w:sz w:val="24"/>
        </w:rPr>
        <w:t>Based on o</w:t>
      </w:r>
      <w:r w:rsidR="00BC0508">
        <w:rPr>
          <w:rFonts w:ascii="Helvetica" w:hAnsi="Helvetica"/>
          <w:sz w:val="24"/>
        </w:rPr>
        <w:t xml:space="preserve">ur research, the emergency </w:t>
      </w:r>
      <w:proofErr w:type="gramStart"/>
      <w:r w:rsidR="00BC0508">
        <w:rPr>
          <w:rFonts w:ascii="Helvetica" w:hAnsi="Helvetica"/>
          <w:sz w:val="24"/>
        </w:rPr>
        <w:t>medicine</w:t>
      </w:r>
      <w:proofErr w:type="gramEnd"/>
      <w:r w:rsidR="00BC0508">
        <w:rPr>
          <w:rFonts w:ascii="Helvetica" w:hAnsi="Helvetica"/>
          <w:sz w:val="24"/>
        </w:rPr>
        <w:t xml:space="preserve"> </w:t>
      </w:r>
      <w:r>
        <w:rPr>
          <w:rFonts w:ascii="Helvetica" w:hAnsi="Helvetica"/>
          <w:sz w:val="24"/>
        </w:rPr>
        <w:t xml:space="preserve">and </w:t>
      </w:r>
      <w:r w:rsidR="00BC0508">
        <w:rPr>
          <w:rFonts w:ascii="Helvetica" w:hAnsi="Helvetica"/>
          <w:sz w:val="24"/>
        </w:rPr>
        <w:t>traditional</w:t>
      </w:r>
      <w:r>
        <w:rPr>
          <w:rFonts w:ascii="Helvetica" w:hAnsi="Helvetica"/>
          <w:sz w:val="24"/>
        </w:rPr>
        <w:t xml:space="preserve"> medical experience </w:t>
      </w:r>
      <w:r w:rsidR="00517B71">
        <w:rPr>
          <w:rFonts w:ascii="Helvetica" w:hAnsi="Helvetica"/>
          <w:sz w:val="24"/>
        </w:rPr>
        <w:t xml:space="preserve">of our group </w:t>
      </w:r>
      <w:r>
        <w:rPr>
          <w:rFonts w:ascii="Helvetica" w:hAnsi="Helvetica"/>
          <w:sz w:val="24"/>
        </w:rPr>
        <w:t xml:space="preserve">members, as well as a deep </w:t>
      </w:r>
      <w:r w:rsidR="006669E6">
        <w:rPr>
          <w:rFonts w:ascii="Helvetica" w:hAnsi="Helvetica"/>
          <w:sz w:val="24"/>
        </w:rPr>
        <w:t xml:space="preserve">perusal of the </w:t>
      </w:r>
      <w:proofErr w:type="spellStart"/>
      <w:r w:rsidR="006669E6">
        <w:rPr>
          <w:rFonts w:ascii="Helvetica" w:hAnsi="Helvetica"/>
          <w:sz w:val="24"/>
        </w:rPr>
        <w:t>CHeCS</w:t>
      </w:r>
      <w:proofErr w:type="spellEnd"/>
      <w:r w:rsidR="006669E6">
        <w:rPr>
          <w:rFonts w:ascii="Helvetica" w:hAnsi="Helvetica"/>
          <w:sz w:val="24"/>
        </w:rPr>
        <w:t xml:space="preserve"> Hardware </w:t>
      </w:r>
      <w:r w:rsidR="00BC0508">
        <w:rPr>
          <w:rFonts w:ascii="Helvetica" w:hAnsi="Helvetica"/>
          <w:sz w:val="24"/>
        </w:rPr>
        <w:t>Catalog</w:t>
      </w:r>
      <w:r w:rsidR="006669E6">
        <w:rPr>
          <w:rFonts w:ascii="Helvetica" w:hAnsi="Helvetica"/>
          <w:sz w:val="24"/>
        </w:rPr>
        <w:t xml:space="preserve"> (HMS), we find that there are some very critical </w:t>
      </w:r>
      <w:r w:rsidR="00BC0508">
        <w:rPr>
          <w:rFonts w:ascii="Helvetica" w:hAnsi="Helvetica"/>
          <w:sz w:val="24"/>
        </w:rPr>
        <w:t xml:space="preserve">items that are missing </w:t>
      </w:r>
      <w:r w:rsidR="006669E6">
        <w:rPr>
          <w:rFonts w:ascii="Helvetica" w:hAnsi="Helvetica"/>
          <w:sz w:val="24"/>
        </w:rPr>
        <w:t xml:space="preserve">from current </w:t>
      </w:r>
      <w:r w:rsidR="00BC0508">
        <w:rPr>
          <w:rFonts w:ascii="Helvetica" w:hAnsi="Helvetica"/>
          <w:sz w:val="24"/>
        </w:rPr>
        <w:t>kits.</w:t>
      </w:r>
      <w:r w:rsidRPr="007B7A05">
        <w:rPr>
          <w:rFonts w:ascii="Helvetica" w:hAnsi="Helvetica"/>
          <w:sz w:val="24"/>
        </w:rPr>
        <w:t xml:space="preserve"> </w:t>
      </w:r>
      <w:r w:rsidR="00BC0508">
        <w:rPr>
          <w:rFonts w:ascii="Helvetica" w:hAnsi="Helvetica"/>
          <w:sz w:val="24"/>
        </w:rPr>
        <w:t xml:space="preserve">These are based mostly on battlefield medicine that has been </w:t>
      </w:r>
      <w:proofErr w:type="gramStart"/>
      <w:r w:rsidR="00BC0508">
        <w:rPr>
          <w:rFonts w:ascii="Helvetica" w:hAnsi="Helvetica"/>
          <w:sz w:val="24"/>
        </w:rPr>
        <w:t>hard-learned</w:t>
      </w:r>
      <w:proofErr w:type="gramEnd"/>
      <w:r w:rsidR="00BC0508">
        <w:rPr>
          <w:rFonts w:ascii="Helvetica" w:hAnsi="Helvetica"/>
          <w:sz w:val="24"/>
        </w:rPr>
        <w:t xml:space="preserve"> in the last 10-20 years</w:t>
      </w:r>
      <w:r w:rsidR="000E4D33">
        <w:rPr>
          <w:rFonts w:ascii="Helvetica" w:hAnsi="Helvetica"/>
          <w:sz w:val="24"/>
        </w:rPr>
        <w:t xml:space="preserve"> in Iraq and Afghanistan</w:t>
      </w:r>
      <w:r w:rsidR="00BC0508">
        <w:rPr>
          <w:rFonts w:ascii="Helvetica" w:hAnsi="Helvetica"/>
          <w:sz w:val="24"/>
        </w:rPr>
        <w:t xml:space="preserve">, as well as the deep understanding that even though there are multiple people on a space mission, there may be just one person left who is not </w:t>
      </w:r>
      <w:r w:rsidR="00517B71">
        <w:rPr>
          <w:rFonts w:ascii="Helvetica" w:hAnsi="Helvetica"/>
          <w:sz w:val="24"/>
        </w:rPr>
        <w:t>incapacitated</w:t>
      </w:r>
      <w:r w:rsidR="00BC0508">
        <w:rPr>
          <w:rFonts w:ascii="Helvetica" w:hAnsi="Helvetica"/>
          <w:sz w:val="24"/>
        </w:rPr>
        <w:t xml:space="preserve"> by a serious emergency.</w:t>
      </w:r>
    </w:p>
    <w:p w:rsidR="00D853AB" w:rsidRDefault="00BC0508" w:rsidP="00BC0508">
      <w:pPr>
        <w:rPr>
          <w:rFonts w:ascii="Helvetica" w:hAnsi="Helvetica"/>
          <w:sz w:val="24"/>
        </w:rPr>
      </w:pPr>
      <w:r>
        <w:rPr>
          <w:rFonts w:ascii="Helvetica" w:hAnsi="Helvetica"/>
          <w:sz w:val="24"/>
        </w:rPr>
        <w:t xml:space="preserve">These items </w:t>
      </w:r>
      <w:proofErr w:type="gramStart"/>
      <w:r>
        <w:rPr>
          <w:rFonts w:ascii="Helvetica" w:hAnsi="Helvetica"/>
          <w:sz w:val="24"/>
        </w:rPr>
        <w:t>are focused</w:t>
      </w:r>
      <w:proofErr w:type="gramEnd"/>
      <w:r>
        <w:rPr>
          <w:rFonts w:ascii="Helvetica" w:hAnsi="Helvetica"/>
          <w:sz w:val="24"/>
        </w:rPr>
        <w:t xml:space="preserve"> on stopping blood flow, reviving </w:t>
      </w:r>
      <w:r w:rsidR="00605CB4">
        <w:rPr>
          <w:rFonts w:ascii="Helvetica" w:hAnsi="Helvetica"/>
          <w:sz w:val="24"/>
        </w:rPr>
        <w:t xml:space="preserve">an injured </w:t>
      </w:r>
      <w:r w:rsidR="00517B71">
        <w:rPr>
          <w:rFonts w:ascii="Helvetica" w:hAnsi="Helvetica"/>
          <w:sz w:val="24"/>
        </w:rPr>
        <w:t>crewmember</w:t>
      </w:r>
      <w:r w:rsidR="00605CB4">
        <w:rPr>
          <w:rFonts w:ascii="Helvetica" w:hAnsi="Helvetica"/>
          <w:sz w:val="24"/>
        </w:rPr>
        <w:t xml:space="preserve">, as well as giving </w:t>
      </w:r>
      <w:r w:rsidR="00FD4F90">
        <w:rPr>
          <w:rFonts w:ascii="Helvetica" w:hAnsi="Helvetica"/>
          <w:sz w:val="24"/>
        </w:rPr>
        <w:t>the</w:t>
      </w:r>
      <w:r w:rsidR="00605CB4">
        <w:rPr>
          <w:rFonts w:ascii="Helvetica" w:hAnsi="Helvetica"/>
          <w:sz w:val="24"/>
        </w:rPr>
        <w:t xml:space="preserve"> ability to a lone astronaut to perform emergency procedures in space. </w:t>
      </w:r>
    </w:p>
    <w:p w:rsidR="00BC0508" w:rsidRPr="007B7A05" w:rsidRDefault="00605CB4" w:rsidP="00BC0508">
      <w:pPr>
        <w:rPr>
          <w:rFonts w:ascii="Helvetica" w:hAnsi="Helvetica"/>
          <w:sz w:val="24"/>
        </w:rPr>
      </w:pPr>
      <w:r>
        <w:rPr>
          <w:rFonts w:ascii="Helvetica" w:hAnsi="Helvetica"/>
          <w:sz w:val="24"/>
        </w:rPr>
        <w:t xml:space="preserve">The </w:t>
      </w:r>
      <w:r w:rsidR="00D853AB">
        <w:rPr>
          <w:rFonts w:ascii="Helvetica" w:hAnsi="Helvetica"/>
          <w:sz w:val="24"/>
        </w:rPr>
        <w:t>lone exception to this list is the UV irradiation machine. Paired with our 3D printed devices, it could extend the life of non-printable metal and ceramic items (blades, needles, etc…) significantly for a long-term mission.</w:t>
      </w:r>
    </w:p>
    <w:p w:rsidR="003050BF" w:rsidRPr="003050BF" w:rsidRDefault="003050BF" w:rsidP="003050BF">
      <w:pPr>
        <w:rPr>
          <w:rFonts w:ascii="Helvetica" w:hAnsi="Helvetica"/>
          <w:caps/>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614"/>
      </w:tblGrid>
      <w:tr w:rsidR="007225CD" w:rsidRPr="007225CD" w:rsidTr="007225CD">
        <w:trPr>
          <w:jc w:val="center"/>
        </w:trPr>
        <w:tc>
          <w:tcPr>
            <w:tcW w:w="4675" w:type="dxa"/>
            <w:vAlign w:val="center"/>
          </w:tcPr>
          <w:p w:rsidR="0013647C" w:rsidRPr="007225CD" w:rsidRDefault="0013647C" w:rsidP="007225CD">
            <w:pPr>
              <w:jc w:val="center"/>
              <w:rPr>
                <w:rFonts w:ascii="Helvetica" w:hAnsi="Helvetica"/>
                <w:caps/>
                <w:sz w:val="24"/>
              </w:rPr>
            </w:pPr>
            <w:r w:rsidRPr="007225CD">
              <w:rPr>
                <w:rFonts w:ascii="Helvetica" w:hAnsi="Helvetica"/>
                <w:noProof/>
                <w:sz w:val="24"/>
              </w:rPr>
              <w:drawing>
                <wp:anchor distT="0" distB="0" distL="114300" distR="114300" simplePos="0" relativeHeight="251658240" behindDoc="0" locked="0" layoutInCell="1" allowOverlap="1">
                  <wp:simplePos x="1060450" y="2423795"/>
                  <wp:positionH relativeFrom="margin">
                    <wp:align>center</wp:align>
                  </wp:positionH>
                  <wp:positionV relativeFrom="margin">
                    <wp:align>center</wp:align>
                  </wp:positionV>
                  <wp:extent cx="2680970" cy="1785620"/>
                  <wp:effectExtent l="0" t="0" r="508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raeli Bandage.jpg"/>
                          <pic:cNvPicPr/>
                        </pic:nvPicPr>
                        <pic:blipFill>
                          <a:blip r:embed="rId5">
                            <a:extLst>
                              <a:ext uri="{28A0092B-C50C-407E-A947-70E740481C1C}">
                                <a14:useLocalDpi xmlns:a14="http://schemas.microsoft.com/office/drawing/2010/main" val="0"/>
                              </a:ext>
                            </a:extLst>
                          </a:blip>
                          <a:stretch>
                            <a:fillRect/>
                          </a:stretch>
                        </pic:blipFill>
                        <pic:spPr>
                          <a:xfrm>
                            <a:off x="0" y="0"/>
                            <a:ext cx="2680970" cy="1785620"/>
                          </a:xfrm>
                          <a:prstGeom prst="rect">
                            <a:avLst/>
                          </a:prstGeom>
                        </pic:spPr>
                      </pic:pic>
                    </a:graphicData>
                  </a:graphic>
                </wp:anchor>
              </w:drawing>
            </w:r>
          </w:p>
        </w:tc>
        <w:tc>
          <w:tcPr>
            <w:tcW w:w="4675" w:type="dxa"/>
            <w:vAlign w:val="center"/>
          </w:tcPr>
          <w:p w:rsidR="0013647C" w:rsidRPr="007225CD" w:rsidRDefault="0013647C" w:rsidP="007225CD">
            <w:pPr>
              <w:jc w:val="center"/>
              <w:rPr>
                <w:rFonts w:ascii="Helvetica" w:hAnsi="Helvetica"/>
                <w:sz w:val="24"/>
              </w:rPr>
            </w:pPr>
            <w:r w:rsidRPr="007225CD">
              <w:rPr>
                <w:rFonts w:ascii="Helvetica" w:hAnsi="Helvetica"/>
                <w:sz w:val="24"/>
                <w:u w:val="single"/>
              </w:rPr>
              <w:t>Israeli bandage</w:t>
            </w:r>
            <w:r w:rsidRPr="007225CD">
              <w:rPr>
                <w:rFonts w:ascii="Helvetica" w:hAnsi="Helvetica"/>
                <w:sz w:val="24"/>
              </w:rPr>
              <w:t xml:space="preserve"> – Specially designed, first-aid device that is used to stop bleeding from hemorrhagic wounds caused by traumatic injuries in pre-hospital </w:t>
            </w:r>
            <w:proofErr w:type="gramStart"/>
            <w:r w:rsidRPr="007225CD">
              <w:rPr>
                <w:rFonts w:ascii="Helvetica" w:hAnsi="Helvetica"/>
                <w:sz w:val="24"/>
              </w:rPr>
              <w:t>emergency situations</w:t>
            </w:r>
            <w:proofErr w:type="gramEnd"/>
            <w:r w:rsidRPr="007225CD">
              <w:rPr>
                <w:rFonts w:ascii="Helvetica" w:hAnsi="Helvetica"/>
                <w:sz w:val="24"/>
              </w:rPr>
              <w:t>.</w:t>
            </w:r>
          </w:p>
        </w:tc>
      </w:tr>
      <w:tr w:rsidR="007225CD" w:rsidRPr="007225CD" w:rsidTr="007225CD">
        <w:trPr>
          <w:jc w:val="center"/>
        </w:trPr>
        <w:tc>
          <w:tcPr>
            <w:tcW w:w="4675" w:type="dxa"/>
            <w:vAlign w:val="center"/>
          </w:tcPr>
          <w:p w:rsidR="0013647C" w:rsidRPr="007225CD" w:rsidRDefault="0013647C" w:rsidP="007225CD">
            <w:pPr>
              <w:jc w:val="center"/>
              <w:rPr>
                <w:rFonts w:ascii="Helvetica" w:hAnsi="Helvetica"/>
                <w:caps/>
                <w:sz w:val="24"/>
              </w:rPr>
            </w:pPr>
            <w:r w:rsidRPr="007225CD">
              <w:rPr>
                <w:rFonts w:ascii="Helvetica" w:hAnsi="Helvetica"/>
                <w:caps/>
                <w:noProof/>
                <w:sz w:val="24"/>
              </w:rPr>
              <w:drawing>
                <wp:anchor distT="0" distB="0" distL="114300" distR="114300" simplePos="0" relativeHeight="251659264" behindDoc="0" locked="0" layoutInCell="1" allowOverlap="1">
                  <wp:simplePos x="1595887" y="4485736"/>
                  <wp:positionH relativeFrom="margin">
                    <wp:align>center</wp:align>
                  </wp:positionH>
                  <wp:positionV relativeFrom="margin">
                    <wp:align>center</wp:align>
                  </wp:positionV>
                  <wp:extent cx="1603375" cy="16033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603375"/>
                          </a:xfrm>
                          <a:prstGeom prst="rect">
                            <a:avLst/>
                          </a:prstGeom>
                          <a:noFill/>
                        </pic:spPr>
                      </pic:pic>
                    </a:graphicData>
                  </a:graphic>
                </wp:anchor>
              </w:drawing>
            </w:r>
          </w:p>
        </w:tc>
        <w:tc>
          <w:tcPr>
            <w:tcW w:w="4675" w:type="dxa"/>
            <w:vAlign w:val="center"/>
          </w:tcPr>
          <w:p w:rsidR="0013647C" w:rsidRPr="007225CD" w:rsidRDefault="0013647C" w:rsidP="007225CD">
            <w:pPr>
              <w:jc w:val="center"/>
              <w:rPr>
                <w:rFonts w:ascii="Helvetica" w:hAnsi="Helvetica"/>
                <w:sz w:val="24"/>
              </w:rPr>
            </w:pPr>
            <w:r w:rsidRPr="007225CD">
              <w:rPr>
                <w:rFonts w:ascii="Helvetica" w:hAnsi="Helvetica"/>
                <w:sz w:val="24"/>
                <w:u w:val="single"/>
              </w:rPr>
              <w:t>Bone IV</w:t>
            </w:r>
            <w:r w:rsidRPr="007225CD">
              <w:rPr>
                <w:rFonts w:ascii="Helvetica" w:hAnsi="Helvetica"/>
                <w:sz w:val="24"/>
              </w:rPr>
              <w:t xml:space="preserve"> – Also known as </w:t>
            </w:r>
            <w:proofErr w:type="spellStart"/>
            <w:r w:rsidRPr="007225CD">
              <w:rPr>
                <w:rFonts w:ascii="Helvetica" w:hAnsi="Helvetica"/>
                <w:sz w:val="24"/>
              </w:rPr>
              <w:t>intraosseous</w:t>
            </w:r>
            <w:proofErr w:type="spellEnd"/>
            <w:r w:rsidRPr="007225CD">
              <w:rPr>
                <w:rFonts w:ascii="Helvetica" w:hAnsi="Helvetica"/>
                <w:sz w:val="24"/>
              </w:rPr>
              <w:t xml:space="preserve"> infusion, this is the process of injecting directly into the marrow of a bone to provide a non-collapsible entry point into the systemic venous system. This technique </w:t>
            </w:r>
            <w:proofErr w:type="gramStart"/>
            <w:r w:rsidRPr="007225CD">
              <w:rPr>
                <w:rFonts w:ascii="Helvetica" w:hAnsi="Helvetica"/>
                <w:sz w:val="24"/>
              </w:rPr>
              <w:t>is used</w:t>
            </w:r>
            <w:proofErr w:type="gramEnd"/>
            <w:r w:rsidRPr="007225CD">
              <w:rPr>
                <w:rFonts w:ascii="Helvetica" w:hAnsi="Helvetica"/>
                <w:sz w:val="24"/>
              </w:rPr>
              <w:t xml:space="preserve"> to provide fluids and medication when intravenous access is not available or not feasible.</w:t>
            </w:r>
          </w:p>
        </w:tc>
      </w:tr>
      <w:tr w:rsidR="007225CD" w:rsidRPr="007225CD" w:rsidTr="007225CD">
        <w:trPr>
          <w:jc w:val="center"/>
        </w:trPr>
        <w:tc>
          <w:tcPr>
            <w:tcW w:w="4675" w:type="dxa"/>
            <w:vAlign w:val="center"/>
          </w:tcPr>
          <w:p w:rsidR="0013647C" w:rsidRPr="007225CD" w:rsidRDefault="0013647C" w:rsidP="007225CD">
            <w:pPr>
              <w:jc w:val="center"/>
              <w:rPr>
                <w:rFonts w:ascii="Helvetica" w:hAnsi="Helvetica"/>
                <w:caps/>
                <w:sz w:val="24"/>
              </w:rPr>
            </w:pPr>
            <w:r w:rsidRPr="007225CD">
              <w:rPr>
                <w:rFonts w:ascii="Helvetica" w:hAnsi="Helvetica"/>
                <w:caps/>
                <w:noProof/>
                <w:sz w:val="24"/>
              </w:rPr>
              <w:lastRenderedPageBreak/>
              <w:drawing>
                <wp:anchor distT="0" distB="0" distL="114300" distR="114300" simplePos="0" relativeHeight="251660288" behindDoc="0" locked="0" layoutInCell="1" allowOverlap="1">
                  <wp:simplePos x="1380226" y="6098875"/>
                  <wp:positionH relativeFrom="margin">
                    <wp:align>center</wp:align>
                  </wp:positionH>
                  <wp:positionV relativeFrom="margin">
                    <wp:align>center</wp:align>
                  </wp:positionV>
                  <wp:extent cx="2044461" cy="150495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nt Blood Clott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461" cy="1504951"/>
                          </a:xfrm>
                          <a:prstGeom prst="rect">
                            <a:avLst/>
                          </a:prstGeom>
                        </pic:spPr>
                      </pic:pic>
                    </a:graphicData>
                  </a:graphic>
                </wp:anchor>
              </w:drawing>
            </w:r>
          </w:p>
        </w:tc>
        <w:tc>
          <w:tcPr>
            <w:tcW w:w="4675" w:type="dxa"/>
            <w:vAlign w:val="center"/>
          </w:tcPr>
          <w:p w:rsidR="0013647C" w:rsidRPr="007225CD" w:rsidRDefault="0013647C" w:rsidP="007225CD">
            <w:pPr>
              <w:tabs>
                <w:tab w:val="center" w:pos="4680"/>
              </w:tabs>
              <w:jc w:val="center"/>
              <w:rPr>
                <w:rFonts w:ascii="Helvetica" w:hAnsi="Helvetica"/>
                <w:sz w:val="24"/>
              </w:rPr>
            </w:pPr>
            <w:r w:rsidRPr="007225CD">
              <w:rPr>
                <w:rFonts w:ascii="Helvetica" w:hAnsi="Helvetica"/>
                <w:sz w:val="24"/>
                <w:u w:val="single"/>
              </w:rPr>
              <w:t>Instant Blood Clotting Kit</w:t>
            </w:r>
            <w:r w:rsidRPr="007225CD">
              <w:rPr>
                <w:rFonts w:ascii="Helvetica" w:hAnsi="Helvetica"/>
                <w:sz w:val="24"/>
              </w:rPr>
              <w:t xml:space="preserve"> – an </w:t>
            </w:r>
            <w:proofErr w:type="spellStart"/>
            <w:r w:rsidRPr="007225CD">
              <w:rPr>
                <w:rFonts w:ascii="Helvetica" w:hAnsi="Helvetica"/>
                <w:sz w:val="24"/>
              </w:rPr>
              <w:t>antihemorrhagic</w:t>
            </w:r>
            <w:proofErr w:type="spellEnd"/>
            <w:r w:rsidRPr="007225CD">
              <w:rPr>
                <w:rFonts w:ascii="Helvetica" w:hAnsi="Helvetica"/>
                <w:sz w:val="24"/>
              </w:rPr>
              <w:t xml:space="preserve"> agent is a substance that promotes hemostasis (stops bleeding)</w:t>
            </w:r>
          </w:p>
        </w:tc>
      </w:tr>
      <w:tr w:rsidR="007225CD" w:rsidRPr="007225CD" w:rsidTr="007225CD">
        <w:trPr>
          <w:jc w:val="center"/>
        </w:trPr>
        <w:tc>
          <w:tcPr>
            <w:tcW w:w="4675" w:type="dxa"/>
            <w:vAlign w:val="center"/>
          </w:tcPr>
          <w:p w:rsidR="0013647C" w:rsidRPr="007225CD" w:rsidRDefault="0013647C" w:rsidP="007225CD">
            <w:pPr>
              <w:jc w:val="center"/>
              <w:rPr>
                <w:rFonts w:ascii="Helvetica" w:hAnsi="Helvetica"/>
                <w:caps/>
                <w:sz w:val="24"/>
              </w:rPr>
            </w:pPr>
            <w:r w:rsidRPr="007225CD">
              <w:rPr>
                <w:rFonts w:ascii="Helvetica" w:hAnsi="Helvetica"/>
                <w:caps/>
                <w:noProof/>
                <w:sz w:val="24"/>
              </w:rPr>
              <w:drawing>
                <wp:anchor distT="0" distB="0" distL="114300" distR="114300" simplePos="0" relativeHeight="251661312" behindDoc="0" locked="0" layoutInCell="1" allowOverlap="1">
                  <wp:simplePos x="1440611" y="923026"/>
                  <wp:positionH relativeFrom="margin">
                    <wp:align>center</wp:align>
                  </wp:positionH>
                  <wp:positionV relativeFrom="margin">
                    <wp:align>center</wp:align>
                  </wp:positionV>
                  <wp:extent cx="1921537" cy="2570672"/>
                  <wp:effectExtent l="0" t="0" r="254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hydr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1537" cy="2570672"/>
                          </a:xfrm>
                          <a:prstGeom prst="rect">
                            <a:avLst/>
                          </a:prstGeom>
                        </pic:spPr>
                      </pic:pic>
                    </a:graphicData>
                  </a:graphic>
                </wp:anchor>
              </w:drawing>
            </w:r>
          </w:p>
        </w:tc>
        <w:tc>
          <w:tcPr>
            <w:tcW w:w="4675" w:type="dxa"/>
            <w:vAlign w:val="center"/>
          </w:tcPr>
          <w:p w:rsidR="0013647C" w:rsidRPr="007225CD" w:rsidRDefault="0013647C" w:rsidP="007225CD">
            <w:pPr>
              <w:tabs>
                <w:tab w:val="center" w:pos="4680"/>
              </w:tabs>
              <w:jc w:val="center"/>
              <w:rPr>
                <w:rFonts w:ascii="Helvetica" w:hAnsi="Helvetica"/>
                <w:sz w:val="24"/>
              </w:rPr>
            </w:pPr>
            <w:r w:rsidRPr="007225CD">
              <w:rPr>
                <w:rFonts w:ascii="Helvetica" w:hAnsi="Helvetica"/>
                <w:sz w:val="24"/>
                <w:u w:val="single"/>
              </w:rPr>
              <w:t>Oral rehydration therapy</w:t>
            </w:r>
            <w:r w:rsidRPr="007225CD">
              <w:rPr>
                <w:rFonts w:ascii="Helvetica" w:hAnsi="Helvetica"/>
                <w:sz w:val="24"/>
              </w:rPr>
              <w:t xml:space="preserve"> – is a fluid replacement strategy used to prevent or treat dehydration, most commonly that caused by diarrhea. It involves drinking water with modest amounts of sugar and salt added, while continuing to eat.</w:t>
            </w:r>
          </w:p>
        </w:tc>
      </w:tr>
      <w:tr w:rsidR="007225CD" w:rsidRPr="007225CD" w:rsidTr="007225CD">
        <w:trPr>
          <w:jc w:val="center"/>
        </w:trPr>
        <w:tc>
          <w:tcPr>
            <w:tcW w:w="4675" w:type="dxa"/>
            <w:vAlign w:val="center"/>
          </w:tcPr>
          <w:p w:rsidR="0013647C" w:rsidRPr="007225CD" w:rsidRDefault="007225CD" w:rsidP="007225CD">
            <w:pPr>
              <w:jc w:val="center"/>
              <w:rPr>
                <w:rFonts w:ascii="Helvetica" w:hAnsi="Helvetica"/>
                <w:caps/>
                <w:sz w:val="24"/>
              </w:rPr>
            </w:pPr>
            <w:r w:rsidRPr="007225CD">
              <w:rPr>
                <w:rFonts w:ascii="Helvetica" w:hAnsi="Helvetica"/>
                <w:caps/>
                <w:noProof/>
                <w:sz w:val="24"/>
              </w:rPr>
              <w:drawing>
                <wp:inline distT="0" distB="0" distL="0" distR="0">
                  <wp:extent cx="2872596" cy="191598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V Steriliz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4490" cy="1930588"/>
                          </a:xfrm>
                          <a:prstGeom prst="rect">
                            <a:avLst/>
                          </a:prstGeom>
                        </pic:spPr>
                      </pic:pic>
                    </a:graphicData>
                  </a:graphic>
                </wp:inline>
              </w:drawing>
            </w:r>
          </w:p>
        </w:tc>
        <w:tc>
          <w:tcPr>
            <w:tcW w:w="4675" w:type="dxa"/>
            <w:vAlign w:val="center"/>
          </w:tcPr>
          <w:p w:rsidR="0013647C" w:rsidRPr="007225CD" w:rsidRDefault="0013647C" w:rsidP="007225CD">
            <w:pPr>
              <w:tabs>
                <w:tab w:val="center" w:pos="4680"/>
              </w:tabs>
              <w:jc w:val="center"/>
              <w:rPr>
                <w:rFonts w:ascii="Helvetica" w:hAnsi="Helvetica"/>
                <w:sz w:val="24"/>
              </w:rPr>
            </w:pPr>
            <w:r w:rsidRPr="007225CD">
              <w:rPr>
                <w:rFonts w:ascii="Helvetica" w:hAnsi="Helvetica"/>
                <w:sz w:val="24"/>
                <w:u w:val="single"/>
              </w:rPr>
              <w:t>Ultraviolet germicidal irradiation</w:t>
            </w:r>
            <w:r w:rsidRPr="007225CD">
              <w:rPr>
                <w:rFonts w:ascii="Helvetica" w:hAnsi="Helvetica"/>
                <w:sz w:val="24"/>
              </w:rPr>
              <w:t xml:space="preserve"> – is a disinfection method that uses ultraviolet (UV) light at sufficiently short wavelength to kill or inactivate microorganisms.</w:t>
            </w:r>
          </w:p>
        </w:tc>
      </w:tr>
    </w:tbl>
    <w:p w:rsidR="0013647C" w:rsidRDefault="0013647C" w:rsidP="004C2E17">
      <w:pPr>
        <w:jc w:val="center"/>
        <w:rPr>
          <w:rFonts w:ascii="DIN Alternate" w:hAnsi="DIN Alternate"/>
          <w:caps/>
          <w:sz w:val="36"/>
        </w:rPr>
      </w:pPr>
      <w:bookmarkStart w:id="0" w:name="_GoBack"/>
      <w:bookmarkEnd w:id="0"/>
    </w:p>
    <w:p w:rsidR="008E0086" w:rsidRDefault="008E0086">
      <w:pPr>
        <w:rPr>
          <w:u w:val="single"/>
        </w:rPr>
      </w:pPr>
    </w:p>
    <w:p w:rsidR="008E0086" w:rsidRDefault="008E0086">
      <w:pPr>
        <w:rPr>
          <w:u w:val="single"/>
        </w:rPr>
      </w:pPr>
    </w:p>
    <w:p w:rsidR="008E0086" w:rsidRDefault="008E0086">
      <w:pPr>
        <w:rPr>
          <w:u w:val="single"/>
        </w:rPr>
      </w:pPr>
    </w:p>
    <w:p w:rsidR="0013647C" w:rsidRDefault="0013647C" w:rsidP="001A0029">
      <w:pPr>
        <w:tabs>
          <w:tab w:val="center" w:pos="4680"/>
        </w:tabs>
        <w:rPr>
          <w:u w:val="single"/>
        </w:rPr>
      </w:pPr>
    </w:p>
    <w:p w:rsidR="0013647C" w:rsidRDefault="0013647C" w:rsidP="001A0029">
      <w:pPr>
        <w:tabs>
          <w:tab w:val="center" w:pos="4680"/>
        </w:tabs>
        <w:rPr>
          <w:u w:val="single"/>
        </w:rPr>
      </w:pPr>
    </w:p>
    <w:sectPr w:rsidR="0013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 Alternate">
    <w:panose1 w:val="020B0500000000000000"/>
    <w:charset w:val="00"/>
    <w:family w:val="swiss"/>
    <w:pitch w:val="variable"/>
    <w:sig w:usb0="A00000AF" w:usb1="40002048" w:usb2="00000000" w:usb3="00000000" w:csb0="00000111"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FD"/>
    <w:rsid w:val="000A6F25"/>
    <w:rsid w:val="000E4D33"/>
    <w:rsid w:val="0013647C"/>
    <w:rsid w:val="00162B24"/>
    <w:rsid w:val="00183ED1"/>
    <w:rsid w:val="001A0029"/>
    <w:rsid w:val="001B106E"/>
    <w:rsid w:val="00241A32"/>
    <w:rsid w:val="002D2EE3"/>
    <w:rsid w:val="0030265A"/>
    <w:rsid w:val="003050BF"/>
    <w:rsid w:val="00311C0F"/>
    <w:rsid w:val="00317EC0"/>
    <w:rsid w:val="00326FF9"/>
    <w:rsid w:val="00357861"/>
    <w:rsid w:val="003875B0"/>
    <w:rsid w:val="003A4E5F"/>
    <w:rsid w:val="003B3239"/>
    <w:rsid w:val="003B5B40"/>
    <w:rsid w:val="004812BF"/>
    <w:rsid w:val="004C2E17"/>
    <w:rsid w:val="00517B71"/>
    <w:rsid w:val="00537040"/>
    <w:rsid w:val="00581570"/>
    <w:rsid w:val="00592225"/>
    <w:rsid w:val="005A23CE"/>
    <w:rsid w:val="005E022A"/>
    <w:rsid w:val="00605CB4"/>
    <w:rsid w:val="006669E6"/>
    <w:rsid w:val="006B4429"/>
    <w:rsid w:val="006E689A"/>
    <w:rsid w:val="007225CD"/>
    <w:rsid w:val="007A5BFA"/>
    <w:rsid w:val="008624D6"/>
    <w:rsid w:val="008878FF"/>
    <w:rsid w:val="008913FD"/>
    <w:rsid w:val="008E0086"/>
    <w:rsid w:val="009A0FD1"/>
    <w:rsid w:val="009A1B77"/>
    <w:rsid w:val="009E611F"/>
    <w:rsid w:val="009F7A7B"/>
    <w:rsid w:val="00A24AF7"/>
    <w:rsid w:val="00A92A7F"/>
    <w:rsid w:val="00AD04A1"/>
    <w:rsid w:val="00BC0508"/>
    <w:rsid w:val="00BD0FEB"/>
    <w:rsid w:val="00C03914"/>
    <w:rsid w:val="00D177F9"/>
    <w:rsid w:val="00D66847"/>
    <w:rsid w:val="00D853AB"/>
    <w:rsid w:val="00D85D5E"/>
    <w:rsid w:val="00DB0356"/>
    <w:rsid w:val="00DC6720"/>
    <w:rsid w:val="00E230C1"/>
    <w:rsid w:val="00E367DD"/>
    <w:rsid w:val="00E624D8"/>
    <w:rsid w:val="00F065EE"/>
    <w:rsid w:val="00F11533"/>
    <w:rsid w:val="00F87042"/>
    <w:rsid w:val="00FB2A85"/>
    <w:rsid w:val="00FD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E215A-191E-48FD-A59C-8EAAE4F0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Eug</cp:lastModifiedBy>
  <cp:revision>3</cp:revision>
  <dcterms:created xsi:type="dcterms:W3CDTF">2015-04-20T03:38:00Z</dcterms:created>
  <dcterms:modified xsi:type="dcterms:W3CDTF">2015-04-20T04:16:00Z</dcterms:modified>
</cp:coreProperties>
</file>