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1DD6F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  <w:t>A Feature Article</w:t>
      </w:r>
    </w:p>
    <w:p w14:paraId="20D8D80C" w14:textId="77777777" w:rsid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Informs, Entertains &amp; Persuades.</w:t>
      </w:r>
    </w:p>
    <w:p w14:paraId="32F727AB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</w:p>
    <w:p w14:paraId="39E50D57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  <w:t>Purpose – The Mission of a Feature Article</w:t>
      </w:r>
    </w:p>
    <w:p w14:paraId="106F9046" w14:textId="06359B88" w:rsid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Feature articles are detailed pieces of writing which explore a range of issues, opinions, experiences and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ideas. </w:t>
      </w:r>
    </w:p>
    <w:p w14:paraId="415F3588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</w:p>
    <w:p w14:paraId="7F13E1DF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  <w:t>Structure</w:t>
      </w:r>
    </w:p>
    <w:p w14:paraId="1F7C1FA4" w14:textId="0FCED76A" w:rsid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Like any form of writing a feature article follows a standard structure. While it may vary depending on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your topic, a feature article should always include a headline, introduction, the main body and a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concluding paragraph.</w:t>
      </w:r>
    </w:p>
    <w:p w14:paraId="754F4230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</w:p>
    <w:p w14:paraId="77D698BD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  <w:t>Title &amp; Headline</w:t>
      </w:r>
    </w:p>
    <w:p w14:paraId="7EAE7368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The headline performs two important functions. An effective headline:</w:t>
      </w:r>
    </w:p>
    <w:p w14:paraId="058E5A71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Grabs the reader's attention and persuades them to read the article</w:t>
      </w:r>
    </w:p>
    <w:p w14:paraId="413045B1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Highlights the main idea of the article.</w:t>
      </w:r>
    </w:p>
    <w:p w14:paraId="0FFEE657" w14:textId="77777777" w:rsid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kern w:val="0"/>
          <w:sz w:val="28"/>
          <w:szCs w:val="28"/>
          <w:lang w:val="en-GB"/>
        </w:rPr>
      </w:pPr>
    </w:p>
    <w:p w14:paraId="1C71AF85" w14:textId="4119A5EA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  <w:t>Introduction</w:t>
      </w:r>
    </w:p>
    <w:p w14:paraId="5067522A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The first paragraph outlines the subject or theme of the article, it may also:</w:t>
      </w:r>
    </w:p>
    <w:p w14:paraId="26C7EEB9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Provoke the reader's interest by making an unusual statement.</w:t>
      </w:r>
    </w:p>
    <w:p w14:paraId="5F1E0466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Provide any necessary background information.</w:t>
      </w:r>
    </w:p>
    <w:p w14:paraId="1D9BAB0D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Invite the reader to take sides by making a controversial statement.</w:t>
      </w:r>
    </w:p>
    <w:p w14:paraId="1FA747F3" w14:textId="77777777" w:rsid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Create a relationship between the writer and the reader.</w:t>
      </w:r>
    </w:p>
    <w:p w14:paraId="196FE185" w14:textId="77777777" w:rsid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</w:p>
    <w:p w14:paraId="0A095C9F" w14:textId="6F7FEB39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  <w:t>Details (The Main Article)</w:t>
      </w:r>
    </w:p>
    <w:p w14:paraId="515120D7" w14:textId="416FC5EF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The middle section consists of </w:t>
      </w:r>
      <w:proofErr w:type="gramStart"/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a number of</w:t>
      </w:r>
      <w:proofErr w:type="gramEnd"/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paragraphs that expand the main topic of the article into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subtopics. The usual components are:</w:t>
      </w:r>
    </w:p>
    <w:p w14:paraId="3065BE29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b/>
          <w:bCs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b/>
          <w:bCs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  <w:t>Subheadings.</w:t>
      </w:r>
    </w:p>
    <w:p w14:paraId="4A3CED81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Facts and statistics which support the writer's opinion.</w:t>
      </w:r>
    </w:p>
    <w:p w14:paraId="573BD660" w14:textId="2C680493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Opinions 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and quotes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from authorities and experts.</w:t>
      </w:r>
    </w:p>
    <w:p w14:paraId="57C803CB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Anecdotes and stories.</w:t>
      </w:r>
    </w:p>
    <w:p w14:paraId="125D1BCD" w14:textId="77777777" w:rsid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kern w:val="0"/>
          <w:sz w:val="28"/>
          <w:szCs w:val="28"/>
          <w:lang w:val="en-GB"/>
        </w:rPr>
      </w:pPr>
    </w:p>
    <w:p w14:paraId="5A6C2EAA" w14:textId="78092854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  <w:t>Conclusion</w:t>
      </w:r>
    </w:p>
    <w:p w14:paraId="03471956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The concluding paragraph should leave a lasting impression by:</w:t>
      </w:r>
    </w:p>
    <w:p w14:paraId="59A3A918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Reminding the reader of the article's main idea</w:t>
      </w:r>
    </w:p>
    <w:p w14:paraId="769AE80B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Suggesting an appropriate course of action.</w:t>
      </w:r>
    </w:p>
    <w:p w14:paraId="2FC4D52C" w14:textId="77777777" w:rsid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Encouraging a change of attitude or opinion.</w:t>
      </w:r>
    </w:p>
    <w:p w14:paraId="372D619C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</w:p>
    <w:p w14:paraId="2D32D778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  <w:t>Language of Feature Articles</w:t>
      </w:r>
    </w:p>
    <w:p w14:paraId="1280F24F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A personal tone is created </w:t>
      </w:r>
      <w:proofErr w:type="gramStart"/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through the use of</w:t>
      </w:r>
      <w:proofErr w:type="gramEnd"/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informal, colloquial (slang) and first person</w:t>
      </w:r>
    </w:p>
    <w:p w14:paraId="77DC80C3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narrative.</w:t>
      </w:r>
    </w:p>
    <w:p w14:paraId="61449E4B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Relevant jargon adds authenticity to the information and opinions.</w:t>
      </w:r>
    </w:p>
    <w:p w14:paraId="20797AD7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Anecdotes help to maintain reader interest.</w:t>
      </w:r>
    </w:p>
    <w:p w14:paraId="6F6A4A8B" w14:textId="77777777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Facts validate the writer's viewpoints.</w:t>
      </w:r>
    </w:p>
    <w:p w14:paraId="7BC0EA75" w14:textId="732CFE8E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Emotive 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language is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used to evoke a personal response in the reader.</w:t>
      </w:r>
    </w:p>
    <w:p w14:paraId="289DEB0A" w14:textId="3227B391" w:rsidR="00632E48" w:rsidRPr="00632E48" w:rsidRDefault="00632E48" w:rsidP="00632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  <w:kern w:val="0"/>
          <w:sz w:val="28"/>
          <w:szCs w:val="28"/>
          <w:lang w:val="en-GB"/>
        </w:rPr>
      </w:pPr>
      <w:r w:rsidRPr="00632E48">
        <w:rPr>
          <w:rFonts w:ascii="Garamond" w:hAnsi="Garamond" w:cs="Helvetica"/>
          <w:color w:val="000000"/>
          <w:kern w:val="0"/>
          <w:sz w:val="28"/>
          <w:szCs w:val="28"/>
          <w:lang w:val="en-GB"/>
        </w:rPr>
        <w:t></w:t>
      </w:r>
      <w:r w:rsidRPr="00632E48">
        <w:rPr>
          <w:rFonts w:ascii="Garamond" w:hAnsi="Garamond" w:cs="Arial"/>
          <w:color w:val="000000"/>
          <w:kern w:val="0"/>
          <w:sz w:val="28"/>
          <w:szCs w:val="28"/>
          <w:lang w:val="en-GB"/>
        </w:rPr>
        <w:t xml:space="preserve"> </w:t>
      </w:r>
      <w:r w:rsidRPr="00632E48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The use of direct quotes personalises the topic.</w:t>
      </w:r>
    </w:p>
    <w:p w14:paraId="33E4C08D" w14:textId="6FB5F292" w:rsidR="00E55B7F" w:rsidRPr="00632E48" w:rsidRDefault="00E55B7F" w:rsidP="00632E48">
      <w:pPr>
        <w:rPr>
          <w:rFonts w:ascii="Garamond" w:hAnsi="Garamond"/>
          <w:sz w:val="28"/>
          <w:szCs w:val="28"/>
        </w:rPr>
      </w:pPr>
    </w:p>
    <w:sectPr w:rsidR="00E55B7F" w:rsidRPr="00632E48" w:rsidSect="00632E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48"/>
    <w:rsid w:val="004B22CF"/>
    <w:rsid w:val="00632E48"/>
    <w:rsid w:val="007F0949"/>
    <w:rsid w:val="00B85957"/>
    <w:rsid w:val="00DF035C"/>
    <w:rsid w:val="00E55B7F"/>
    <w:rsid w:val="00F5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C74"/>
  <w15:chartTrackingRefBased/>
  <w15:docId w15:val="{2DC15554-A1BB-4A47-B1AD-C5BFF460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1615</Characters>
  <Application>Microsoft Office Word</Application>
  <DocSecurity>0</DocSecurity>
  <Lines>30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Wood</dc:creator>
  <cp:keywords/>
  <dc:description/>
  <cp:lastModifiedBy>Penelope Wood</cp:lastModifiedBy>
  <cp:revision>1</cp:revision>
  <dcterms:created xsi:type="dcterms:W3CDTF">2024-10-07T19:57:00Z</dcterms:created>
  <dcterms:modified xsi:type="dcterms:W3CDTF">2024-10-07T20:04:00Z</dcterms:modified>
</cp:coreProperties>
</file>