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20"/>
        <w:jc w:val="center"/>
        <w:rPr>
          <w:b/>
          <w:bCs/>
          <w:sz w:val="28"/>
          <w:szCs w:val="28"/>
          <w:lang w:val="ro-RO"/>
        </w:rPr>
      </w:pPr>
      <w:r>
        <w:rPr>
          <w:b/>
          <w:sz w:val="28"/>
          <w:szCs w:val="28"/>
          <w:lang w:val="ro-RO"/>
        </w:rPr>
        <w:t>DESCOMPUNEREA BAYESIANĂ A INCERTITUDINII PENTRU AVERTIZAREA TIMPURIE A DEVIERII CONCEPTUALE, VALIDATĂ PRIN XAI</w:t>
      </w:r>
    </w:p>
    <w:p>
      <w:pPr>
        <w:pStyle w:val="NoSpacing"/>
        <w:jc w:val="center"/>
      </w:pPr>
    </w:p>
    <w:p>
      <w:pPr>
        <w:pStyle w:val="NoSpacing"/>
        <w:jc w:val="center"/>
        <w:rPr>
          <w:rFonts w:ascii="Times New Roman" w:hAnsi="Times New Roman"/>
          <w:b/>
          <w:bCs/>
          <w:sz w:val="24"/>
          <w:szCs w:val="24"/>
          <w:lang w:val="ro-RO"/>
        </w:rPr>
      </w:pPr>
      <w:r>
        <w:rPr>
          <w:rFonts w:ascii="Times New Roman" w:hAnsi="Times New Roman"/>
          <w:b/>
          <w:bCs/>
          <w:sz w:val="24"/>
          <w:szCs w:val="24"/>
          <w:lang w:val="ro-RO"/>
        </w:rPr>
        <w:t xml:space="preserve">Prenumele NUMELE</w:t>
      </w:r>
      <w:r>
        <w:rPr>
          <w:rFonts w:ascii="Times New Roman" w:hAnsi="Times New Roman"/>
          <w:b/>
          <w:bCs/>
          <w:sz w:val="24"/>
          <w:szCs w:val="24"/>
          <w:vertAlign w:val="superscript"/>
          <w:lang w:val="ro-RO"/>
        </w:rPr>
        <w:t>1*</w:t>
      </w:r>
    </w:p>
    <w:p>
      <w:pPr>
        <w:pStyle w:val="NoSpacing"/>
        <w:jc w:val="center"/>
      </w:pPr>
    </w:p>
    <w:p>
      <w:pPr>
        <w:jc w:val="center"/>
        <w:rPr>
          <w:i/>
          <w:sz w:val="20"/>
          <w:szCs w:val="20"/>
          <w:lang w:val="ro-RO"/>
        </w:rPr>
      </w:pPr>
      <w:r>
        <w:rPr>
          <w:i/>
          <w:sz w:val="20"/>
          <w:szCs w:val="20"/>
          <w:vertAlign w:val="superscript"/>
          <w:lang w:val="ro-RO"/>
        </w:rPr>
        <w:t>1</w:t>
      </w:r>
      <w:r>
        <w:rPr>
          <w:i/>
          <w:sz w:val="20"/>
          <w:szCs w:val="20"/>
          <w:lang w:val="ro-RO"/>
        </w:rPr>
        <w:t>Departamentul [denumirea], grupa [grupa], Facultatea [denumirea], Universitatea Tehnică a Moldovei, Chișinău, Republica Moldova</w:t>
      </w:r>
    </w:p>
    <w:p>
      <w:pPr>
        <w:jc w:val="center"/>
      </w:pPr>
    </w:p>
    <w:p>
      <w:pPr>
        <w:pStyle w:val="ListParagraph"/>
        <w:shd w:val="clear" w:color="auto" w:fill="FFFFFF"/>
        <w:ind w:left="374"/>
        <w:jc w:val="center"/>
        <w:rPr>
          <w:sz w:val="20"/>
          <w:szCs w:val="20"/>
          <w:lang w:val="ro-RO"/>
        </w:rPr>
      </w:pPr>
      <w:r>
        <w:rPr>
          <w:sz w:val="20"/>
          <w:szCs w:val="20"/>
          <w:lang w:val="ro-RO"/>
        </w:rPr>
        <w:t>*Autorul corespondent: Prenumele Numele, [e-mail]</w:t>
      </w:r>
    </w:p>
    <w:p>
      <w:pPr>
        <w:pStyle w:val="ListParagraph"/>
        <w:shd w:val="clear" w:color="auto" w:fill="FFFFFF"/>
        <w:ind w:left="374"/>
        <w:jc w:val="center"/>
      </w:pPr>
    </w:p>
    <w:p>
      <w:pPr>
        <w:pStyle w:val="ListParagraph"/>
        <w:shd w:val="clear" w:color="auto" w:fill="FFFFFF"/>
        <w:ind w:left="374"/>
        <w:jc w:val="center"/>
        <w:rPr>
          <w:b/>
          <w:sz w:val="20"/>
          <w:szCs w:val="20"/>
          <w:lang w:val="ro-RO"/>
        </w:rPr>
      </w:pPr>
      <w:r>
        <w:rPr>
          <w:b/>
          <w:sz w:val="20"/>
          <w:szCs w:val="20"/>
          <w:lang w:val="ro-RO"/>
        </w:rPr>
        <w:t xml:space="preserve">Îndrumătorul/coordonatorul științific </w:t>
      </w:r>
      <w:r>
        <w:rPr>
          <w:b/>
          <w:bCs/>
          <w:lang w:val="ro-RO"/>
        </w:rPr>
        <w:t>Prenumele NUMELE</w:t>
      </w:r>
      <w:r>
        <w:rPr>
          <w:b/>
          <w:sz w:val="20"/>
          <w:szCs w:val="20"/>
          <w:lang w:val="ro-RO"/>
        </w:rPr>
        <w:t xml:space="preserve">, </w:t>
      </w:r>
      <w:r>
        <w:rPr>
          <w:sz w:val="20"/>
          <w:szCs w:val="20"/>
          <w:lang w:val="ro-RO"/>
        </w:rPr>
        <w:t>[titlul științific, afilierea]</w:t>
      </w:r>
    </w:p>
    <w:p>
      <w:pPr>
        <w:tabs>
          <w:tab w:val="left" w:pos="2268"/>
        </w:tabs>
        <w:ind w:right="18"/>
        <w:jc w:val="both"/>
      </w:pPr>
    </w:p>
    <w:p>
      <w:pPr>
        <w:pStyle w:val="Rezumat"/>
      </w:pPr>
      <w:r>
        <w:rPr>
          <w:iCs/>
          <w:i/>
          <w:bCs/>
          <w:b/>
        </w:rPr>
        <w:t xml:space="preserve">Rezumat.</w:t>
      </w:r>
      <w:r>
        <w:t xml:space="preserve"> </w:t>
      </w:r>
      <w:r>
        <w:t xml:space="preserve">Detectoarele clasice de deviere conceptuală urmăresc rata de eroare a modelului, deci au nevoie de etichete și reacționează abia după ce acuratețea a scăzut. Lucrarea testează dacă incertitudinea modelului, calculată numai din intrări, poate da o alarmă mai devreme și ce componentă a ei este utilă. Entropia predictivă a unei rețele MC-Dropout, a unui ansamblu de rețele și a două ansambluri frecventiste (SVM și pădure aleatoare) este separată în incertitudine aleatorică și epistemică, iar raportul lor logaritmic este propus ca semnal de monitorizare. Pe 225 de fluxuri construite din date reale, cu moment de deviere cunoscut, și pe fluxul natural Elec2, cinci ipoteze stabilite în prealabil au fost testate statistic. Raportul separă cel mai bine datele deviate pentru rețelele neuronale (AUROC 0.80 față de 0.67), dar nu și pentru modelele frecventiste. Alarma fără etichete vine mai devreme decât detectoarele bazate pe eroare, însă precede scăderea vizibilă a acurateței doar în 51 % din cazuri. Devierea relației dintre intrări și etichete rămâne invizibilă fără etichete, iar SHAP, spre deosebire de LIME, indică trăsăturile care au deviat. Codul și datele permit reproducerea integrală.</w:t>
      </w:r>
    </w:p>
    <w:p>
      <w:pPr>
        <w:pStyle w:val="CuvinteCheie"/>
      </w:pPr>
      <w:r>
        <w:rPr>
          <w:iCs/>
          <w:i/>
          <w:bCs/>
          <w:b/>
        </w:rPr>
        <w:t xml:space="preserve">Cuvinte cheie:</w:t>
      </w:r>
      <w:r>
        <w:t xml:space="preserve"> </w:t>
      </w:r>
      <w:r>
        <w:rPr>
          <w:iCs/>
          <w:i/>
        </w:rPr>
        <w:t xml:space="preserve">informație mutuală, monte carlo dropout, monitorizare fără etichete, valori shapley, inferență statistică.</w:t>
      </w:r>
    </w:p>
    <w:bookmarkStart w:id="20" w:name="introducere"/>
    <w:p>
      <w:pPr>
        <w:pStyle w:val="Heading1"/>
      </w:pPr>
      <w:r>
        <w:t xml:space="preserve">Introducere</w:t>
      </w:r>
    </w:p>
    <w:p>
      <w:pPr>
        <w:pStyle w:val="FirstParagraph"/>
      </w:pPr>
      <w:r>
        <w:t xml:space="preserve">Un model de învățare automată este antrenat pe date istorice și apoi folosit pe date noi, a căror distribuție</w:t>
      </w:r>
      <w:r>
        <w:t xml:space="preserve"> </w:t>
      </w:r>
      <m:oMath>
        <m:sSub>
          <m:e>
            <m:r>
              <m:t>P</m:t>
            </m:r>
          </m:e>
          <m:sub>
            <m:r>
              <m:t>t</m:t>
            </m:r>
          </m:sub>
        </m:sSub>
        <m:d>
          <m:dPr>
            <m:begChr m:val="("/>
            <m:sepChr m:val=""/>
            <m:endChr m:val=")"/>
            <m:grow/>
          </m:dPr>
          <m:e>
            <m:r>
              <m:t>x</m:t>
            </m:r>
            <m:r>
              <m:rPr>
                <m:sty m:val="p"/>
              </m:rPr>
              <m:t>,</m:t>
            </m:r>
            <m:r>
              <m:t>y</m:t>
            </m:r>
          </m:e>
        </m:d>
        <m:r>
          <m:rPr>
            <m:sty m:val="p"/>
          </m:rPr>
          <m:t>=</m:t>
        </m:r>
        <m:sSub>
          <m:e>
            <m:r>
              <m:t>P</m:t>
            </m:r>
          </m:e>
          <m:sub>
            <m:r>
              <m:t>t</m:t>
            </m:r>
          </m:sub>
        </m:sSub>
        <m:d>
          <m:dPr>
            <m:begChr m:val="("/>
            <m:sepChr m:val=""/>
            <m:endChr m:val=")"/>
            <m:grow/>
          </m:dPr>
          <m:e>
            <m:r>
              <m:t>x</m:t>
            </m:r>
          </m:e>
        </m:d>
        <m:r>
          <m:t> </m:t>
        </m:r>
        <m:sSub>
          <m:e>
            <m:r>
              <m:t>P</m:t>
            </m:r>
          </m:e>
          <m:sub>
            <m:r>
              <m:t>t</m:t>
            </m:r>
          </m:sub>
        </m:sSub>
        <m:d>
          <m:dPr>
            <m:begChr m:val="("/>
            <m:sepChr m:val=""/>
            <m:endChr m:val=")"/>
            <m:grow/>
          </m:dPr>
          <m:e>
            <m:r>
              <m:t>y</m:t>
            </m:r>
            <m:r>
              <m:rPr>
                <m:sty m:val="p"/>
              </m:rPr>
              <m:t>∣</m:t>
            </m:r>
            <m:r>
              <m:t>x</m:t>
            </m:r>
          </m:e>
        </m:d>
      </m:oMath>
      <w:r>
        <w:t xml:space="preserve"> </w:t>
      </w:r>
      <w:r>
        <w:t xml:space="preserve">se schimbă în timp. Fenomenul se numește deviere conceptuală (</w:t>
      </w:r>
      <w:r>
        <w:rPr>
          <w:iCs/>
          <w:i/>
        </w:rPr>
        <w:t xml:space="preserve">concept drift</w:t>
      </w:r>
      <w:r>
        <w:t xml:space="preserve">) [1,2]. Detectoarele uzuale, DDM [3], ADWIN [4] și Page-Hinkley (PH) [5], urmăresc rata de eroare. Ele au nevoie de eticheta reală a fiecărei predicții, care în creditare sau în detectarea fraudei sosește după luni, și reacționează după ce acuratețea a scăzut.</w:t>
      </w:r>
    </w:p>
    <w:p>
      <w:pPr>
        <w:pStyle w:val="BodyText"/>
      </w:pPr>
      <w:r>
        <w:t xml:space="preserve">O alternativă este incertitudinea modelului însuși. Baier et al. [6] monitorizează incertitudinea</w:t>
      </w:r>
      <w:r>
        <w:t xml:space="preserve"> </w:t>
      </w:r>
      <w:r>
        <w:rPr>
          <w:iCs/>
          <w:i/>
        </w:rPr>
        <w:t xml:space="preserve">totală</w:t>
      </w:r>
      <w:r>
        <w:t xml:space="preserve"> </w:t>
      </w:r>
      <w:r>
        <w:t xml:space="preserve">a unei rețele MC-Dropout. Teoria bayesiană permite însă separarea incertitudinii în componenta aleatorică (AU, zgomotul din date) și cea epistemică (EU, ignoranța modelului) [7–9]. Contribuțiile lucrării sunt: (i) raportul</w:t>
      </w:r>
      <w:r>
        <w:t xml:space="preserve"> </w:t>
      </w:r>
      <m:oMath>
        <m:r>
          <m:rPr>
            <m:sty m:val="p"/>
          </m:rPr>
          <m:t>log</m:t>
        </m:r>
        <m:d>
          <m:dPr>
            <m:begChr m:val="("/>
            <m:sepChr m:val=""/>
            <m:endChr m:val=")"/>
            <m:grow/>
          </m:dPr>
          <m:e>
            <m:r>
              <m:t>E</m:t>
            </m:r>
            <m:r>
              <m:t>U</m:t>
            </m:r>
            <m:r>
              <m:rPr>
                <m:sty m:val="p"/>
              </m:rPr>
              <m:t>/</m:t>
            </m:r>
            <m:r>
              <m:t>A</m:t>
            </m:r>
            <m:r>
              <m:t>U</m:t>
            </m:r>
          </m:e>
        </m:d>
      </m:oMath>
      <w:r>
        <w:t xml:space="preserve"> </w:t>
      </w:r>
      <w:r>
        <w:t xml:space="preserve">ca semnal de monitorizare, comparat direct cu componentele sale; (ii) demonstrarea limitei oricărei detecții fără etichete; (iii) validarea alarmelor prin explicarea funcției</w:t>
      </w:r>
      <w:r>
        <w:t xml:space="preserve"> </w:t>
      </w:r>
      <m:oMath>
        <m:r>
          <m:t>E</m:t>
        </m:r>
        <m:r>
          <m:t>U</m:t>
        </m:r>
        <m:d>
          <m:dPr>
            <m:begChr m:val="("/>
            <m:sepChr m:val=""/>
            <m:endChr m:val=")"/>
            <m:grow/>
          </m:dPr>
          <m:e>
            <m:r>
              <m:t>x</m:t>
            </m:r>
          </m:e>
        </m:d>
      </m:oMath>
      <w:r>
        <w:t xml:space="preserve"> </w:t>
      </w:r>
      <w:r>
        <w:t xml:space="preserve">cu SHAP și LIME; (iv) comparația dintre incertitudinea bayesiană și cea frecventistă; (v) fluxuri semi-sintetice cu moment și trăsături de deviere cunoscute.</w:t>
      </w:r>
    </w:p>
    <w:p>
      <w:pPr>
        <w:pStyle w:val="BodyText"/>
      </w:pPr>
      <w:r>
        <w:t xml:space="preserve">Ipotezele, fixate înainte de experimente, sunt:</w:t>
      </w:r>
      <w:r>
        <w:t xml:space="preserve"> </w:t>
      </w:r>
      <w:r>
        <w:rPr>
          <w:bCs/>
          <w:b/>
        </w:rPr>
        <w:t xml:space="preserve">H1</w:t>
      </w:r>
      <w:r>
        <w:t xml:space="preserve"> </w:t>
      </w:r>
      <w:r>
        <w:t xml:space="preserve">– sub devieri ale lui</w:t>
      </w:r>
      <w:r>
        <w:t xml:space="preserve"> </w:t>
      </w:r>
      <m:oMath>
        <m:r>
          <m:t>P</m:t>
        </m:r>
        <m:d>
          <m:dPr>
            <m:begChr m:val="("/>
            <m:sepChr m:val=""/>
            <m:endChr m:val=")"/>
            <m:grow/>
          </m:dPr>
          <m:e>
            <m:r>
              <m:t>x</m:t>
            </m:r>
          </m:e>
        </m:d>
      </m:oMath>
      <w:r>
        <w:t xml:space="preserve">, alarma pe</w:t>
      </w:r>
      <w:r>
        <w:t xml:space="preserve"> </w:t>
      </w:r>
      <m:oMath>
        <m:r>
          <m:rPr>
            <m:sty m:val="p"/>
          </m:rPr>
          <m:t>log</m:t>
        </m:r>
        <m:d>
          <m:dPr>
            <m:begChr m:val="("/>
            <m:sepChr m:val=""/>
            <m:endChr m:val=")"/>
            <m:grow/>
          </m:dPr>
          <m:e>
            <m:r>
              <m:t>E</m:t>
            </m:r>
            <m:r>
              <m:t>U</m:t>
            </m:r>
            <m:r>
              <m:rPr>
                <m:sty m:val="p"/>
              </m:rPr>
              <m:t>/</m:t>
            </m:r>
            <m:r>
              <m:t>A</m:t>
            </m:r>
            <m:r>
              <m:t>U</m:t>
            </m:r>
          </m:e>
        </m:d>
      </m:oMath>
      <w:r>
        <w:t xml:space="preserve"> </w:t>
      </w:r>
      <w:r>
        <w:t xml:space="preserve">precede scăderea vizibilă a acurateței;</w:t>
      </w:r>
      <w:r>
        <w:t xml:space="preserve"> </w:t>
      </w:r>
      <w:r>
        <w:rPr>
          <w:bCs/>
          <w:b/>
        </w:rPr>
        <w:t xml:space="preserve">H2</w:t>
      </w:r>
      <w:r>
        <w:t xml:space="preserve"> </w:t>
      </w:r>
      <w:r>
        <w:t xml:space="preserve">– raportul separă datele deviate mai bine decât EU, AU, entropia totală (TU) și</w:t>
      </w:r>
      <w:r>
        <w:t xml:space="preserve"> </w:t>
      </w:r>
      <m:oMath>
        <m:r>
          <m:t>1</m:t>
        </m:r>
        <m:r>
          <m:rPr>
            <m:sty m:val="p"/>
          </m:rPr>
          <m:t>−</m:t>
        </m:r>
        <m:r>
          <m:rPr>
            <m:sty m:val="p"/>
          </m:rPr>
          <m:t>max</m:t>
        </m:r>
        <m:r>
          <m:t>p</m:t>
        </m:r>
      </m:oMath>
      <w:r>
        <w:t xml:space="preserve">;</w:t>
      </w:r>
      <w:r>
        <w:t xml:space="preserve"> </w:t>
      </w:r>
      <w:r>
        <w:rPr>
          <w:bCs/>
          <w:b/>
        </w:rPr>
        <w:t xml:space="preserve">H3</w:t>
      </w:r>
      <w:r>
        <w:t xml:space="preserve"> </w:t>
      </w:r>
      <w:r>
        <w:t xml:space="preserve">– sub deviere pură a lui</w:t>
      </w:r>
      <w:r>
        <w:t xml:space="preserve"> </w:t>
      </w:r>
      <m:oMath>
        <m:r>
          <m:t>P</m:t>
        </m:r>
        <m:d>
          <m:dPr>
            <m:begChr m:val="("/>
            <m:sepChr m:val=""/>
            <m:endChr m:val=")"/>
            <m:grow/>
          </m:dPr>
          <m:e>
            <m:r>
              <m:t>y</m:t>
            </m:r>
            <m:r>
              <m:rPr>
                <m:sty m:val="p"/>
              </m:rPr>
              <m:t>∣</m:t>
            </m:r>
            <m:r>
              <m:t>x</m:t>
            </m:r>
          </m:e>
        </m:d>
      </m:oMath>
      <w:r>
        <w:t xml:space="preserve"> </w:t>
      </w:r>
      <w:r>
        <w:t xml:space="preserve">niciun semnal de incertitudine nu conține informație;</w:t>
      </w:r>
      <w:r>
        <w:t xml:space="preserve"> </w:t>
      </w:r>
      <w:r>
        <w:rPr>
          <w:bCs/>
          <w:b/>
        </w:rPr>
        <w:t xml:space="preserve">H4</w:t>
      </w:r>
      <w:r>
        <w:t xml:space="preserve"> </w:t>
      </w:r>
      <w:r>
        <w:t xml:space="preserve">– atribuirile SHAP/LIME ale lui EU indică trăsăturile deviate;</w:t>
      </w:r>
      <w:r>
        <w:t xml:space="preserve"> </w:t>
      </w:r>
      <w:r>
        <w:rPr>
          <w:bCs/>
          <w:b/>
        </w:rPr>
        <w:t xml:space="preserve">H5</w:t>
      </w:r>
      <w:r>
        <w:t xml:space="preserve"> </w:t>
      </w:r>
      <w:r>
        <w:t xml:space="preserve">– incertitudinea bayesiană și cea frecventistă se comportă diferit.</w:t>
      </w:r>
    </w:p>
    <w:bookmarkEnd w:id="20"/>
    <w:bookmarkStart w:id="24" w:name="metodologie"/>
    <w:p>
      <w:pPr>
        <w:pStyle w:val="Heading1"/>
      </w:pPr>
      <w:r>
        <w:t xml:space="preserve">Metodologie</w:t>
      </w:r>
    </w:p>
    <w:bookmarkStart w:id="21" w:name="modele-și-descompunerea-incertitudinii"/>
    <w:p>
      <w:pPr>
        <w:pStyle w:val="Heading2"/>
      </w:pPr>
      <w:r>
        <w:t xml:space="preserve">Modele și descompunerea incertitudinii</w:t>
      </w:r>
    </w:p>
    <w:p>
      <w:pPr>
        <w:pStyle w:val="FirstParagraph"/>
      </w:pPr>
      <w:r>
        <w:t xml:space="preserve">Antrenarea prin entropie încrucișată este o estimare de verosimilitate maximă, iar penalizarea L2 corespunde unei distribuții a priori gaussiene (estimare MAP). Distribuția a posteriori a ponderilor este aproximată prin MC-Dropout cu</w:t>
      </w:r>
      <w:r>
        <w:t xml:space="preserve"> </w:t>
      </w:r>
      <m:oMath>
        <m:r>
          <m:t>T</m:t>
        </m:r>
        <m:r>
          <m:rPr>
            <m:sty m:val="p"/>
          </m:rPr>
          <m:t>=</m:t>
        </m:r>
        <m:r>
          <m:t>30</m:t>
        </m:r>
      </m:oMath>
      <w:r>
        <w:t xml:space="preserve"> </w:t>
      </w:r>
      <w:r>
        <w:t xml:space="preserve">măști fixe [10] și printr-un ansamblu de</w:t>
      </w:r>
      <w:r>
        <w:t xml:space="preserve"> </w:t>
      </w:r>
      <m:oMath>
        <m:r>
          <m:t>M</m:t>
        </m:r>
        <m:r>
          <m:rPr>
            <m:sty m:val="p"/>
          </m:rPr>
          <m:t>=</m:t>
        </m:r>
        <m:r>
          <m:t>5</m:t>
        </m:r>
      </m:oMath>
      <w:r>
        <w:t xml:space="preserve"> </w:t>
      </w:r>
      <w:r>
        <w:t xml:space="preserve">rețele [11]. Ca termen frecventist se folosesc 10 SVM-uri cu nucleu RBF antrenate pe eșantioane bootstrap. Ca analiză suplimentară, adăugată după studiul principal, se folosește o pădure aleatoare de 50 de arbori [12], descompusă ca în [13]. Pentru</w:t>
      </w:r>
      <w:r>
        <w:t xml:space="preserve"> </w:t>
      </w:r>
      <m:oMath>
        <m:r>
          <m:t>S</m:t>
        </m:r>
      </m:oMath>
      <w:r>
        <w:t xml:space="preserve"> </w:t>
      </w:r>
      <w:r>
        <w:t xml:space="preserve">distribuții predictive eșantionate</w:t>
      </w:r>
      <w:r>
        <w:t xml:space="preserve"> </w:t>
      </w:r>
      <m:oMath>
        <m:sSub>
          <m:e>
            <m:r>
              <m:t>p</m:t>
            </m:r>
          </m:e>
          <m:sub>
            <m:r>
              <m:t>s</m:t>
            </m:r>
          </m:sub>
        </m:sSub>
      </m:oMath>
      <w:r>
        <w:t xml:space="preserve">, descompunerea [8] este dată de Ec. (1):</w:t>
      </w:r>
    </w:p>
    <w:p>
      <w:pPr>
        <w:pStyle w:val="Ecuatie"/>
      </w:pPr>
      <w:r>
        <w:tab/>
      </w:r>
      <m:oMath>
        <m:limLow>
          <m:e>
            <m:limLow>
              <m:e>
                <m:r>
                  <m:t>H</m:t>
                </m:r>
                <m:d>
                  <m:dPr>
                    <m:begChr m:val="["/>
                    <m:sepChr m:val=""/>
                    <m:endChr m:val="]"/>
                    <m:grow/>
                  </m:dPr>
                  <m:e>
                    <m:f>
                      <m:fPr>
                        <m:type m:val="bar"/>
                      </m:fPr>
                      <m:num>
                        <m:r>
                          <m:t>1</m:t>
                        </m:r>
                      </m:num>
                      <m:den>
                        <m:r>
                          <m:t>S</m:t>
                        </m:r>
                      </m:den>
                    </m:f>
                    <m:nary>
                      <m:naryPr>
                        <m:chr m:val="∑"/>
                        <m:limLoc m:val="undOvr"/>
                        <m:subHide m:val="off"/>
                        <m:supHide m:val="on"/>
                      </m:naryPr>
                      <m:sub>
                        <m:r>
                          <m:t>s</m:t>
                        </m:r>
                      </m:sub>
                      <m:sup>
                        <m:r>
                          <m:t>​</m:t>
                        </m:r>
                      </m:sup>
                      <m:e>
                        <m:sSub>
                          <m:e>
                            <m:r>
                              <m:t>p</m:t>
                            </m:r>
                          </m:e>
                          <m:sub>
                            <m:r>
                              <m:t>s</m:t>
                            </m:r>
                          </m:sub>
                        </m:sSub>
                      </m:e>
                    </m:nary>
                  </m:e>
                </m:d>
              </m:e>
              <m:lim>
                <m:r>
                  <m:rPr>
                    <m:sty m:val="p"/>
                  </m:rPr>
                  <m:t>⏟</m:t>
                </m:r>
              </m:lim>
            </m:limLow>
          </m:e>
          <m:lim>
            <m:r>
              <m:t>T</m:t>
            </m:r>
            <m:r>
              <m:t>U</m:t>
            </m:r>
          </m:lim>
        </m:limLow>
        <m:r>
          <m:rPr>
            <m:sty m:val="p"/>
          </m:rPr>
          <m:t>=</m:t>
        </m:r>
        <m:limLow>
          <m:e>
            <m:limLow>
              <m:e>
                <m:f>
                  <m:fPr>
                    <m:type m:val="bar"/>
                  </m:fPr>
                  <m:num>
                    <m:r>
                      <m:t>1</m:t>
                    </m:r>
                  </m:num>
                  <m:den>
                    <m:r>
                      <m:t>S</m:t>
                    </m:r>
                  </m:den>
                </m:f>
                <m:nary>
                  <m:naryPr>
                    <m:chr m:val="∑"/>
                    <m:limLoc m:val="undOvr"/>
                    <m:subHide m:val="off"/>
                    <m:supHide m:val="on"/>
                  </m:naryPr>
                  <m:sub>
                    <m:r>
                      <m:t>s</m:t>
                    </m:r>
                  </m:sub>
                  <m:sup>
                    <m:r>
                      <m:t>​</m:t>
                    </m:r>
                  </m:sup>
                  <m:e>
                    <m:r>
                      <m:t>H</m:t>
                    </m:r>
                  </m:e>
                </m:nary>
                <m:d>
                  <m:dPr>
                    <m:begChr m:val="["/>
                    <m:sepChr m:val=""/>
                    <m:endChr m:val="]"/>
                    <m:grow/>
                  </m:dPr>
                  <m:e>
                    <m:sSub>
                      <m:e>
                        <m:r>
                          <m:t>p</m:t>
                        </m:r>
                      </m:e>
                      <m:sub>
                        <m:r>
                          <m:t>s</m:t>
                        </m:r>
                      </m:sub>
                    </m:sSub>
                  </m:e>
                </m:d>
              </m:e>
              <m:lim>
                <m:r>
                  <m:rPr>
                    <m:sty m:val="p"/>
                  </m:rPr>
                  <m:t>⏟</m:t>
                </m:r>
              </m:lim>
            </m:limLow>
          </m:e>
          <m:lim>
            <m:r>
              <m:t>A</m:t>
            </m:r>
            <m:r>
              <m:t>U</m:t>
            </m:r>
          </m:lim>
        </m:limLow>
        <m:r>
          <m:rPr>
            <m:sty m:val="p"/>
          </m:rPr>
          <m:t>+</m:t>
        </m:r>
        <m:limLow>
          <m:e>
            <m:limLow>
              <m:e>
                <m:r>
                  <m:t>I</m:t>
                </m:r>
                <m:d>
                  <m:dPr>
                    <m:begChr m:val="("/>
                    <m:sepChr m:val=""/>
                    <m:endChr m:val=")"/>
                    <m:grow/>
                  </m:dPr>
                  <m:e>
                    <m:r>
                      <m:t>y</m:t>
                    </m:r>
                    <m:r>
                      <m:rPr>
                        <m:sty m:val="p"/>
                      </m:rPr>
                      <m:t>;</m:t>
                    </m:r>
                    <m:r>
                      <m:t>θ</m:t>
                    </m:r>
                    <m:r>
                      <m:rPr>
                        <m:sty m:val="p"/>
                      </m:rPr>
                      <m:t>∣</m:t>
                    </m:r>
                    <m:r>
                      <m:t>x</m:t>
                    </m:r>
                  </m:e>
                </m:d>
              </m:e>
              <m:lim>
                <m:r>
                  <m:rPr>
                    <m:sty m:val="p"/>
                  </m:rPr>
                  <m:t>⏟</m:t>
                </m:r>
              </m:lim>
            </m:limLow>
          </m:e>
          <m:lim>
            <m:r>
              <m:t>E</m:t>
            </m:r>
            <m:r>
              <m:t>U</m:t>
            </m:r>
          </m:lim>
        </m:limLow>
      </m:oMath>
      <w:r>
        <w:tab/>
        <w:t>(1)</w:t>
      </w:r>
    </w:p>
    <w:p>
      <w:pPr>
        <w:pStyle w:val="BodyText"/>
      </w:pPr>
      <w:r>
        <w:t xml:space="preserve">unde</w:t>
      </w:r>
      <w:r>
        <w:t xml:space="preserve"> </w:t>
      </w:r>
      <m:oMath>
        <m:r>
          <m:t>H</m:t>
        </m:r>
      </m:oMath>
      <w:r>
        <w:t xml:space="preserve"> </w:t>
      </w:r>
      <w:r>
        <w:t xml:space="preserve">este entropia, iar</w:t>
      </w:r>
      <w:r>
        <w:t xml:space="preserve"> </w:t>
      </w:r>
      <m:oMath>
        <m:r>
          <m:t>I</m:t>
        </m:r>
      </m:oMath>
      <w:r>
        <w:t xml:space="preserve"> </w:t>
      </w:r>
      <w:r>
        <w:t xml:space="preserve">este informația mutuală dintre etichetă și parametri. EU este mare când modelele eșantionate nu sunt de acord. Semnalul propus este dat de Ec. (2), cu</w:t>
      </w:r>
      <w:r>
        <w:t xml:space="preserve"> </w:t>
      </w:r>
      <m:oMath>
        <m:r>
          <m:t>ε</m:t>
        </m:r>
        <m:r>
          <m:rPr>
            <m:sty m:val="p"/>
          </m:rPr>
          <m:t>=</m:t>
        </m:r>
        <m:sSup>
          <m:e>
            <m:r>
              <m:t>10</m:t>
            </m:r>
          </m:e>
          <m:sup>
            <m:r>
              <m:rPr>
                <m:sty m:val="p"/>
              </m:rPr>
              <m:t>−</m:t>
            </m:r>
            <m:r>
              <m:t>4</m:t>
            </m:r>
          </m:sup>
        </m:sSup>
      </m:oMath>
      <w:r>
        <w:t xml:space="preserve">:</w:t>
      </w:r>
    </w:p>
    <w:p>
      <w:pPr>
        <w:pStyle w:val="Ecuatie"/>
      </w:pPr>
      <w:r>
        <w:tab/>
      </w:r>
      <m:oMath>
        <m:r>
          <m:t>L</m:t>
        </m:r>
        <m:r>
          <m:t>R</m:t>
        </m:r>
        <m:d>
          <m:dPr>
            <m:begChr m:val="("/>
            <m:sepChr m:val=""/>
            <m:endChr m:val=")"/>
            <m:grow/>
          </m:dPr>
          <m:e>
            <m:r>
              <m:t>x</m:t>
            </m:r>
          </m:e>
        </m:d>
        <m:r>
          <m:rPr>
            <m:sty m:val="p"/>
          </m:rPr>
          <m:t>=</m:t>
        </m:r>
        <m:r>
          <m:rPr>
            <m:sty m:val="p"/>
          </m:rPr>
          <m:t>log</m:t>
        </m:r>
        <m:d>
          <m:dPr>
            <m:begChr m:val="("/>
            <m:sepChr m:val=""/>
            <m:endChr m:val=")"/>
            <m:grow/>
          </m:dPr>
          <m:e>
            <m:r>
              <m:t>E</m:t>
            </m:r>
            <m:r>
              <m:t>U</m:t>
            </m:r>
            <m:d>
              <m:dPr>
                <m:begChr m:val="("/>
                <m:sepChr m:val=""/>
                <m:endChr m:val=")"/>
                <m:grow/>
              </m:dPr>
              <m:e>
                <m:r>
                  <m:t>x</m:t>
                </m:r>
              </m:e>
            </m:d>
            <m:r>
              <m:rPr>
                <m:sty m:val="p"/>
              </m:rPr>
              <m:t>+</m:t>
            </m:r>
            <m:r>
              <m:t>ε</m:t>
            </m:r>
          </m:e>
        </m:d>
        <m:r>
          <m:rPr>
            <m:sty m:val="p"/>
          </m:rPr>
          <m:t>−</m:t>
        </m:r>
        <m:r>
          <m:rPr>
            <m:sty m:val="p"/>
          </m:rPr>
          <m:t>log</m:t>
        </m:r>
        <m:d>
          <m:dPr>
            <m:begChr m:val="("/>
            <m:sepChr m:val=""/>
            <m:endChr m:val=")"/>
            <m:grow/>
          </m:dPr>
          <m:e>
            <m:r>
              <m:t>A</m:t>
            </m:r>
            <m:r>
              <m:t>U</m:t>
            </m:r>
            <m:d>
              <m:dPr>
                <m:begChr m:val="("/>
                <m:sepChr m:val=""/>
                <m:endChr m:val=")"/>
                <m:grow/>
              </m:dPr>
              <m:e>
                <m:r>
                  <m:t>x</m:t>
                </m:r>
              </m:e>
            </m:d>
            <m:r>
              <m:rPr>
                <m:sty m:val="p"/>
              </m:rPr>
              <m:t>+</m:t>
            </m:r>
            <m:r>
              <m:t>ε</m:t>
            </m:r>
          </m:e>
        </m:d>
      </m:oMath>
      <w:r>
        <w:tab/>
        <w:t>(2)</w:t>
      </w:r>
    </w:p>
    <w:p>
      <w:pPr>
        <w:pStyle w:val="BodyText"/>
      </w:pPr>
      <w:r>
        <w:t xml:space="preserve">Dacă</w:t>
      </w:r>
      <w:r>
        <w:t xml:space="preserve"> </w:t>
      </w:r>
      <m:oMath>
        <m:sSub>
          <m:e>
            <m:r>
              <m:t>P</m:t>
            </m:r>
          </m:e>
          <m:sub>
            <m:r>
              <m:t>t</m:t>
            </m:r>
          </m:sub>
        </m:sSub>
        <m:d>
          <m:dPr>
            <m:begChr m:val="("/>
            <m:sepChr m:val=""/>
            <m:endChr m:val=")"/>
            <m:grow/>
          </m:dPr>
          <m:e>
            <m:r>
              <m:t>x</m:t>
            </m:r>
          </m:e>
        </m:d>
      </m:oMath>
      <w:r>
        <w:t xml:space="preserve"> </w:t>
      </w:r>
      <w:r>
        <w:t xml:space="preserve">rămâne constant, orice funcție</w:t>
      </w:r>
      <w:r>
        <w:t xml:space="preserve"> </w:t>
      </w:r>
      <m:oMath>
        <m:r>
          <m:t>g</m:t>
        </m:r>
        <m:d>
          <m:dPr>
            <m:begChr m:val="("/>
            <m:sepChr m:val=""/>
            <m:endChr m:val=")"/>
            <m:grow/>
          </m:dPr>
          <m:e>
            <m:r>
              <m:t>x</m:t>
            </m:r>
          </m:e>
        </m:d>
      </m:oMath>
      <w:r>
        <w:t xml:space="preserve">, inclusiv EU, AU și LR, are aceeași distribuție înainte și după deviere, deci un detector bazat pe ea nu poate depăși nivelul de semnificație. Această limită este testată prin H3.</w:t>
      </w:r>
    </w:p>
    <w:bookmarkEnd w:id="21"/>
    <w:bookmarkStart w:id="22" w:name="date-și-fluxuri-cu-deviere-cunoscută"/>
    <w:p>
      <w:pPr>
        <w:pStyle w:val="Heading2"/>
      </w:pPr>
      <w:r>
        <w:t xml:space="preserve">Date și fluxuri cu deviere cunoscută</w:t>
      </w:r>
    </w:p>
    <w:p>
      <w:pPr>
        <w:pStyle w:val="FirstParagraph"/>
      </w:pPr>
      <w:r>
        <w:t xml:space="preserve">Seturile de date sunt prezentate în Tab. 1. Toate sunt publice, au licențe care permit cercetarea și sunt verificate prin amprentă SHA-256 la fiecare rulare.</w:t>
      </w:r>
    </w:p>
    <w:p>
      <w:pPr>
        <w:pStyle w:val="NoSpacing"/>
        <w:jc w:val="right"/>
      </w:pPr>
      <w:r>
        <w:rPr>
          <w:rFonts w:ascii="Times New Roman" w:hAnsi="Times New Roman"/>
          <w:i/>
          <w:lang w:val="ro-RO"/>
        </w:rPr>
        <w:t>Tabelul 1</w:t>
      </w:r>
    </w:p>
    <w:p>
      <w:pPr>
        <w:pStyle w:val="NoSpacing"/>
        <w:keepNext/>
        <w:jc w:val="center"/>
      </w:pPr>
      <w:r>
        <w:rPr>
          <w:rFonts w:ascii="Times New Roman" w:hAnsi="Times New Roman"/>
          <w:b/>
          <w:lang w:val="ro-RO"/>
        </w:rPr>
        <w:t>Seturile de date utilizate</w:t>
      </w:r>
    </w:p>
    <w:tbl>
      <w:tblPr>
        <w:tblStyle w:val="Table"/>
        <w:tblW w:type="pct" w:w="500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2022"/>
        <w:gridCol w:w="1685"/>
        <w:gridCol w:w="1348"/>
        <w:gridCol w:w="1685"/>
        <w:gridCol w:w="1179"/>
      </w:tblGrid>
      <w:tr>
        <w:trPr>
          <w:tblHeader w:val="true"/>
        </w:trPr>
        <w:tc>
          <w:tcPr/>
          <w:p>
            <w:pPr>
              <w:pStyle w:val="Compact"/>
              <w:spacing w:before="20" w:after="20"/>
              <w:ind w:firstLine="0"/>
              <w:jc w:val="center"/>
            </w:pPr>
            <w:r>
              <w:rPr>
                <w:bCs/>
                <w:rFonts w:ascii="Times New Roman" w:hAnsi="Times New Roman"/>
                <w:b/>
                <w:sz w:val="20"/>
              </w:rPr>
              <w:t xml:space="preserve">Set de date</w:t>
            </w:r>
          </w:p>
        </w:tc>
        <w:tc>
          <w:tcPr/>
          <w:p>
            <w:pPr>
              <w:pStyle w:val="Compact"/>
              <w:spacing w:before="20" w:after="20"/>
              <w:ind w:firstLine="0"/>
              <w:jc w:val="center"/>
            </w:pPr>
            <w:r>
              <w:rPr>
                <w:bCs/>
                <w:rFonts w:ascii="Times New Roman" w:hAnsi="Times New Roman"/>
                <w:b/>
                <w:sz w:val="20"/>
              </w:rPr>
              <w:t xml:space="preserve">Domeniu</w:t>
            </w:r>
          </w:p>
        </w:tc>
        <w:tc>
          <w:tcPr/>
          <w:p>
            <w:pPr>
              <w:pStyle w:val="Compact"/>
              <w:spacing w:before="20" w:after="20"/>
              <w:ind w:firstLine="0"/>
              <w:jc w:val="center"/>
            </w:pPr>
            <w:r>
              <w:rPr>
                <w:bCs/>
                <w:rFonts w:ascii="Times New Roman" w:hAnsi="Times New Roman"/>
                <w:b/>
                <w:sz w:val="20"/>
              </w:rPr>
              <w:t xml:space="preserve">Înregistrări × trăsături</w:t>
            </w:r>
          </w:p>
        </w:tc>
        <w:tc>
          <w:tcPr/>
          <w:p>
            <w:pPr>
              <w:pStyle w:val="Compact"/>
              <w:spacing w:before="20" w:after="20"/>
              <w:ind w:firstLine="0"/>
              <w:jc w:val="center"/>
            </w:pPr>
            <w:r>
              <w:rPr>
                <w:bCs/>
                <w:rFonts w:ascii="Times New Roman" w:hAnsi="Times New Roman"/>
                <w:b/>
                <w:sz w:val="20"/>
              </w:rPr>
              <w:t xml:space="preserve">Țintă (rata clasei pozitive)</w:t>
            </w:r>
          </w:p>
        </w:tc>
        <w:tc>
          <w:tcPr/>
          <w:p>
            <w:pPr>
              <w:pStyle w:val="Compact"/>
              <w:spacing w:before="20" w:after="20"/>
              <w:ind w:firstLine="0"/>
              <w:jc w:val="center"/>
            </w:pPr>
            <w:r>
              <w:rPr>
                <w:bCs/>
                <w:rFonts w:ascii="Times New Roman" w:hAnsi="Times New Roman"/>
                <w:b/>
                <w:sz w:val="20"/>
              </w:rPr>
              <w:t xml:space="preserve">Licență</w:t>
            </w:r>
          </w:p>
        </w:tc>
      </w:tr>
      <w:tr>
        <w:tc>
          <w:tcPr/>
          <w:p>
            <w:pPr>
              <w:pStyle w:val="Compact"/>
              <w:spacing w:before="20" w:after="20"/>
              <w:ind w:firstLine="0"/>
              <w:jc w:val="left"/>
            </w:pPr>
            <w:r>
              <w:rPr>
                <w:rFonts w:ascii="Times New Roman" w:hAnsi="Times New Roman"/>
                <w:sz w:val="20"/>
              </w:rPr>
              <w:t xml:space="preserve">Credit (Taiwan, 2005) [14]</w:t>
            </w:r>
          </w:p>
        </w:tc>
        <w:tc>
          <w:tcPr/>
          <w:p>
            <w:pPr>
              <w:pStyle w:val="Compact"/>
              <w:spacing w:before="20" w:after="20"/>
              <w:ind w:firstLine="0"/>
              <w:jc w:val="center"/>
            </w:pPr>
            <w:r>
              <w:rPr>
                <w:rFonts w:ascii="Times New Roman" w:hAnsi="Times New Roman"/>
                <w:sz w:val="20"/>
              </w:rPr>
              <w:t xml:space="preserve">risc de credit</w:t>
            </w:r>
          </w:p>
        </w:tc>
        <w:tc>
          <w:tcPr/>
          <w:p>
            <w:pPr>
              <w:pStyle w:val="Compact"/>
              <w:spacing w:before="20" w:after="20"/>
              <w:ind w:firstLine="0"/>
              <w:jc w:val="center"/>
            </w:pPr>
            <w:r>
              <w:rPr>
                <w:rFonts w:ascii="Times New Roman" w:hAnsi="Times New Roman"/>
                <w:sz w:val="20"/>
              </w:rPr>
              <w:t xml:space="preserve">30 000 × 23</w:t>
            </w:r>
          </w:p>
        </w:tc>
        <w:tc>
          <w:tcPr/>
          <w:p>
            <w:pPr>
              <w:pStyle w:val="Compact"/>
              <w:spacing w:before="20" w:after="20"/>
              <w:ind w:firstLine="0"/>
              <w:jc w:val="center"/>
            </w:pPr>
            <w:r>
              <w:rPr>
                <w:rFonts w:ascii="Times New Roman" w:hAnsi="Times New Roman"/>
                <w:sz w:val="20"/>
              </w:rPr>
              <w:t xml:space="preserve">neplată (22.1 %)</w:t>
            </w:r>
          </w:p>
        </w:tc>
        <w:tc>
          <w:tcPr/>
          <w:p>
            <w:pPr>
              <w:pStyle w:val="Compact"/>
              <w:spacing w:before="20" w:after="20"/>
              <w:ind w:firstLine="0"/>
              <w:jc w:val="center"/>
            </w:pPr>
            <w:r>
              <w:rPr>
                <w:rFonts w:ascii="Times New Roman" w:hAnsi="Times New Roman"/>
                <w:sz w:val="20"/>
              </w:rPr>
              <w:t xml:space="preserve">CC BY 4.0</w:t>
            </w:r>
          </w:p>
        </w:tc>
      </w:tr>
      <w:tr>
        <w:tc>
          <w:tcPr/>
          <w:p>
            <w:pPr>
              <w:pStyle w:val="Compact"/>
              <w:spacing w:before="20" w:after="20"/>
              <w:ind w:firstLine="0"/>
              <w:jc w:val="left"/>
            </w:pPr>
            <w:r>
              <w:rPr>
                <w:rFonts w:ascii="Times New Roman" w:hAnsi="Times New Roman"/>
                <w:sz w:val="20"/>
              </w:rPr>
              <w:t xml:space="preserve">Telco Customer Churn [15]</w:t>
            </w:r>
          </w:p>
        </w:tc>
        <w:tc>
          <w:tcPr/>
          <w:p>
            <w:pPr>
              <w:pStyle w:val="Compact"/>
              <w:spacing w:before="20" w:after="20"/>
              <w:ind w:firstLine="0"/>
              <w:jc w:val="center"/>
            </w:pPr>
            <w:r>
              <w:rPr>
                <w:rFonts w:ascii="Times New Roman" w:hAnsi="Times New Roman"/>
                <w:sz w:val="20"/>
              </w:rPr>
              <w:t xml:space="preserve">clienți telecom</w:t>
            </w:r>
          </w:p>
        </w:tc>
        <w:tc>
          <w:tcPr/>
          <w:p>
            <w:pPr>
              <w:pStyle w:val="Compact"/>
              <w:spacing w:before="20" w:after="20"/>
              <w:ind w:firstLine="0"/>
              <w:jc w:val="center"/>
            </w:pPr>
            <w:r>
              <w:rPr>
                <w:rFonts w:ascii="Times New Roman" w:hAnsi="Times New Roman"/>
                <w:sz w:val="20"/>
              </w:rPr>
              <w:t xml:space="preserve">7 043 × 19</w:t>
            </w:r>
          </w:p>
        </w:tc>
        <w:tc>
          <w:tcPr/>
          <w:p>
            <w:pPr>
              <w:pStyle w:val="Compact"/>
              <w:spacing w:before="20" w:after="20"/>
              <w:ind w:firstLine="0"/>
              <w:jc w:val="center"/>
            </w:pPr>
            <w:r>
              <w:rPr>
                <w:rFonts w:ascii="Times New Roman" w:hAnsi="Times New Roman"/>
                <w:sz w:val="20"/>
              </w:rPr>
              <w:t xml:space="preserve">plecarea clientului (26.5 %)</w:t>
            </w:r>
          </w:p>
        </w:tc>
        <w:tc>
          <w:tcPr/>
          <w:p>
            <w:pPr>
              <w:pStyle w:val="Compact"/>
              <w:spacing w:before="20" w:after="20"/>
              <w:ind w:firstLine="0"/>
              <w:jc w:val="center"/>
            </w:pPr>
            <w:r>
              <w:rPr>
                <w:rFonts w:ascii="Times New Roman" w:hAnsi="Times New Roman"/>
                <w:sz w:val="20"/>
              </w:rPr>
              <w:t xml:space="preserve">Apache-2.0</w:t>
            </w:r>
          </w:p>
        </w:tc>
      </w:tr>
      <w:tr>
        <w:tc>
          <w:tcPr/>
          <w:p>
            <w:pPr>
              <w:pStyle w:val="Compact"/>
              <w:spacing w:before="20" w:after="20"/>
              <w:ind w:firstLine="0"/>
              <w:jc w:val="left"/>
            </w:pPr>
            <w:r>
              <w:rPr>
                <w:rFonts w:ascii="Times New Roman" w:hAnsi="Times New Roman"/>
                <w:sz w:val="20"/>
              </w:rPr>
              <w:t xml:space="preserve">Elec2 [16]</w:t>
            </w:r>
          </w:p>
        </w:tc>
        <w:tc>
          <w:tcPr/>
          <w:p>
            <w:pPr>
              <w:pStyle w:val="Compact"/>
              <w:spacing w:before="20" w:after="20"/>
              <w:ind w:firstLine="0"/>
              <w:jc w:val="center"/>
            </w:pPr>
            <w:r>
              <w:rPr>
                <w:rFonts w:ascii="Times New Roman" w:hAnsi="Times New Roman"/>
                <w:sz w:val="20"/>
              </w:rPr>
              <w:t xml:space="preserve">piața energiei, flux natural</w:t>
            </w:r>
          </w:p>
        </w:tc>
        <w:tc>
          <w:tcPr/>
          <w:p>
            <w:pPr>
              <w:pStyle w:val="Compact"/>
              <w:spacing w:before="20" w:after="20"/>
              <w:ind w:firstLine="0"/>
              <w:jc w:val="center"/>
            </w:pPr>
            <w:r>
              <w:rPr>
                <w:rFonts w:ascii="Times New Roman" w:hAnsi="Times New Roman"/>
                <w:sz w:val="20"/>
              </w:rPr>
              <w:t xml:space="preserve">45 312 × 6</w:t>
            </w:r>
          </w:p>
        </w:tc>
        <w:tc>
          <w:tcPr/>
          <w:p>
            <w:pPr>
              <w:pStyle w:val="Compact"/>
              <w:spacing w:before="20" w:after="20"/>
              <w:ind w:firstLine="0"/>
              <w:jc w:val="center"/>
            </w:pPr>
            <w:r>
              <w:rPr>
                <w:rFonts w:ascii="Times New Roman" w:hAnsi="Times New Roman"/>
                <w:sz w:val="20"/>
              </w:rPr>
              <w:t xml:space="preserve">creșterea prețului (42.5 %)</w:t>
            </w:r>
          </w:p>
        </w:tc>
        <w:tc>
          <w:tcPr/>
          <w:p>
            <w:pPr>
              <w:pStyle w:val="Compact"/>
              <w:spacing w:before="20" w:after="20"/>
              <w:ind w:firstLine="0"/>
              <w:jc w:val="center"/>
            </w:pPr>
            <w:r>
              <w:rPr>
                <w:rFonts w:ascii="Times New Roman" w:hAnsi="Times New Roman"/>
                <w:sz w:val="20"/>
              </w:rPr>
              <w:t xml:space="preserve">liberă pentru cercetare</w:t>
            </w:r>
          </w:p>
        </w:tc>
      </w:tr>
      <w:tr>
        <w:tc>
          <w:tcPr/>
          <w:p>
            <w:pPr>
              <w:pStyle w:val="Compact"/>
              <w:spacing w:before="20" w:after="20"/>
              <w:ind w:firstLine="0"/>
              <w:jc w:val="left"/>
            </w:pPr>
            <w:r>
              <w:rPr>
                <w:rFonts w:ascii="Times New Roman" w:hAnsi="Times New Roman"/>
                <w:sz w:val="20"/>
              </w:rPr>
              <w:t xml:space="preserve">Cifre 8×8 (UCI)</w:t>
            </w:r>
          </w:p>
        </w:tc>
        <w:tc>
          <w:tcPr/>
          <w:p>
            <w:pPr>
              <w:pStyle w:val="Compact"/>
              <w:spacing w:before="20" w:after="20"/>
              <w:ind w:firstLine="0"/>
              <w:jc w:val="center"/>
            </w:pPr>
            <w:r>
              <w:rPr>
                <w:rFonts w:ascii="Times New Roman" w:hAnsi="Times New Roman"/>
                <w:sz w:val="20"/>
              </w:rPr>
              <w:t xml:space="preserve">imagini</w:t>
            </w:r>
          </w:p>
        </w:tc>
        <w:tc>
          <w:tcPr/>
          <w:p>
            <w:pPr>
              <w:pStyle w:val="Compact"/>
              <w:spacing w:before="20" w:after="20"/>
              <w:ind w:firstLine="0"/>
              <w:jc w:val="center"/>
            </w:pPr>
            <w:r>
              <w:rPr>
                <w:rFonts w:ascii="Times New Roman" w:hAnsi="Times New Roman"/>
                <w:sz w:val="20"/>
              </w:rPr>
              <w:t xml:space="preserve">1 797 × 64</w:t>
            </w:r>
          </w:p>
        </w:tc>
        <w:tc>
          <w:tcPr/>
          <w:p>
            <w:pPr>
              <w:pStyle w:val="Compact"/>
              <w:spacing w:before="20" w:after="20"/>
              <w:ind w:firstLine="0"/>
              <w:jc w:val="center"/>
            </w:pPr>
            <w:r>
              <w:rPr>
                <w:rFonts w:ascii="Times New Roman" w:hAnsi="Times New Roman"/>
                <w:sz w:val="20"/>
              </w:rPr>
              <w:t xml:space="preserve">10 clase</w:t>
            </w:r>
          </w:p>
        </w:tc>
        <w:tc>
          <w:tcPr/>
          <w:p>
            <w:pPr>
              <w:pStyle w:val="Compact"/>
              <w:spacing w:before="20" w:after="20"/>
              <w:ind w:firstLine="0"/>
              <w:jc w:val="center"/>
            </w:pPr>
            <w:r>
              <w:rPr>
                <w:rFonts w:ascii="Times New Roman" w:hAnsi="Times New Roman"/>
                <w:sz w:val="20"/>
              </w:rPr>
              <w:t xml:space="preserve">CC BY 4.0</w:t>
            </w:r>
          </w:p>
        </w:tc>
      </w:tr>
      <w:tr>
        <w:tc>
          <w:tcPr/>
          <w:p>
            <w:pPr>
              <w:pStyle w:val="Compact"/>
              <w:spacing w:before="20" w:after="20"/>
              <w:ind w:firstLine="0"/>
              <w:jc w:val="left"/>
            </w:pPr>
            <w:r>
              <w:rPr>
                <w:rFonts w:ascii="Times New Roman" w:hAnsi="Times New Roman"/>
                <w:sz w:val="20"/>
              </w:rPr>
              <w:t xml:space="preserve">SEA [17]</w:t>
            </w:r>
          </w:p>
        </w:tc>
        <w:tc>
          <w:tcPr/>
          <w:p>
            <w:pPr>
              <w:pStyle w:val="Compact"/>
              <w:spacing w:before="20" w:after="20"/>
              <w:ind w:firstLine="0"/>
              <w:jc w:val="center"/>
            </w:pPr>
            <w:r>
              <w:rPr>
                <w:rFonts w:ascii="Times New Roman" w:hAnsi="Times New Roman"/>
                <w:sz w:val="20"/>
              </w:rPr>
              <w:t xml:space="preserve">sintetic</w:t>
            </w:r>
          </w:p>
        </w:tc>
        <w:tc>
          <w:tcPr/>
          <w:p>
            <w:pPr>
              <w:pStyle w:val="Compact"/>
              <w:spacing w:before="20" w:after="20"/>
              <w:ind w:firstLine="0"/>
              <w:jc w:val="center"/>
            </w:pPr>
            <w:r>
              <w:rPr>
                <w:rFonts w:ascii="Times New Roman" w:hAnsi="Times New Roman"/>
                <w:sz w:val="20"/>
              </w:rPr>
              <w:t xml:space="preserve">generat</w:t>
            </w:r>
          </w:p>
        </w:tc>
        <w:tc>
          <w:tcPr/>
          <w:p>
            <w:pPr>
              <w:pStyle w:val="Compact"/>
              <w:spacing w:before="20" w:after="20"/>
              <w:ind w:firstLine="0"/>
              <w:jc w:val="center"/>
            </w:pPr>
            <w:r>
              <w:rPr>
                <w:rFonts w:ascii="Times New Roman" w:hAnsi="Times New Roman"/>
                <w:sz w:val="20"/>
              </w:rPr>
              <w:t xml:space="preserve">binar</w:t>
            </w:r>
          </w:p>
        </w:tc>
        <w:tc>
          <w:tcPr/>
          <w:p>
            <w:pPr>
              <w:pStyle w:val="Compact"/>
              <w:spacing w:before="20" w:after="20"/>
              <w:ind w:firstLine="0"/>
              <w:jc w:val="center"/>
            </w:pPr>
            <w:r>
              <w:rPr>
                <w:rFonts w:ascii="Times New Roman" w:hAnsi="Times New Roman"/>
                <w:sz w:val="20"/>
              </w:rPr>
              <w:t xml:space="preserve">generat cu River [18]</w:t>
            </w:r>
          </w:p>
        </w:tc>
      </w:tr>
    </w:tbl>
    <w:p>
      <w:pPr>
        <w:pStyle w:val="BodyText"/>
      </w:pPr>
      <w:r>
        <w:t xml:space="preserve">Pentru a putea măsura avansul unei alarme, fiecare set real este transformat într-un flux: 3 000 de înregistrări pentru antrenare, 1 000 pentru calibrare și un flux de 6 000, în care devierea începe la înregistrarea 2 500 și crește liniar pe 1 500 de înregistrări. Au fost generate patru mecanisme:</w:t>
      </w:r>
      <w:r>
        <w:t xml:space="preserve"> </w:t>
      </w:r>
      <w:r>
        <w:rPr>
          <w:iCs/>
          <w:i/>
        </w:rPr>
        <w:t xml:space="preserve">covariată</w:t>
      </w:r>
      <w:r>
        <w:t xml:space="preserve"> </w:t>
      </w:r>
      <w:r>
        <w:t xml:space="preserve">(un segment nou de clienți,</w:t>
      </w:r>
      <w:r>
        <w:t xml:space="preserve"> </w:t>
      </w:r>
      <m:oMath>
        <m:r>
          <m:t>P</m:t>
        </m:r>
        <m:d>
          <m:dPr>
            <m:begChr m:val="("/>
            <m:sepChr m:val=""/>
            <m:endChr m:val=")"/>
            <m:grow/>
          </m:dPr>
          <m:e>
            <m:r>
              <m:t>x</m:t>
            </m:r>
          </m:e>
        </m:d>
      </m:oMath>
      <w:r>
        <w:t xml:space="preserve">),</w:t>
      </w:r>
      <w:r>
        <w:t xml:space="preserve"> </w:t>
      </w:r>
      <w:r>
        <w:rPr>
          <w:iCs/>
          <w:i/>
        </w:rPr>
        <w:t xml:space="preserve">senzor</w:t>
      </w:r>
      <w:r>
        <w:t xml:space="preserve"> </w:t>
      </w:r>
      <w:r>
        <w:t xml:space="preserve">(două trăsături deplasate cu</w:t>
      </w:r>
      <w:r>
        <w:t xml:space="preserve"> </w:t>
      </w:r>
      <m:oMath>
        <m:r>
          <m:t>2</m:t>
        </m:r>
        <m:r>
          <m:t>σ</m:t>
        </m:r>
      </m:oMath>
      <w:r>
        <w:t xml:space="preserve">),</w:t>
      </w:r>
      <w:r>
        <w:t xml:space="preserve"> </w:t>
      </w:r>
      <w:r>
        <w:rPr>
          <w:iCs/>
          <w:i/>
        </w:rPr>
        <w:t xml:space="preserve">reală</w:t>
      </w:r>
      <w:r>
        <w:t xml:space="preserve"> </w:t>
      </w:r>
      <w:r>
        <w:t xml:space="preserve">(etichete inversate cu probabilitatea 0.7 într-o regiune,</w:t>
      </w:r>
      <w:r>
        <w:t xml:space="preserve"> </w:t>
      </w:r>
      <m:oMath>
        <m:r>
          <m:t>P</m:t>
        </m:r>
        <m:d>
          <m:dPr>
            <m:begChr m:val="("/>
            <m:sepChr m:val=""/>
            <m:endChr m:val=")"/>
            <m:grow/>
          </m:dPr>
          <m:e>
            <m:r>
              <m:t>y</m:t>
            </m:r>
            <m:r>
              <m:rPr>
                <m:sty m:val="p"/>
              </m:rPr>
              <m:t>∣</m:t>
            </m:r>
            <m:r>
              <m:t>x</m:t>
            </m:r>
          </m:e>
        </m:d>
      </m:oMath>
      <w:r>
        <w:t xml:space="preserve">) și</w:t>
      </w:r>
      <w:r>
        <w:t xml:space="preserve"> </w:t>
      </w:r>
      <w:r>
        <w:rPr>
          <w:iCs/>
          <w:i/>
        </w:rPr>
        <w:t xml:space="preserve">fără deviere</w:t>
      </w:r>
      <w:r>
        <w:t xml:space="preserve"> </w:t>
      </w:r>
      <w:r>
        <w:t xml:space="preserve">(pentru alarme false). Trăsăturile deviate sunt înregistrate. Datele nu conțin identificatori personali, iar singurele valori lipsă (0.16 % din coloana</w:t>
      </w:r>
      <w:r>
        <w:t xml:space="preserve"> </w:t>
      </w:r>
      <w:r>
        <w:rPr>
          <w:iCs/>
          <w:i/>
        </w:rPr>
        <w:t xml:space="preserve">TotalCharges</w:t>
      </w:r>
      <w:r>
        <w:t xml:space="preserve"> </w:t>
      </w:r>
      <w:r>
        <w:t xml:space="preserve">a setului Telco) au fost imputate cu mediana. Populația o constituie toate înregistrările unui set, iar eșantioanele de antrenare, calibrare și flux sunt extrase cu semințe fixe (0–4).</w:t>
      </w:r>
    </w:p>
    <w:bookmarkEnd w:id="22"/>
    <w:bookmarkStart w:id="23" w:name="detectori-evaluare-și-inferență"/>
    <w:p>
      <w:pPr>
        <w:pStyle w:val="Heading2"/>
      </w:pPr>
      <w:r>
        <w:t xml:space="preserve">Detectori, evaluare și inferență</w:t>
      </w:r>
    </w:p>
    <w:p>
      <w:pPr>
        <w:pStyle w:val="FirstParagraph"/>
      </w:pPr>
      <w:r>
        <w:t xml:space="preserve">Semnalele fără etichete sunt monitorizate cu PH, ADWIN, o detecție bayesiană online a punctelor de schimbare (BOCPD) [19] și un amestec gaussian estimat prin EM [20], ultimele două implementate de autor, alături de testul Kolmogorov-Smirnov pe intrări [21]. Pragurile sunt calibrate astfel încât probabilitatea unei alarme false pe un flux staționar să fie cel mult 0.10. Scăderea vizibilă a acurateței este primul moment în care acuratețea pe ultimele 300 de înregistrări scade cu peste trei erori standard sub nivelul inițial. Atribuirile sunt calculate cu KernelSHAP [22], GradientSHAP și LIME [23].</w:t>
      </w:r>
    </w:p>
    <w:p>
      <w:pPr>
        <w:pStyle w:val="BodyText"/>
      </w:pPr>
      <w:r>
        <w:t xml:space="preserve">Înregistrările dintr-un flux nu sunt independente, de aceea unitatea de analiză este rularea. Au fost efectuate 225 de rulări (12 scenarii × 3 modele × 5 semințe, plus 45 de ablații), testate cu Wilcoxon și corecție Holm [24], echivalența cu hazardul prin TOST [25], fluxul Elec2 prin bootstrap pe blocuri [26], iar rezultatele pe seturi de date au fost agregate prin meta-analiză cu efecte aleatoare [27]. Toți parametrii se află într-un singur fișier de configurare, o rulare completă durează aproximativ o oră pe un calculator cu două nuclee, iar rezultatele au fost reproduse identic pe o copie nouă a depozitului.</w:t>
      </w:r>
    </w:p>
    <w:bookmarkEnd w:id="23"/>
    <w:bookmarkEnd w:id="24"/>
    <w:bookmarkStart w:id="40" w:name="rezultate-și-discuții"/>
    <w:p>
      <w:pPr>
        <w:pStyle w:val="Heading1"/>
      </w:pPr>
      <w:r>
        <w:t xml:space="preserve">Rezultate și discuții</w:t>
      </w:r>
    </w:p>
    <w:p>
      <w:pPr>
        <w:pStyle w:val="FirstParagraph"/>
      </w:pPr>
      <w:r>
        <w:t xml:space="preserve">Fig. 1 prezintă o rulare tipică. Odată cu devierea, AU</w:t>
      </w:r>
      <w:r>
        <w:t xml:space="preserve"> </w:t>
      </w:r>
      <w:r>
        <w:rPr>
          <w:iCs/>
          <w:i/>
        </w:rPr>
        <w:t xml:space="preserve">scade</w:t>
      </w:r>
      <w:r>
        <w:t xml:space="preserve">, iar EU crește. Alarma pe LR apare la 6 înregistrări înaintea scăderii vizibile și cu 200 înaintea primului detector bazat pe eroare.</w:t>
      </w:r>
    </w:p>
    <w:p>
      <w:pPr>
        <w:pStyle w:val="BodyText"/>
        <w:keepNext/>
        <w:ind w:firstLine="0"/>
        <w:jc w:val="center"/>
      </w:pPr>
      <w:r>
        <w:drawing>
          <wp:inline>
            <wp:extent cx="5759999" cy="5415483"/>
            <wp:effectExtent b="0" l="0" r="0" t="0"/>
            <wp:docPr descr="" title="" id="26" name="Picture"/>
            <a:graphic>
              <a:graphicData uri="http://schemas.openxmlformats.org/drawingml/2006/picture">
                <pic:pic>
                  <pic:nvPicPr>
                    <pic:cNvPr descr="../../figures/ro/fig1_example_trace.png" id="27" name="Picture"/>
                    <pic:cNvPicPr>
                      <a:picLocks noChangeArrowheads="1" noChangeAspect="1"/>
                    </pic:cNvPicPr>
                  </pic:nvPicPr>
                  <pic:blipFill>
                    <a:blip r:embed="rId25"/>
                    <a:stretch>
                      <a:fillRect/>
                    </a:stretch>
                  </pic:blipFill>
                  <pic:spPr bwMode="auto">
                    <a:xfrm>
                      <a:off x="0" y="0"/>
                      <a:ext cx="5759999" cy="5415483"/>
                    </a:xfrm>
                    <a:prstGeom prst="rect">
                      <a:avLst/>
                    </a:prstGeom>
                    <a:noFill/>
                    <a:ln w="9525">
                      <a:noFill/>
                      <a:headEnd/>
                      <a:tailEnd/>
                    </a:ln>
                  </pic:spPr>
                </pic:pic>
              </a:graphicData>
            </a:graphic>
          </wp:inline>
        </w:drawing>
      </w:r>
    </w:p>
    <w:p>
      <w:pPr>
        <w:pStyle w:val="NoSpacing"/>
        <w:spacing w:after="120"/>
        <w:jc w:val="center"/>
      </w:pPr>
      <w:r>
        <w:rPr>
          <w:rFonts w:ascii="Times New Roman" w:hAnsi="Times New Roman"/>
          <w:b/>
          <w:lang w:val="ro-RO"/>
        </w:rPr>
        <w:t>Figura 1. Credit, deviere covariată, MC-Dropout: acuratețea, AU și EU, semnalul LR și alarmele detectorilor</w:t>
      </w:r>
    </w:p>
    <w:p>
      <w:pPr>
        <w:pStyle w:val="BodyText"/>
      </w:pPr>
      <w:r>
        <w:rPr>
          <w:bCs/>
          <w:b/>
        </w:rPr>
        <w:t xml:space="preserve">H2 este confirmată.</w:t>
      </w:r>
      <w:r>
        <w:t xml:space="preserve"> </w:t>
      </w:r>
      <w:r>
        <w:t xml:space="preserve">Pe devierile lui</w:t>
      </w:r>
      <w:r>
        <w:t xml:space="preserve"> </w:t>
      </w:r>
      <m:oMath>
        <m:r>
          <m:t>P</m:t>
        </m:r>
        <m:d>
          <m:dPr>
            <m:begChr m:val="("/>
            <m:sepChr m:val=""/>
            <m:endChr m:val=")"/>
            <m:grow/>
          </m:dPr>
          <m:e>
            <m:r>
              <m:t>x</m:t>
            </m:r>
          </m:e>
        </m:d>
      </m:oMath>
      <w:r>
        <w:t xml:space="preserve">, LR are AUROC median 0.80, față de 0.67 pentru EU, 0.53 pentru TU, 0.50 pentru AU și 0.53 pentru</w:t>
      </w:r>
      <w:r>
        <w:t xml:space="preserve"> </w:t>
      </w:r>
      <m:oMath>
        <m:r>
          <m:t>1</m:t>
        </m:r>
        <m:r>
          <m:rPr>
            <m:sty m:val="p"/>
          </m:rPr>
          <m:t>−</m:t>
        </m:r>
        <m:r>
          <m:rPr>
            <m:sty m:val="p"/>
          </m:rPr>
          <m:t>max</m:t>
        </m:r>
        <m:r>
          <m:t>p</m:t>
        </m:r>
      </m:oMath>
      <w:r>
        <w:t xml:space="preserve"> </w:t>
      </w:r>
      <w:r>
        <w:t xml:space="preserve">(toate comparațiile:</w:t>
      </w:r>
      <w:r>
        <w:t xml:space="preserve"> </w:t>
      </w:r>
      <m:oMath>
        <m:sSub>
          <m:e>
            <m:r>
              <m:t>p</m:t>
            </m:r>
          </m:e>
          <m:sub>
            <m:r>
              <m:t>H</m:t>
            </m:r>
            <m:r>
              <m:t>o</m:t>
            </m:r>
            <m:r>
              <m:t>l</m:t>
            </m:r>
            <m:r>
              <m:t>m</m:t>
            </m:r>
          </m:sub>
        </m:sSub>
        <m:r>
          <m:rPr>
            <m:sty m:val="p"/>
          </m:rPr>
          <m:t>&lt;</m:t>
        </m:r>
        <m:r>
          <m:t>0.001</m:t>
        </m:r>
      </m:oMath>
      <w:r>
        <w:t xml:space="preserve">; Fig. 2). Sub deviere reală, toate semnalele au AUROC 0.50 și sunt echivalente statistic cu hazardul (TOST,</w:t>
      </w:r>
      <w:r>
        <w:t xml:space="preserve"> </w:t>
      </w:r>
      <m:oMath>
        <m:r>
          <m:t>p</m:t>
        </m:r>
        <m:r>
          <m:rPr>
            <m:sty m:val="p"/>
          </m:rPr>
          <m:t>&lt;</m:t>
        </m:r>
        <m:r>
          <m:t>0.001</m:t>
        </m:r>
      </m:oMath>
      <w:r>
        <w:t xml:space="preserve">), în timp ce detectoarele bazate pe eroare detectează 100 % din devieri.</w:t>
      </w:r>
      <w:r>
        <w:t xml:space="preserve"> </w:t>
      </w:r>
      <w:r>
        <w:rPr>
          <w:bCs/>
          <w:b/>
        </w:rPr>
        <w:t xml:space="preserve">H3 este confirmată</w:t>
      </w:r>
      <w:r>
        <w:t xml:space="preserve">, așa cum prezice limita teoretică.</w:t>
      </w:r>
    </w:p>
    <w:p>
      <w:pPr>
        <w:pStyle w:val="BodyText"/>
        <w:keepNext/>
        <w:ind w:firstLine="0"/>
        <w:jc w:val="center"/>
      </w:pPr>
      <w:r>
        <w:drawing>
          <wp:inline>
            <wp:extent cx="5399999" cy="2736357"/>
            <wp:effectExtent b="0" l="0" r="0" t="0"/>
            <wp:docPr descr="" title="" id="29" name="Picture"/>
            <a:graphic>
              <a:graphicData uri="http://schemas.openxmlformats.org/drawingml/2006/picture">
                <pic:pic>
                  <pic:nvPicPr>
                    <pic:cNvPr descr="../../figures/ro/fig2_signal_auroc.png" id="30" name="Picture"/>
                    <pic:cNvPicPr>
                      <a:picLocks noChangeArrowheads="1" noChangeAspect="1"/>
                    </pic:cNvPicPr>
                  </pic:nvPicPr>
                  <pic:blipFill>
                    <a:blip r:embed="rId28"/>
                    <a:stretch>
                      <a:fillRect/>
                    </a:stretch>
                  </pic:blipFill>
                  <pic:spPr bwMode="auto">
                    <a:xfrm>
                      <a:off x="0" y="0"/>
                      <a:ext cx="5399999" cy="2736357"/>
                    </a:xfrm>
                    <a:prstGeom prst="rect">
                      <a:avLst/>
                    </a:prstGeom>
                    <a:noFill/>
                    <a:ln w="9525">
                      <a:noFill/>
                      <a:headEnd/>
                      <a:tailEnd/>
                    </a:ln>
                  </pic:spPr>
                </pic:pic>
              </a:graphicData>
            </a:graphic>
          </wp:inline>
        </w:drawing>
      </w:r>
    </w:p>
    <w:p>
      <w:pPr>
        <w:pStyle w:val="NoSpacing"/>
        <w:spacing w:after="120"/>
        <w:jc w:val="center"/>
      </w:pPr>
      <w:r>
        <w:rPr>
          <w:rFonts w:ascii="Times New Roman" w:hAnsi="Times New Roman"/>
          <w:b/>
          <w:lang w:val="ro-RO"/>
        </w:rPr>
        <w:t>Figura 2. Separabilitatea fiecărui semnal (AUROC median, interval de încredere 95 %) pe tipuri de deviere</w:t>
      </w:r>
    </w:p>
    <w:p>
      <w:pPr>
        <w:pStyle w:val="BodyText"/>
      </w:pPr>
      <w:r>
        <w:rPr>
          <w:bCs/>
          <w:b/>
        </w:rPr>
        <w:t xml:space="preserve">H5: avantajul raportului depinde de model</w:t>
      </w:r>
      <w:r>
        <w:t xml:space="preserve"> </w:t>
      </w:r>
      <w:r>
        <w:t xml:space="preserve">(Tab. 2, Fig. 3). Pentru rețele, LR este cel mai bun semnal, deoarece rețelele ReLU devin supra-încrezătoare departe de datele de antrenare [28]: AU scade, EU crește, iar logaritmul raportului le însumează. SVM-ul și pădurea aleatoare revin spre predicții moderate, AU crește odată cu EU, iar raportul pierde.</w:t>
      </w:r>
    </w:p>
    <w:p>
      <w:pPr>
        <w:pStyle w:val="NoSpacing"/>
        <w:jc w:val="right"/>
      </w:pPr>
      <w:r>
        <w:rPr>
          <w:rFonts w:ascii="Times New Roman" w:hAnsi="Times New Roman"/>
          <w:i/>
          <w:lang w:val="ro-RO"/>
        </w:rPr>
        <w:t>Tabelul 2</w:t>
      </w:r>
    </w:p>
    <w:p>
      <w:pPr>
        <w:pStyle w:val="NoSpacing"/>
        <w:keepNext/>
        <w:jc w:val="center"/>
      </w:pPr>
      <w:r>
        <w:rPr>
          <w:rFonts w:ascii="Times New Roman" w:hAnsi="Times New Roman"/>
          <w:b/>
          <w:lang w:val="ro-RO"/>
        </w:rPr>
        <w:t>AUROC median pe devierile P(x) și testul pereche LR vs. EU (Holm)</w:t>
      </w:r>
    </w:p>
    <w:tbl>
      <w:tblPr>
        <w:tblStyle w:val="Table"/>
        <w:tblW w:type="pct" w:w="500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3099"/>
        <w:gridCol w:w="688"/>
        <w:gridCol w:w="688"/>
        <w:gridCol w:w="688"/>
        <w:gridCol w:w="688"/>
        <w:gridCol w:w="1205"/>
        <w:gridCol w:w="860"/>
      </w:tblGrid>
      <w:tr>
        <w:trPr>
          <w:tblHeader w:val="true"/>
        </w:trPr>
        <w:tc>
          <w:tcPr/>
          <w:p>
            <w:pPr>
              <w:pStyle w:val="Compact"/>
              <w:spacing w:before="20" w:after="20"/>
              <w:ind w:firstLine="0"/>
              <w:jc w:val="center"/>
            </w:pPr>
            <w:r>
              <w:rPr>
                <w:bCs/>
                <w:rFonts w:ascii="Times New Roman" w:hAnsi="Times New Roman"/>
                <w:b/>
                <w:sz w:val="20"/>
              </w:rPr>
              <w:t xml:space="preserve">Model</w:t>
            </w:r>
          </w:p>
        </w:tc>
        <w:tc>
          <w:tcPr/>
          <w:p>
            <w:pPr>
              <w:pStyle w:val="Compact"/>
              <w:spacing w:before="20" w:after="20"/>
              <w:ind w:firstLine="0"/>
              <w:jc w:val="center"/>
            </w:pPr>
            <w:r>
              <w:rPr>
                <w:bCs/>
                <w:rFonts w:ascii="Times New Roman" w:hAnsi="Times New Roman"/>
                <w:b/>
                <w:sz w:val="20"/>
              </w:rPr>
              <w:t xml:space="preserve">LR</w:t>
            </w:r>
          </w:p>
        </w:tc>
        <w:tc>
          <w:tcPr/>
          <w:p>
            <w:pPr>
              <w:pStyle w:val="Compact"/>
              <w:spacing w:before="20" w:after="20"/>
              <w:ind w:firstLine="0"/>
              <w:jc w:val="center"/>
            </w:pPr>
            <w:r>
              <w:rPr>
                <w:bCs/>
                <w:rFonts w:ascii="Times New Roman" w:hAnsi="Times New Roman"/>
                <w:b/>
                <w:sz w:val="20"/>
              </w:rPr>
              <w:t xml:space="preserve">EU</w:t>
            </w:r>
          </w:p>
        </w:tc>
        <w:tc>
          <w:tcPr/>
          <w:p>
            <w:pPr>
              <w:pStyle w:val="Compact"/>
              <w:spacing w:before="20" w:after="20"/>
              <w:ind w:firstLine="0"/>
              <w:jc w:val="center"/>
            </w:pPr>
            <w:r>
              <w:rPr>
                <w:bCs/>
                <w:rFonts w:ascii="Times New Roman" w:hAnsi="Times New Roman"/>
                <w:b/>
                <w:sz w:val="20"/>
              </w:rPr>
              <w:t xml:space="preserve">AU</w:t>
            </w:r>
          </w:p>
        </w:tc>
        <w:tc>
          <w:tcPr/>
          <w:p>
            <w:pPr>
              <w:pStyle w:val="Compact"/>
              <w:spacing w:before="20" w:after="20"/>
              <w:ind w:firstLine="0"/>
              <w:jc w:val="center"/>
            </w:pPr>
            <w:r>
              <w:rPr>
                <w:bCs/>
                <w:rFonts w:ascii="Times New Roman" w:hAnsi="Times New Roman"/>
                <w:b/>
                <w:sz w:val="20"/>
              </w:rPr>
              <w:t xml:space="preserve">TU</w:t>
            </w:r>
          </w:p>
        </w:tc>
        <w:tc>
          <w:tcPr/>
          <w:p>
            <w:pPr>
              <w:pStyle w:val="Compact"/>
              <w:spacing w:before="20" w:after="20"/>
              <w:ind w:firstLine="0"/>
              <w:jc w:val="center"/>
            </w:pPr>
            <w:r>
              <w:rPr>
                <w:bCs/>
                <w:rFonts w:ascii="Times New Roman" w:hAnsi="Times New Roman"/>
                <w:b/>
                <w:sz w:val="20"/>
              </w:rPr>
              <w:t xml:space="preserve">Cazuri cu LR &gt; EU (%)</w:t>
            </w:r>
          </w:p>
        </w:tc>
        <w:tc>
          <w:tcPr/>
          <w:p>
            <w:pPr>
              <w:pStyle w:val="Compact"/>
              <w:spacing w:before="20" w:after="20"/>
              <w:ind w:firstLine="0"/>
              <w:jc w:val="center"/>
            </w:pPr>
            <w:r>
              <w:rPr>
                <w:bCs/>
                <w:rFonts w:ascii="Times New Roman" w:hAnsi="Times New Roman"/>
                <w:b/>
                <w:sz w:val="20"/>
              </w:rPr>
              <w:t xml:space="preserve">p (Holm)</w:t>
            </w:r>
          </w:p>
        </w:tc>
      </w:tr>
      <w:tr>
        <w:tc>
          <w:tcPr/>
          <w:p>
            <w:pPr>
              <w:pStyle w:val="Compact"/>
              <w:spacing w:before="20" w:after="20"/>
              <w:ind w:firstLine="0"/>
              <w:jc w:val="left"/>
            </w:pPr>
            <w:r>
              <w:rPr>
                <w:rFonts w:ascii="Times New Roman" w:hAnsi="Times New Roman"/>
                <w:sz w:val="20"/>
              </w:rPr>
              <w:t xml:space="preserve">MC-Dropout (bayesian aprox.)</w:t>
            </w:r>
          </w:p>
        </w:tc>
        <w:tc>
          <w:tcPr/>
          <w:p>
            <w:pPr>
              <w:pStyle w:val="Compact"/>
              <w:spacing w:before="20" w:after="20"/>
              <w:ind w:firstLine="0"/>
              <w:jc w:val="center"/>
            </w:pPr>
            <w:r>
              <w:rPr>
                <w:rFonts w:ascii="Times New Roman" w:hAnsi="Times New Roman"/>
                <w:sz w:val="20"/>
              </w:rPr>
              <w:t xml:space="preserve">0.811</w:t>
            </w:r>
          </w:p>
        </w:tc>
        <w:tc>
          <w:tcPr/>
          <w:p>
            <w:pPr>
              <w:pStyle w:val="Compact"/>
              <w:spacing w:before="20" w:after="20"/>
              <w:ind w:firstLine="0"/>
              <w:jc w:val="center"/>
            </w:pPr>
            <w:r>
              <w:rPr>
                <w:rFonts w:ascii="Times New Roman" w:hAnsi="Times New Roman"/>
                <w:sz w:val="20"/>
              </w:rPr>
              <w:t xml:space="preserve">0.629</w:t>
            </w:r>
          </w:p>
        </w:tc>
        <w:tc>
          <w:tcPr/>
          <w:p>
            <w:pPr>
              <w:pStyle w:val="Compact"/>
              <w:spacing w:before="20" w:after="20"/>
              <w:ind w:firstLine="0"/>
              <w:jc w:val="center"/>
            </w:pPr>
            <w:r>
              <w:rPr>
                <w:rFonts w:ascii="Times New Roman" w:hAnsi="Times New Roman"/>
                <w:sz w:val="20"/>
              </w:rPr>
              <w:t xml:space="preserve">0.382</w:t>
            </w:r>
          </w:p>
        </w:tc>
        <w:tc>
          <w:tcPr/>
          <w:p>
            <w:pPr>
              <w:pStyle w:val="Compact"/>
              <w:spacing w:before="20" w:after="20"/>
              <w:ind w:firstLine="0"/>
              <w:jc w:val="center"/>
            </w:pPr>
            <w:r>
              <w:rPr>
                <w:rFonts w:ascii="Times New Roman" w:hAnsi="Times New Roman"/>
                <w:sz w:val="20"/>
              </w:rPr>
              <w:t xml:space="preserve">0.454</w:t>
            </w:r>
          </w:p>
        </w:tc>
        <w:tc>
          <w:tcPr/>
          <w:p>
            <w:pPr>
              <w:pStyle w:val="Compact"/>
              <w:spacing w:before="20" w:after="20"/>
              <w:ind w:firstLine="0"/>
              <w:jc w:val="center"/>
            </w:pPr>
            <w:r>
              <w:rPr>
                <w:rFonts w:ascii="Times New Roman" w:hAnsi="Times New Roman"/>
                <w:sz w:val="20"/>
              </w:rPr>
              <w:t xml:space="preserve">80</w:t>
            </w:r>
          </w:p>
        </w:tc>
        <w:tc>
          <w:tcPr/>
          <w:p>
            <w:pPr>
              <w:pStyle w:val="Compact"/>
              <w:spacing w:before="20" w:after="20"/>
              <w:ind w:firstLine="0"/>
              <w:jc w:val="center"/>
            </w:pPr>
            <w:r>
              <w:rPr>
                <w:rFonts w:ascii="Times New Roman" w:hAnsi="Times New Roman"/>
                <w:sz w:val="20"/>
              </w:rPr>
              <w:t xml:space="preserve">0.0003</w:t>
            </w:r>
          </w:p>
        </w:tc>
      </w:tr>
      <w:tr>
        <w:tc>
          <w:tcPr/>
          <w:p>
            <w:pPr>
              <w:pStyle w:val="Compact"/>
              <w:spacing w:before="20" w:after="20"/>
              <w:ind w:firstLine="0"/>
              <w:jc w:val="left"/>
            </w:pPr>
            <w:r>
              <w:rPr>
                <w:rFonts w:ascii="Times New Roman" w:hAnsi="Times New Roman"/>
                <w:sz w:val="20"/>
              </w:rPr>
              <w:t xml:space="preserve">Ansamblu profund (bayesian aprox.)</w:t>
            </w:r>
          </w:p>
        </w:tc>
        <w:tc>
          <w:tcPr/>
          <w:p>
            <w:pPr>
              <w:pStyle w:val="Compact"/>
              <w:spacing w:before="20" w:after="20"/>
              <w:ind w:firstLine="0"/>
              <w:jc w:val="center"/>
            </w:pPr>
            <w:r>
              <w:rPr>
                <w:rFonts w:ascii="Times New Roman" w:hAnsi="Times New Roman"/>
                <w:sz w:val="20"/>
              </w:rPr>
              <w:t xml:space="preserve">0.826</w:t>
            </w:r>
          </w:p>
        </w:tc>
        <w:tc>
          <w:tcPr/>
          <w:p>
            <w:pPr>
              <w:pStyle w:val="Compact"/>
              <w:spacing w:before="20" w:after="20"/>
              <w:ind w:firstLine="0"/>
              <w:jc w:val="center"/>
            </w:pPr>
            <w:r>
              <w:rPr>
                <w:rFonts w:ascii="Times New Roman" w:hAnsi="Times New Roman"/>
                <w:sz w:val="20"/>
              </w:rPr>
              <w:t xml:space="preserve">0.672</w:t>
            </w:r>
          </w:p>
        </w:tc>
        <w:tc>
          <w:tcPr/>
          <w:p>
            <w:pPr>
              <w:pStyle w:val="Compact"/>
              <w:spacing w:before="20" w:after="20"/>
              <w:ind w:firstLine="0"/>
              <w:jc w:val="center"/>
            </w:pPr>
            <w:r>
              <w:rPr>
                <w:rFonts w:ascii="Times New Roman" w:hAnsi="Times New Roman"/>
                <w:sz w:val="20"/>
              </w:rPr>
              <w:t xml:space="preserve">0.426</w:t>
            </w:r>
          </w:p>
        </w:tc>
        <w:tc>
          <w:tcPr/>
          <w:p>
            <w:pPr>
              <w:pStyle w:val="Compact"/>
              <w:spacing w:before="20" w:after="20"/>
              <w:ind w:firstLine="0"/>
              <w:jc w:val="center"/>
            </w:pPr>
            <w:r>
              <w:rPr>
                <w:rFonts w:ascii="Times New Roman" w:hAnsi="Times New Roman"/>
                <w:sz w:val="20"/>
              </w:rPr>
              <w:t xml:space="preserve">0.486</w:t>
            </w:r>
          </w:p>
        </w:tc>
        <w:tc>
          <w:tcPr/>
          <w:p>
            <w:pPr>
              <w:pStyle w:val="Compact"/>
              <w:spacing w:before="20" w:after="20"/>
              <w:ind w:firstLine="0"/>
              <w:jc w:val="center"/>
            </w:pPr>
            <w:r>
              <w:rPr>
                <w:rFonts w:ascii="Times New Roman" w:hAnsi="Times New Roman"/>
                <w:sz w:val="20"/>
              </w:rPr>
              <w:t xml:space="preserve">92</w:t>
            </w:r>
          </w:p>
        </w:tc>
        <w:tc>
          <w:tcPr/>
          <w:p>
            <w:pPr>
              <w:pStyle w:val="Compact"/>
              <w:spacing w:before="20" w:after="20"/>
              <w:ind w:firstLine="0"/>
              <w:jc w:val="center"/>
            </w:pPr>
            <w:r>
              <w:rPr>
                <w:rFonts w:ascii="Times New Roman" w:hAnsi="Times New Roman"/>
                <w:sz w:val="20"/>
              </w:rPr>
              <w:t xml:space="preserve">&lt; 0.001</w:t>
            </w:r>
          </w:p>
        </w:tc>
      </w:tr>
      <w:tr>
        <w:tc>
          <w:tcPr/>
          <w:p>
            <w:pPr>
              <w:pStyle w:val="Compact"/>
              <w:spacing w:before="20" w:after="20"/>
              <w:ind w:firstLine="0"/>
              <w:jc w:val="left"/>
            </w:pPr>
            <w:r>
              <w:rPr>
                <w:rFonts w:ascii="Times New Roman" w:hAnsi="Times New Roman"/>
                <w:sz w:val="20"/>
              </w:rPr>
              <w:t xml:space="preserve">SVM bootstrap (frecventist)</w:t>
            </w:r>
          </w:p>
        </w:tc>
        <w:tc>
          <w:tcPr/>
          <w:p>
            <w:pPr>
              <w:pStyle w:val="Compact"/>
              <w:spacing w:before="20" w:after="20"/>
              <w:ind w:firstLine="0"/>
              <w:jc w:val="center"/>
            </w:pPr>
            <w:r>
              <w:rPr>
                <w:rFonts w:ascii="Times New Roman" w:hAnsi="Times New Roman"/>
                <w:sz w:val="20"/>
              </w:rPr>
              <w:t xml:space="preserve">0.611</w:t>
            </w:r>
          </w:p>
        </w:tc>
        <w:tc>
          <w:tcPr/>
          <w:p>
            <w:pPr>
              <w:pStyle w:val="Compact"/>
              <w:spacing w:before="20" w:after="20"/>
              <w:ind w:firstLine="0"/>
              <w:jc w:val="center"/>
            </w:pPr>
            <w:r>
              <w:rPr>
                <w:rFonts w:ascii="Times New Roman" w:hAnsi="Times New Roman"/>
                <w:sz w:val="20"/>
              </w:rPr>
              <w:t xml:space="preserve">0.779</w:t>
            </w:r>
          </w:p>
        </w:tc>
        <w:tc>
          <w:tcPr/>
          <w:p>
            <w:pPr>
              <w:pStyle w:val="Compact"/>
              <w:spacing w:before="20" w:after="20"/>
              <w:ind w:firstLine="0"/>
              <w:jc w:val="center"/>
            </w:pPr>
            <w:r>
              <w:rPr>
                <w:rFonts w:ascii="Times New Roman" w:hAnsi="Times New Roman"/>
                <w:sz w:val="20"/>
              </w:rPr>
              <w:t xml:space="preserve">0.699</w:t>
            </w:r>
          </w:p>
        </w:tc>
        <w:tc>
          <w:tcPr/>
          <w:p>
            <w:pPr>
              <w:pStyle w:val="Compact"/>
              <w:spacing w:before="20" w:after="20"/>
              <w:ind w:firstLine="0"/>
              <w:jc w:val="center"/>
            </w:pPr>
            <w:r>
              <w:rPr>
                <w:rFonts w:ascii="Times New Roman" w:hAnsi="Times New Roman"/>
                <w:sz w:val="20"/>
              </w:rPr>
              <w:t xml:space="preserve">0.713</w:t>
            </w:r>
          </w:p>
        </w:tc>
        <w:tc>
          <w:tcPr/>
          <w:p>
            <w:pPr>
              <w:pStyle w:val="Compact"/>
              <w:spacing w:before="20" w:after="20"/>
              <w:ind w:firstLine="0"/>
              <w:jc w:val="center"/>
            </w:pPr>
            <w:r>
              <w:rPr>
                <w:rFonts w:ascii="Times New Roman" w:hAnsi="Times New Roman"/>
                <w:sz w:val="20"/>
              </w:rPr>
              <w:t xml:space="preserve">12</w:t>
            </w:r>
          </w:p>
        </w:tc>
        <w:tc>
          <w:tcPr/>
          <w:p>
            <w:pPr>
              <w:pStyle w:val="Compact"/>
              <w:spacing w:before="20" w:after="20"/>
              <w:ind w:firstLine="0"/>
              <w:jc w:val="center"/>
            </w:pPr>
            <w:r>
              <w:rPr>
                <w:rFonts w:ascii="Times New Roman" w:hAnsi="Times New Roman"/>
                <w:sz w:val="20"/>
              </w:rPr>
              <w:t xml:space="preserve">&lt; 0.001</w:t>
            </w:r>
          </w:p>
        </w:tc>
      </w:tr>
      <w:tr>
        <w:tc>
          <w:tcPr/>
          <w:p>
            <w:pPr>
              <w:pStyle w:val="Compact"/>
              <w:spacing w:before="20" w:after="20"/>
              <w:ind w:firstLine="0"/>
              <w:jc w:val="left"/>
            </w:pPr>
            <w:r>
              <w:rPr>
                <w:rFonts w:ascii="Times New Roman" w:hAnsi="Times New Roman"/>
                <w:sz w:val="20"/>
              </w:rPr>
              <w:t xml:space="preserve">Pădure aleatoare (frecventist, analiză suplimentară)</w:t>
            </w:r>
          </w:p>
        </w:tc>
        <w:tc>
          <w:tcPr/>
          <w:p>
            <w:pPr>
              <w:pStyle w:val="Compact"/>
              <w:spacing w:before="20" w:after="20"/>
              <w:ind w:firstLine="0"/>
              <w:jc w:val="center"/>
            </w:pPr>
            <w:r>
              <w:rPr>
                <w:rFonts w:ascii="Times New Roman" w:hAnsi="Times New Roman"/>
                <w:sz w:val="20"/>
              </w:rPr>
              <w:t xml:space="preserve">0.613</w:t>
            </w:r>
          </w:p>
        </w:tc>
        <w:tc>
          <w:tcPr/>
          <w:p>
            <w:pPr>
              <w:pStyle w:val="Compact"/>
              <w:spacing w:before="20" w:after="20"/>
              <w:ind w:firstLine="0"/>
              <w:jc w:val="center"/>
            </w:pPr>
            <w:r>
              <w:rPr>
                <w:rFonts w:ascii="Times New Roman" w:hAnsi="Times New Roman"/>
                <w:sz w:val="20"/>
              </w:rPr>
              <w:t xml:space="preserve">0.775</w:t>
            </w:r>
          </w:p>
        </w:tc>
        <w:tc>
          <w:tcPr/>
          <w:p>
            <w:pPr>
              <w:pStyle w:val="Compact"/>
              <w:spacing w:before="20" w:after="20"/>
              <w:ind w:firstLine="0"/>
              <w:jc w:val="center"/>
            </w:pPr>
            <w:r>
              <w:rPr>
                <w:rFonts w:ascii="Times New Roman" w:hAnsi="Times New Roman"/>
                <w:sz w:val="20"/>
              </w:rPr>
              <w:t xml:space="preserve">0.681</w:t>
            </w:r>
          </w:p>
        </w:tc>
        <w:tc>
          <w:tcPr/>
          <w:p>
            <w:pPr>
              <w:pStyle w:val="Compact"/>
              <w:spacing w:before="20" w:after="20"/>
              <w:ind w:firstLine="0"/>
              <w:jc w:val="center"/>
            </w:pPr>
            <w:r>
              <w:rPr>
                <w:rFonts w:ascii="Times New Roman" w:hAnsi="Times New Roman"/>
                <w:sz w:val="20"/>
              </w:rPr>
              <w:t xml:space="preserve">0.713</w:t>
            </w:r>
          </w:p>
        </w:tc>
        <w:tc>
          <w:tcPr/>
          <w:p>
            <w:pPr>
              <w:pStyle w:val="Compact"/>
              <w:spacing w:before="20" w:after="20"/>
              <w:ind w:firstLine="0"/>
              <w:jc w:val="center"/>
            </w:pPr>
            <w:r>
              <w:rPr>
                <w:rFonts w:ascii="Times New Roman" w:hAnsi="Times New Roman"/>
                <w:sz w:val="20"/>
              </w:rPr>
              <w:t xml:space="preserve">4</w:t>
            </w:r>
          </w:p>
        </w:tc>
        <w:tc>
          <w:tcPr/>
          <w:p>
            <w:pPr>
              <w:pStyle w:val="Compact"/>
              <w:spacing w:before="20" w:after="20"/>
              <w:ind w:firstLine="0"/>
              <w:jc w:val="center"/>
            </w:pPr>
            <w:r>
              <w:rPr>
                <w:rFonts w:ascii="Times New Roman" w:hAnsi="Times New Roman"/>
                <w:sz w:val="20"/>
              </w:rPr>
              <w:t xml:space="preserve">&lt; 0.001</w:t>
            </w:r>
          </w:p>
        </w:tc>
      </w:tr>
    </w:tbl>
    <w:p>
      <w:pPr>
        <w:pStyle w:val="BodyText"/>
        <w:keepNext/>
        <w:ind w:firstLine="0"/>
        <w:jc w:val="center"/>
      </w:pPr>
      <w:r>
        <w:drawing>
          <wp:inline>
            <wp:extent cx="4859999" cy="2455259"/>
            <wp:effectExtent b="0" l="0" r="0" t="0"/>
            <wp:docPr descr="" title="" id="32" name="Picture"/>
            <a:graphic>
              <a:graphicData uri="http://schemas.openxmlformats.org/drawingml/2006/picture">
                <pic:pic>
                  <pic:nvPicPr>
                    <pic:cNvPr descr="../../figures/ro/fig7_bayes_vs_freq.png" id="33" name="Picture"/>
                    <pic:cNvPicPr>
                      <a:picLocks noChangeArrowheads="1" noChangeAspect="1"/>
                    </pic:cNvPicPr>
                  </pic:nvPicPr>
                  <pic:blipFill>
                    <a:blip r:embed="rId31"/>
                    <a:stretch>
                      <a:fillRect/>
                    </a:stretch>
                  </pic:blipFill>
                  <pic:spPr bwMode="auto">
                    <a:xfrm>
                      <a:off x="0" y="0"/>
                      <a:ext cx="4859999" cy="2455259"/>
                    </a:xfrm>
                    <a:prstGeom prst="rect">
                      <a:avLst/>
                    </a:prstGeom>
                    <a:noFill/>
                    <a:ln w="9525">
                      <a:noFill/>
                      <a:headEnd/>
                      <a:tailEnd/>
                    </a:ln>
                  </pic:spPr>
                </pic:pic>
              </a:graphicData>
            </a:graphic>
          </wp:inline>
        </w:drawing>
      </w:r>
    </w:p>
    <w:p>
      <w:pPr>
        <w:pStyle w:val="NoSpacing"/>
        <w:spacing w:after="120"/>
        <w:jc w:val="center"/>
      </w:pPr>
      <w:r>
        <w:rPr>
          <w:rFonts w:ascii="Times New Roman" w:hAnsi="Times New Roman"/>
          <w:b/>
          <w:lang w:val="ro-RO"/>
        </w:rPr>
        <w:t>Figura 3. AUROC median al semnalelor pentru modelele bayesiene și frecventiste</w:t>
      </w:r>
    </w:p>
    <w:p>
      <w:pPr>
        <w:pStyle w:val="BodyText"/>
      </w:pPr>
      <w:r>
        <w:rPr>
          <w:bCs/>
          <w:b/>
        </w:rPr>
        <w:t xml:space="preserve">H1 nu este confirmată în forma sa tare.</w:t>
      </w:r>
      <w:r>
        <w:t xml:space="preserve"> </w:t>
      </w:r>
      <w:r>
        <w:t xml:space="preserve">Alarma pe LR vine mai devreme decât DDM, ADWIN și PH pe eroare (diferențe mediane de 129, 268 și 99 de înregistrări,</w:t>
      </w:r>
      <w:r>
        <w:t xml:space="preserve"> </w:t>
      </w:r>
      <m:oMath>
        <m:r>
          <m:t>p</m:t>
        </m:r>
        <m:r>
          <m:rPr>
            <m:sty m:val="p"/>
          </m:rPr>
          <m:t>≤</m:t>
        </m:r>
        <m:r>
          <m:t>0.007</m:t>
        </m:r>
      </m:oMath>
      <w:r>
        <w:t xml:space="preserve">), dar precede scăderea vizibilă doar în 51 % din cele 53 de rulări relevante (avans median 30, IC 95 % [−25; 151],</w:t>
      </w:r>
      <w:r>
        <w:t xml:space="preserve"> </w:t>
      </w:r>
      <m:oMath>
        <m:sSub>
          <m:e>
            <m:r>
              <m:t>p</m:t>
            </m:r>
          </m:e>
          <m:sub>
            <m:r>
              <m:t>H</m:t>
            </m:r>
            <m:r>
              <m:t>o</m:t>
            </m:r>
            <m:r>
              <m:t>l</m:t>
            </m:r>
            <m:r>
              <m:t>m</m:t>
            </m:r>
          </m:sub>
        </m:sSub>
        <m:r>
          <m:rPr>
            <m:sty m:val="p"/>
          </m:rPr>
          <m:t>=</m:t>
        </m:r>
        <m:r>
          <m:t>0.24</m:t>
        </m:r>
      </m:oMath>
      <w:r>
        <w:t xml:space="preserve">). Testul KS pe intrări avertizează mai des pe aceste devieri sintetice, însă pe fluxul Elec2 produce 148 de alarme, față de 7 pentru PH pe LR. Pe Elec2, LR variază împreună cu eroarea (</w:t>
      </w:r>
      <m:oMath>
        <m:r>
          <m:t>r</m:t>
        </m:r>
        <m:r>
          <m:rPr>
            <m:sty m:val="p"/>
          </m:rPr>
          <m:t>=</m:t>
        </m:r>
        <m:r>
          <m:t>0.30</m:t>
        </m:r>
      </m:oMath>
      <w:r>
        <w:t xml:space="preserve">), fără a o anticipa. Fig. 4 rezumă compromisul dintre avertizarea timpurie și alarmele false pentru toți detectorii: detectoarele bazate pe eroare aproape niciodată nu avertizează înaintea scăderii vizibile, deoarece urmăresc chiar eroarea.</w:t>
      </w:r>
    </w:p>
    <w:p>
      <w:pPr>
        <w:pStyle w:val="BodyText"/>
        <w:keepNext/>
        <w:ind w:firstLine="0"/>
        <w:jc w:val="center"/>
      </w:pPr>
      <w:r>
        <w:drawing>
          <wp:inline>
            <wp:extent cx="5399999" cy="2953286"/>
            <wp:effectExtent b="0" l="0" r="0" t="0"/>
            <wp:docPr descr="" title="" id="35" name="Picture"/>
            <a:graphic>
              <a:graphicData uri="http://schemas.openxmlformats.org/drawingml/2006/picture">
                <pic:pic>
                  <pic:nvPicPr>
                    <pic:cNvPr descr="../../figures/ro/fig3_tradeoff.png" id="36" name="Picture"/>
                    <pic:cNvPicPr>
                      <a:picLocks noChangeArrowheads="1" noChangeAspect="1"/>
                    </pic:cNvPicPr>
                  </pic:nvPicPr>
                  <pic:blipFill>
                    <a:blip r:embed="rId34"/>
                    <a:stretch>
                      <a:fillRect/>
                    </a:stretch>
                  </pic:blipFill>
                  <pic:spPr bwMode="auto">
                    <a:xfrm>
                      <a:off x="0" y="0"/>
                      <a:ext cx="5399999" cy="2953286"/>
                    </a:xfrm>
                    <a:prstGeom prst="rect">
                      <a:avLst/>
                    </a:prstGeom>
                    <a:noFill/>
                    <a:ln w="9525">
                      <a:noFill/>
                      <a:headEnd/>
                      <a:tailEnd/>
                    </a:ln>
                  </pic:spPr>
                </pic:pic>
              </a:graphicData>
            </a:graphic>
          </wp:inline>
        </w:drawing>
      </w:r>
    </w:p>
    <w:p>
      <w:pPr>
        <w:pStyle w:val="NoSpacing"/>
        <w:spacing w:after="120"/>
        <w:jc w:val="center"/>
      </w:pPr>
      <w:r>
        <w:rPr>
          <w:rFonts w:ascii="Times New Roman" w:hAnsi="Times New Roman"/>
          <w:b/>
          <w:lang w:val="ro-RO"/>
        </w:rPr>
        <w:t>Figura 4. Rata avertizării timpurii față de rata alarmelor false pe fluxuri staționare, pentru toți detectorii</w:t>
      </w:r>
    </w:p>
    <w:p>
      <w:pPr>
        <w:pStyle w:val="BodyText"/>
      </w:pPr>
      <w:r>
        <w:rPr>
          <w:bCs/>
          <w:b/>
        </w:rPr>
        <w:t xml:space="preserve">H4 este confirmată pentru SHAP și infirmată pentru LIME</w:t>
      </w:r>
      <w:r>
        <w:t xml:space="preserve"> </w:t>
      </w:r>
      <w:r>
        <w:t xml:space="preserve">(Fig. 5). KernelSHAP și GradientSHAP plasează trăsăturile deviate în vârful clasamentului (rang normalizat 0.78–0.92,</w:t>
      </w:r>
      <w:r>
        <w:t xml:space="preserve"> </w:t>
      </w:r>
      <m:oMath>
        <m:sSub>
          <m:e>
            <m:r>
              <m:t>p</m:t>
            </m:r>
          </m:e>
          <m:sub>
            <m:r>
              <m:t>H</m:t>
            </m:r>
            <m:r>
              <m:t>o</m:t>
            </m:r>
            <m:r>
              <m:t>l</m:t>
            </m:r>
            <m:r>
              <m:t>m</m:t>
            </m:r>
          </m:sub>
        </m:sSub>
        <m:r>
          <m:rPr>
            <m:sty m:val="p"/>
          </m:rPr>
          <m:t>≤</m:t>
        </m:r>
        <m:r>
          <m:t>0.03</m:t>
        </m:r>
      </m:oMath>
      <w:r>
        <w:t xml:space="preserve">; precizie@k până la 0.65 față de 0.08 la întâmplare), iar explicațiile lor își pierd stabilitatea după alarmă. LIME rămâne la nivelul hazardului.</w:t>
      </w:r>
    </w:p>
    <w:p>
      <w:pPr>
        <w:pStyle w:val="BodyText"/>
        <w:keepNext/>
        <w:ind w:firstLine="0"/>
        <w:jc w:val="center"/>
      </w:pPr>
      <w:r>
        <w:drawing>
          <wp:inline>
            <wp:extent cx="5759999" cy="2895933"/>
            <wp:effectExtent b="0" l="0" r="0" t="0"/>
            <wp:docPr descr="" title="" id="38" name="Picture"/>
            <a:graphic>
              <a:graphicData uri="http://schemas.openxmlformats.org/drawingml/2006/picture">
                <pic:pic>
                  <pic:nvPicPr>
                    <pic:cNvPr descr="../../figures/ro/fig5_xai.png" id="39" name="Picture"/>
                    <pic:cNvPicPr>
                      <a:picLocks noChangeArrowheads="1" noChangeAspect="1"/>
                    </pic:cNvPicPr>
                  </pic:nvPicPr>
                  <pic:blipFill>
                    <a:blip r:embed="rId37"/>
                    <a:stretch>
                      <a:fillRect/>
                    </a:stretch>
                  </pic:blipFill>
                  <pic:spPr bwMode="auto">
                    <a:xfrm>
                      <a:off x="0" y="0"/>
                      <a:ext cx="5759999" cy="2895933"/>
                    </a:xfrm>
                    <a:prstGeom prst="rect">
                      <a:avLst/>
                    </a:prstGeom>
                    <a:noFill/>
                    <a:ln w="9525">
                      <a:noFill/>
                      <a:headEnd/>
                      <a:tailEnd/>
                    </a:ln>
                  </pic:spPr>
                </pic:pic>
              </a:graphicData>
            </a:graphic>
          </wp:inline>
        </w:drawing>
      </w:r>
    </w:p>
    <w:p>
      <w:pPr>
        <w:pStyle w:val="NoSpacing"/>
        <w:spacing w:after="120"/>
        <w:jc w:val="center"/>
      </w:pPr>
      <w:r>
        <w:rPr>
          <w:rFonts w:ascii="Times New Roman" w:hAnsi="Times New Roman"/>
          <w:b/>
          <w:lang w:val="ro-RO"/>
        </w:rPr>
        <w:t>Figura 5. Localizarea trăsăturilor deviate și stabilitatea explicațiilor SHAP și LIME</w:t>
      </w:r>
    </w:p>
    <w:p>
      <w:pPr>
        <w:pStyle w:val="BodyText"/>
      </w:pPr>
      <w:r>
        <w:t xml:space="preserve">Pentru echipele care operează modele în producție, rezultatele sugerează patru reguli: raportul LR pentru rețele ReLU; EU singur pentru modele cu nucleu sau arbori; un eșantion etichetat periodic pentru devierea</w:t>
      </w:r>
      <w:r>
        <w:t xml:space="preserve"> </w:t>
      </w:r>
      <m:oMath>
        <m:r>
          <m:t>P</m:t>
        </m:r>
        <m:d>
          <m:dPr>
            <m:begChr m:val="("/>
            <m:sepChr m:val=""/>
            <m:endChr m:val=")"/>
            <m:grow/>
          </m:dPr>
          <m:e>
            <m:r>
              <m:t>y</m:t>
            </m:r>
            <m:r>
              <m:rPr>
                <m:sty m:val="p"/>
              </m:rPr>
              <m:t>∣</m:t>
            </m:r>
            <m:r>
              <m:t>x</m:t>
            </m:r>
          </m:e>
        </m:d>
      </m:oMath>
      <w:r>
        <w:t xml:space="preserve">, pe care incertitudinea nu o vede; și SHAP, nu LIME, pentru explicarea alarmelor. Limitele studiului sunt caracterul aproximativ al MC-Dropout, criticile aduse descompunerii entropice [29], devierile semi-sintetice și numărul de cinci semințe per scenariu.</w:t>
      </w:r>
    </w:p>
    <w:bookmarkEnd w:id="40"/>
    <w:bookmarkStart w:id="41" w:name="concluzii"/>
    <w:p>
      <w:pPr>
        <w:pStyle w:val="Heading1"/>
      </w:pPr>
      <w:r>
        <w:t xml:space="preserve">Concluzii</w:t>
      </w:r>
    </w:p>
    <w:p>
      <w:pPr>
        <w:pStyle w:val="FirstParagraph"/>
      </w:pPr>
      <w:r>
        <w:t xml:space="preserve">Raportul</w:t>
      </w:r>
      <w:r>
        <w:t xml:space="preserve"> </w:t>
      </w:r>
      <m:oMath>
        <m:r>
          <m:rPr>
            <m:sty m:val="p"/>
          </m:rPr>
          <m:t>log</m:t>
        </m:r>
        <m:d>
          <m:dPr>
            <m:begChr m:val="("/>
            <m:sepChr m:val=""/>
            <m:endChr m:val=")"/>
            <m:grow/>
          </m:dPr>
          <m:e>
            <m:r>
              <m:t>E</m:t>
            </m:r>
            <m:r>
              <m:t>U</m:t>
            </m:r>
            <m:r>
              <m:rPr>
                <m:sty m:val="p"/>
              </m:rPr>
              <m:t>/</m:t>
            </m:r>
            <m:r>
              <m:t>A</m:t>
            </m:r>
            <m:r>
              <m:t>U</m:t>
            </m:r>
          </m:e>
        </m:d>
      </m:oMath>
      <w:r>
        <w:t xml:space="preserve"> </w:t>
      </w:r>
      <w:r>
        <w:t xml:space="preserve">este cel mai bun semnal de incertitudine pentru rețelele neuronale bayesiene aproximative, deoarece AU și EU se mișcă în sensuri opuse. Avantajul dispare la modelele frecventiste. Alarma fără etichete precede detectoarele bazate pe eroare, dar nu în mod sigur scăderea vizibilă a acurateței. Devierea relației</w:t>
      </w:r>
      <w:r>
        <w:t xml:space="preserve"> </w:t>
      </w:r>
      <m:oMath>
        <m:r>
          <m:t>P</m:t>
        </m:r>
        <m:d>
          <m:dPr>
            <m:begChr m:val="("/>
            <m:sepChr m:val=""/>
            <m:endChr m:val=")"/>
            <m:grow/>
          </m:dPr>
          <m:e>
            <m:r>
              <m:t>y</m:t>
            </m:r>
            <m:r>
              <m:rPr>
                <m:sty m:val="p"/>
              </m:rPr>
              <m:t>∣</m:t>
            </m:r>
            <m:r>
              <m:t>x</m:t>
            </m:r>
          </m:e>
        </m:d>
      </m:oMath>
      <w:r>
        <w:t xml:space="preserve"> </w:t>
      </w:r>
      <w:r>
        <w:t xml:space="preserve">este invizibilă pentru orice semnal fără etichete. SHAP aplicat lui EU localizează corect trăsăturile deviate, iar LIME nu. Direcții viitoare: rețele bayesiene complete și combinarea semnalului de incertitudine cu un test pe intrări.</w:t>
      </w:r>
    </w:p>
    <w:p>
      <w:pPr>
        <w:pStyle w:val="Multumiri"/>
      </w:pPr>
      <w:r>
        <w:rPr>
          <w:bCs/>
          <w:b/>
        </w:rPr>
        <w:t xml:space="preserve">Mulțumiri.</w:t>
      </w:r>
      <w:r>
        <w:t xml:space="preserve"> </w:t>
      </w:r>
      <w:r>
        <w:t xml:space="preserve">Autorul mulțumește coordonatorului științific pentru îndrumare. Codul sursă, datele și aplicația interactivă sunt disponibile la [adresa depozitului GitHub].</w:t>
      </w:r>
    </w:p>
    <w:bookmarkEnd w:id="41"/>
    <w:bookmarkStart w:id="42" w:name="referințe"/>
    <w:p>
      <w:pPr>
        <w:pStyle w:val="Heading1"/>
      </w:pPr>
      <w:r>
        <w:t xml:space="preserve">Referințe</w:t>
      </w:r>
    </w:p>
    <w:p>
      <w:pPr>
        <w:pStyle w:val="Referinta"/>
      </w:pPr>
      <w:r>
        <w:t xml:space="preserve">1. GAMA, J.; ŽLIOBAITĖ, I.; BIFET, A.; PECHENIZKIY, M.; BOUCHACHIA, A. A survey on concept drift adaptation.</w:t>
      </w:r>
      <w:r>
        <w:t xml:space="preserve"> </w:t>
      </w:r>
      <w:r>
        <w:rPr>
          <w:iCs/>
          <w:i/>
        </w:rPr>
        <w:t xml:space="preserve">ACM Computing Surveys</w:t>
      </w:r>
      <w:r>
        <w:t xml:space="preserve"> </w:t>
      </w:r>
      <w:r>
        <w:rPr>
          <w:bCs/>
          <w:b/>
        </w:rPr>
        <w:t xml:space="preserve">2014</w:t>
      </w:r>
      <w:r>
        <w:t xml:space="preserve">,</w:t>
      </w:r>
      <w:r>
        <w:t xml:space="preserve"> </w:t>
      </w:r>
      <w:r>
        <w:rPr>
          <w:iCs/>
          <w:i/>
        </w:rPr>
        <w:t xml:space="preserve">46</w:t>
      </w:r>
      <w:r>
        <w:t xml:space="preserve">(4), Article 44, pp. 1–37, doi: 10.1145/2523813.</w:t>
      </w:r>
    </w:p>
    <w:p>
      <w:pPr>
        <w:pStyle w:val="Referinta"/>
      </w:pPr>
      <w:r>
        <w:t xml:space="preserve">2. LU, J.; LIU, A.; DONG, F.; GU, F.; GAMA, J.; ZHANG, G. Learning under concept drift: A review.</w:t>
      </w:r>
      <w:r>
        <w:t xml:space="preserve"> </w:t>
      </w:r>
      <w:r>
        <w:rPr>
          <w:iCs/>
          <w:i/>
        </w:rPr>
        <w:t xml:space="preserve">IEEE Transactions on Knowledge and Data Engineering</w:t>
      </w:r>
      <w:r>
        <w:t xml:space="preserve"> </w:t>
      </w:r>
      <w:r>
        <w:rPr>
          <w:bCs/>
          <w:b/>
        </w:rPr>
        <w:t xml:space="preserve">2019</w:t>
      </w:r>
      <w:r>
        <w:t xml:space="preserve">,</w:t>
      </w:r>
      <w:r>
        <w:t xml:space="preserve"> </w:t>
      </w:r>
      <w:r>
        <w:rPr>
          <w:iCs/>
          <w:i/>
        </w:rPr>
        <w:t xml:space="preserve">31</w:t>
      </w:r>
      <w:r>
        <w:t xml:space="preserve">(12), pp. 2346–2363, doi: 10.1109/TKDE.2018.2876857.</w:t>
      </w:r>
    </w:p>
    <w:p>
      <w:pPr>
        <w:pStyle w:val="Referinta"/>
      </w:pPr>
      <w:r>
        <w:t xml:space="preserve">3. GAMA, J.; MEDAS, P.; CASTILLO, G.; RODRIGUES, P. Learning with drift detection. In</w:t>
      </w:r>
      <w:r>
        <w:t xml:space="preserve"> </w:t>
      </w:r>
      <w:r>
        <w:rPr>
          <w:iCs/>
          <w:i/>
        </w:rPr>
        <w:t xml:space="preserve">Advances in Artificial Intelligence – SBIA 2004</w:t>
      </w:r>
      <w:r>
        <w:t xml:space="preserve">, Proceedings of the 17th Brazilian Symposium on Artificial Intelligence, São Luis, Brazil, 29 September – 1 October 2004; Lecture Notes in Computer Science, vol. 3171; Springer: Berlin, Germany, 2004; pp. 286–295, doi: 10.1007/978-3-540-28645-5_29.</w:t>
      </w:r>
    </w:p>
    <w:p>
      <w:pPr>
        <w:pStyle w:val="Referinta"/>
      </w:pPr>
      <w:r>
        <w:t xml:space="preserve">4. BIFET, A.; GAVALDÀ, R. Learning from time-changing data with adaptive windowing. In</w:t>
      </w:r>
      <w:r>
        <w:t xml:space="preserve"> </w:t>
      </w:r>
      <w:r>
        <w:rPr>
          <w:iCs/>
          <w:i/>
        </w:rPr>
        <w:t xml:space="preserve">Proceedings of the 2007 SIAM International Conference on Data Mining</w:t>
      </w:r>
      <w:r>
        <w:t xml:space="preserve">, Minneapolis, USA, 26–28 April 2007; SIAM: Philadelphia, USA, 2007; pp. 443–448, doi: 10.1137/1.9781611972771.42.</w:t>
      </w:r>
    </w:p>
    <w:p>
      <w:pPr>
        <w:pStyle w:val="Referinta"/>
      </w:pPr>
      <w:r>
        <w:t xml:space="preserve">5. PAGE, E.S. Continuous inspection schemes.</w:t>
      </w:r>
      <w:r>
        <w:t xml:space="preserve"> </w:t>
      </w:r>
      <w:r>
        <w:rPr>
          <w:iCs/>
          <w:i/>
        </w:rPr>
        <w:t xml:space="preserve">Biometrika</w:t>
      </w:r>
      <w:r>
        <w:t xml:space="preserve"> </w:t>
      </w:r>
      <w:r>
        <w:rPr>
          <w:bCs/>
          <w:b/>
        </w:rPr>
        <w:t xml:space="preserve">1954</w:t>
      </w:r>
      <w:r>
        <w:t xml:space="preserve">,</w:t>
      </w:r>
      <w:r>
        <w:t xml:space="preserve"> </w:t>
      </w:r>
      <w:r>
        <w:rPr>
          <w:iCs/>
          <w:i/>
        </w:rPr>
        <w:t xml:space="preserve">41</w:t>
      </w:r>
      <w:r>
        <w:t xml:space="preserve">(1–2), pp. 100–115, doi: 10.1093/biomet/41.1-2.100.</w:t>
      </w:r>
    </w:p>
    <w:p>
      <w:pPr>
        <w:pStyle w:val="Referinta"/>
      </w:pPr>
      <w:r>
        <w:t xml:space="preserve">6. BAIER, L.; SCHLÖR, T.; SCHÖFFER, J.; KÜHL, N. Detecting concept drift with neural network model uncertainty. In</w:t>
      </w:r>
      <w:r>
        <w:t xml:space="preserve"> </w:t>
      </w:r>
      <w:r>
        <w:rPr>
          <w:iCs/>
          <w:i/>
        </w:rPr>
        <w:t xml:space="preserve">Proceedings of the 56th Hawaii International Conference on System Sciences (HICSS)</w:t>
      </w:r>
      <w:r>
        <w:t xml:space="preserve">, Maui, USA, 3–6 January 2023. Disponibil online: https://aisel.aisnet.org/hicss-56/da/big_data_and_analytics/6 (accesat la data de 9 octombrie 2026).</w:t>
      </w:r>
    </w:p>
    <w:p>
      <w:pPr>
        <w:pStyle w:val="Referinta"/>
      </w:pPr>
      <w:r>
        <w:t xml:space="preserve">7. KENDALL, A.; GAL, Y. What uncertainties do we need in Bayesian deep learning for computer vision? In</w:t>
      </w:r>
      <w:r>
        <w:t xml:space="preserve"> </w:t>
      </w:r>
      <w:r>
        <w:rPr>
          <w:iCs/>
          <w:i/>
        </w:rPr>
        <w:t xml:space="preserve">Advances in Neural Information Processing Systems 30</w:t>
      </w:r>
      <w:r>
        <w:t xml:space="preserve">, Proceedings of NeurIPS 2017, Long Beach, USA, 4–9 December 2017; Curran Associates: Red Hook, USA, 2017; pp. 5574–5584.</w:t>
      </w:r>
    </w:p>
    <w:p>
      <w:pPr>
        <w:pStyle w:val="Referinta"/>
      </w:pPr>
      <w:r>
        <w:t xml:space="preserve">8. DEPEWEG, S.; HERNÁNDEZ-LOBATO, J.M.; DOSHI-VELEZ, F.; UDLUFT, S. Decomposition of uncertainty in Bayesian deep learning for efficient and risk-sensitive learning. In</w:t>
      </w:r>
      <w:r>
        <w:t xml:space="preserve"> </w:t>
      </w:r>
      <w:r>
        <w:rPr>
          <w:iCs/>
          <w:i/>
        </w:rPr>
        <w:t xml:space="preserve">Proceedings of the 35th International Conference on Machine Learning</w:t>
      </w:r>
      <w:r>
        <w:t xml:space="preserve">, Stockholm, Sweden, 10–15 July 2018; Proceedings of Machine Learning Research, vol. 80; PMLR, 2018; pp. 1184–1193.</w:t>
      </w:r>
    </w:p>
    <w:p>
      <w:pPr>
        <w:pStyle w:val="Referinta"/>
      </w:pPr>
      <w:r>
        <w:t xml:space="preserve">9. HÜLLERMEIER, E.; WAEGEMAN, W. Aleatoric and epistemic uncertainty in machine learning: an introduction to concepts and methods.</w:t>
      </w:r>
      <w:r>
        <w:t xml:space="preserve"> </w:t>
      </w:r>
      <w:r>
        <w:rPr>
          <w:iCs/>
          <w:i/>
        </w:rPr>
        <w:t xml:space="preserve">Machine Learning</w:t>
      </w:r>
      <w:r>
        <w:t xml:space="preserve"> </w:t>
      </w:r>
      <w:r>
        <w:rPr>
          <w:bCs/>
          <w:b/>
        </w:rPr>
        <w:t xml:space="preserve">2021</w:t>
      </w:r>
      <w:r>
        <w:t xml:space="preserve">,</w:t>
      </w:r>
      <w:r>
        <w:t xml:space="preserve"> </w:t>
      </w:r>
      <w:r>
        <w:rPr>
          <w:iCs/>
          <w:i/>
        </w:rPr>
        <w:t xml:space="preserve">110</w:t>
      </w:r>
      <w:r>
        <w:t xml:space="preserve">, pp. 457–506, doi: 10.1007/s10994-021-05946-3.</w:t>
      </w:r>
    </w:p>
    <w:p>
      <w:pPr>
        <w:pStyle w:val="Referinta"/>
      </w:pPr>
      <w:r>
        <w:t xml:space="preserve">10. GAL, Y.; GHAHRAMANI, Z. Dropout as a Bayesian approximation: Representing model uncertainty in deep learning. In</w:t>
      </w:r>
      <w:r>
        <w:t xml:space="preserve"> </w:t>
      </w:r>
      <w:r>
        <w:rPr>
          <w:iCs/>
          <w:i/>
        </w:rPr>
        <w:t xml:space="preserve">Proceedings of the 33rd International Conference on Machine Learning</w:t>
      </w:r>
      <w:r>
        <w:t xml:space="preserve">, New York, USA, 19–24 June 2016; Proceedings of Machine Learning Research, vol. 48; PMLR, 2016; pp. 1050–1059.</w:t>
      </w:r>
    </w:p>
    <w:p>
      <w:pPr>
        <w:pStyle w:val="Referinta"/>
      </w:pPr>
      <w:r>
        <w:t xml:space="preserve">11. LAKSHMINARAYANAN, B.; PRITZEL, A.; BLUNDELL, C. Simple and scalable predictive uncertainty estimation using deep ensembles. In</w:t>
      </w:r>
      <w:r>
        <w:t xml:space="preserve"> </w:t>
      </w:r>
      <w:r>
        <w:rPr>
          <w:iCs/>
          <w:i/>
        </w:rPr>
        <w:t xml:space="preserve">Advances in Neural Information Processing Systems 30</w:t>
      </w:r>
      <w:r>
        <w:t xml:space="preserve">, Proceedings of NeurIPS 2017, Long Beach, USA, 4–9 December 2017; Curran Associates: Red Hook, USA, 2017; pp. 6402–6413.</w:t>
      </w:r>
    </w:p>
    <w:p>
      <w:pPr>
        <w:pStyle w:val="Referinta"/>
      </w:pPr>
      <w:r>
        <w:t xml:space="preserve">12. BREIMAN, L. Random forests.</w:t>
      </w:r>
      <w:r>
        <w:t xml:space="preserve"> </w:t>
      </w:r>
      <w:r>
        <w:rPr>
          <w:iCs/>
          <w:i/>
        </w:rPr>
        <w:t xml:space="preserve">Machine Learning</w:t>
      </w:r>
      <w:r>
        <w:t xml:space="preserve"> </w:t>
      </w:r>
      <w:r>
        <w:rPr>
          <w:bCs/>
          <w:b/>
        </w:rPr>
        <w:t xml:space="preserve">2001</w:t>
      </w:r>
      <w:r>
        <w:t xml:space="preserve">,</w:t>
      </w:r>
      <w:r>
        <w:t xml:space="preserve"> </w:t>
      </w:r>
      <w:r>
        <w:rPr>
          <w:iCs/>
          <w:i/>
        </w:rPr>
        <w:t xml:space="preserve">45</w:t>
      </w:r>
      <w:r>
        <w:t xml:space="preserve">(1), pp. 5–32, doi: 10.1023/A:1010933404324.</w:t>
      </w:r>
    </w:p>
    <w:p>
      <w:pPr>
        <w:pStyle w:val="Referinta"/>
      </w:pPr>
      <w:r>
        <w:t xml:space="preserve">13. SHAKER, M.H.; HÜLLERMEIER, E. Aleatoric and epistemic uncertainty with random forests. In</w:t>
      </w:r>
      <w:r>
        <w:t xml:space="preserve"> </w:t>
      </w:r>
      <w:r>
        <w:rPr>
          <w:iCs/>
          <w:i/>
        </w:rPr>
        <w:t xml:space="preserve">Advances in Intelligent Data Analysis XVIII</w:t>
      </w:r>
      <w:r>
        <w:t xml:space="preserve">, Proceedings of IDA 2020, Konstanz, Germany, 27–29 April 2020; Lecture Notes in Computer Science, vol. 12080; Springer: Cham, Switzerland, 2020; pp. 444–456, doi: 10.1007/978-3-030-44584-3_35.</w:t>
      </w:r>
    </w:p>
    <w:p>
      <w:pPr>
        <w:pStyle w:val="Referinta"/>
      </w:pPr>
      <w:r>
        <w:t xml:space="preserve">14. YEH, I.-C.; LIEN, C.-H. The comparisons of data mining techniques for the predictive accuracy of probability of default of credit card clients.</w:t>
      </w:r>
      <w:r>
        <w:t xml:space="preserve"> </w:t>
      </w:r>
      <w:r>
        <w:rPr>
          <w:iCs/>
          <w:i/>
        </w:rPr>
        <w:t xml:space="preserve">Expert Systems with Applications</w:t>
      </w:r>
      <w:r>
        <w:t xml:space="preserve"> </w:t>
      </w:r>
      <w:r>
        <w:rPr>
          <w:bCs/>
          <w:b/>
        </w:rPr>
        <w:t xml:space="preserve">2009</w:t>
      </w:r>
      <w:r>
        <w:t xml:space="preserve">,</w:t>
      </w:r>
      <w:r>
        <w:t xml:space="preserve"> </w:t>
      </w:r>
      <w:r>
        <w:rPr>
          <w:iCs/>
          <w:i/>
        </w:rPr>
        <w:t xml:space="preserve">36</w:t>
      </w:r>
      <w:r>
        <w:t xml:space="preserve">(2), pp. 2473–2480, doi: 10.1016/j.eswa.2007.12.020.</w:t>
      </w:r>
    </w:p>
    <w:p>
      <w:pPr>
        <w:pStyle w:val="Referinta"/>
      </w:pPr>
      <w:r>
        <w:t xml:space="preserve">15. IBM. Telco Customer Churn (set de date). Disponibil online: https://github.com/IBM/telco-customer-churn-on-icp4d (accesat la data de 9 octombrie 2026).</w:t>
      </w:r>
    </w:p>
    <w:p>
      <w:pPr>
        <w:pStyle w:val="Referinta"/>
      </w:pPr>
      <w:r>
        <w:t xml:space="preserve">16. HARRIES, M.</w:t>
      </w:r>
      <w:r>
        <w:t xml:space="preserve"> </w:t>
      </w:r>
      <w:r>
        <w:rPr>
          <w:iCs/>
          <w:i/>
        </w:rPr>
        <w:t xml:space="preserve">SPLICE-2 Comparative Evaluation: Electricity Pricing</w:t>
      </w:r>
      <w:r>
        <w:t xml:space="preserve">; Technical Report; University of New South Wales: Sydney, Australia, 1999.</w:t>
      </w:r>
    </w:p>
    <w:p>
      <w:pPr>
        <w:pStyle w:val="Referinta"/>
      </w:pPr>
      <w:r>
        <w:t xml:space="preserve">17. STREET, W.N.; KIM, Y. A streaming ensemble algorithm (SEA) for large-scale classification. In</w:t>
      </w:r>
      <w:r>
        <w:t xml:space="preserve"> </w:t>
      </w:r>
      <w:r>
        <w:rPr>
          <w:iCs/>
          <w:i/>
        </w:rPr>
        <w:t xml:space="preserve">Proceedings of the 7th ACM SIGKDD International Conference on Knowledge Discovery and Data Mining</w:t>
      </w:r>
      <w:r>
        <w:t xml:space="preserve">, San Francisco, USA, 26–29 August 2001; ACM: New York, USA, 2001; pp. 377–382, doi: 10.1145/502512.502568.</w:t>
      </w:r>
    </w:p>
    <w:p>
      <w:pPr>
        <w:pStyle w:val="Referinta"/>
      </w:pPr>
      <w:r>
        <w:t xml:space="preserve">18. MONTIEL, J.; HALFORD, M.; MASTELINI, S.M.; BOLMIER, G.; SOURTY, R.; VAYSSE, R.; et al. River: machine learning for streaming data in Python.</w:t>
      </w:r>
      <w:r>
        <w:t xml:space="preserve"> </w:t>
      </w:r>
      <w:r>
        <w:rPr>
          <w:iCs/>
          <w:i/>
        </w:rPr>
        <w:t xml:space="preserve">Journal of Machine Learning Research</w:t>
      </w:r>
      <w:r>
        <w:t xml:space="preserve"> </w:t>
      </w:r>
      <w:r>
        <w:rPr>
          <w:bCs/>
          <w:b/>
        </w:rPr>
        <w:t xml:space="preserve">2021</w:t>
      </w:r>
      <w:r>
        <w:t xml:space="preserve">,</w:t>
      </w:r>
      <w:r>
        <w:t xml:space="preserve"> </w:t>
      </w:r>
      <w:r>
        <w:rPr>
          <w:iCs/>
          <w:i/>
        </w:rPr>
        <w:t xml:space="preserve">22</w:t>
      </w:r>
      <w:r>
        <w:t xml:space="preserve">(110), pp. 1–8.</w:t>
      </w:r>
    </w:p>
    <w:p>
      <w:pPr>
        <w:pStyle w:val="Referinta"/>
      </w:pPr>
      <w:r>
        <w:t xml:space="preserve">19. ADAMS, R.P.; MACKAY, D.J.C. Bayesian online changepoint detection.</w:t>
      </w:r>
      <w:r>
        <w:t xml:space="preserve"> </w:t>
      </w:r>
      <w:r>
        <w:rPr>
          <w:iCs/>
          <w:i/>
        </w:rPr>
        <w:t xml:space="preserve">arXiv preprint</w:t>
      </w:r>
      <w:r>
        <w:t xml:space="preserve"> </w:t>
      </w:r>
      <w:r>
        <w:rPr>
          <w:bCs/>
          <w:b/>
        </w:rPr>
        <w:t xml:space="preserve">2007</w:t>
      </w:r>
      <w:r>
        <w:t xml:space="preserve">, arXiv:0710.3742.</w:t>
      </w:r>
    </w:p>
    <w:p>
      <w:pPr>
        <w:pStyle w:val="Referinta"/>
      </w:pPr>
      <w:r>
        <w:t xml:space="preserve">20. DEMPSTER, A.P.; LAIRD, N.M.; RUBIN, D.B. Maximum likelihood from incomplete data via the EM algorithm.</w:t>
      </w:r>
      <w:r>
        <w:t xml:space="preserve"> </w:t>
      </w:r>
      <w:r>
        <w:rPr>
          <w:iCs/>
          <w:i/>
        </w:rPr>
        <w:t xml:space="preserve">Journal of the Royal Statistical Society: Series B (Methodological)</w:t>
      </w:r>
      <w:r>
        <w:t xml:space="preserve"> </w:t>
      </w:r>
      <w:r>
        <w:rPr>
          <w:bCs/>
          <w:b/>
        </w:rPr>
        <w:t xml:space="preserve">1977</w:t>
      </w:r>
      <w:r>
        <w:t xml:space="preserve">,</w:t>
      </w:r>
      <w:r>
        <w:t xml:space="preserve"> </w:t>
      </w:r>
      <w:r>
        <w:rPr>
          <w:iCs/>
          <w:i/>
        </w:rPr>
        <w:t xml:space="preserve">39</w:t>
      </w:r>
      <w:r>
        <w:t xml:space="preserve">(1), pp. 1–38, doi: 10.1111/j.2517-6161.1977.tb01600.x.</w:t>
      </w:r>
    </w:p>
    <w:p>
      <w:pPr>
        <w:pStyle w:val="Referinta"/>
      </w:pPr>
      <w:r>
        <w:t xml:space="preserve">21. RABANSER, S.; GÜNNEMANN, S.; LIPTON, Z.C. Failing loudly: An empirical study of methods for detecting dataset shift. In</w:t>
      </w:r>
      <w:r>
        <w:t xml:space="preserve"> </w:t>
      </w:r>
      <w:r>
        <w:rPr>
          <w:iCs/>
          <w:i/>
        </w:rPr>
        <w:t xml:space="preserve">Advances in Neural Information Processing Systems 32</w:t>
      </w:r>
      <w:r>
        <w:t xml:space="preserve">, Proceedings of NeurIPS 2019, Vancouver, Canada, 8–14 December 2019; Curran Associates: Red Hook, USA, 2019.</w:t>
      </w:r>
    </w:p>
    <w:p>
      <w:pPr>
        <w:pStyle w:val="Referinta"/>
      </w:pPr>
      <w:r>
        <w:t xml:space="preserve">22. LUNDBERG, S.M.; LEE, S.-I. A unified approach to interpreting model predictions. In</w:t>
      </w:r>
      <w:r>
        <w:t xml:space="preserve"> </w:t>
      </w:r>
      <w:r>
        <w:rPr>
          <w:iCs/>
          <w:i/>
        </w:rPr>
        <w:t xml:space="preserve">Advances in Neural Information Processing Systems 30</w:t>
      </w:r>
      <w:r>
        <w:t xml:space="preserve">, Proceedings of NeurIPS 2017, Long Beach, USA, 4–9 December 2017; Curran Associates: Red Hook, USA, 2017; pp. 4765–4774.</w:t>
      </w:r>
    </w:p>
    <w:p>
      <w:pPr>
        <w:pStyle w:val="Referinta"/>
      </w:pPr>
      <w:r>
        <w:t xml:space="preserve">23. RIBEIRO, M.T.; SINGH, S.; GUESTRIN, C. „Why should I trust you?”: Explaining the predictions of any classifier. In</w:t>
      </w:r>
      <w:r>
        <w:t xml:space="preserve"> </w:t>
      </w:r>
      <w:r>
        <w:rPr>
          <w:iCs/>
          <w:i/>
        </w:rPr>
        <w:t xml:space="preserve">Proceedings of the 22nd ACM SIGKDD International Conference on Knowledge Discovery and Data Mining</w:t>
      </w:r>
      <w:r>
        <w:t xml:space="preserve">, San Francisco, USA, 13–17 August 2016; ACM: New York, USA, 2016; pp. 1135–1144, doi: 10.1145/2939672.2939778.</w:t>
      </w:r>
    </w:p>
    <w:p>
      <w:pPr>
        <w:pStyle w:val="Referinta"/>
      </w:pPr>
      <w:r>
        <w:t xml:space="preserve">24. HOLM, S. A simple sequentially rejective multiple test procedure.</w:t>
      </w:r>
      <w:r>
        <w:t xml:space="preserve"> </w:t>
      </w:r>
      <w:r>
        <w:rPr>
          <w:iCs/>
          <w:i/>
        </w:rPr>
        <w:t xml:space="preserve">Scandinavian Journal of Statistics</w:t>
      </w:r>
      <w:r>
        <w:t xml:space="preserve"> </w:t>
      </w:r>
      <w:r>
        <w:rPr>
          <w:bCs/>
          <w:b/>
        </w:rPr>
        <w:t xml:space="preserve">1979</w:t>
      </w:r>
      <w:r>
        <w:t xml:space="preserve">,</w:t>
      </w:r>
      <w:r>
        <w:t xml:space="preserve"> </w:t>
      </w:r>
      <w:r>
        <w:rPr>
          <w:iCs/>
          <w:i/>
        </w:rPr>
        <w:t xml:space="preserve">6</w:t>
      </w:r>
      <w:r>
        <w:t xml:space="preserve">(2), pp. 65–70.</w:t>
      </w:r>
    </w:p>
    <w:p>
      <w:pPr>
        <w:pStyle w:val="Referinta"/>
      </w:pPr>
      <w:r>
        <w:t xml:space="preserve">25. SCHUIRMANN, D.J. A comparison of the two one-sided tests procedure and the power approach for assessing the equivalence of average bioavailability.</w:t>
      </w:r>
      <w:r>
        <w:t xml:space="preserve"> </w:t>
      </w:r>
      <w:r>
        <w:rPr>
          <w:iCs/>
          <w:i/>
        </w:rPr>
        <w:t xml:space="preserve">Journal of Pharmacokinetics and Biopharmaceutics</w:t>
      </w:r>
      <w:r>
        <w:t xml:space="preserve"> </w:t>
      </w:r>
      <w:r>
        <w:rPr>
          <w:bCs/>
          <w:b/>
        </w:rPr>
        <w:t xml:space="preserve">1987</w:t>
      </w:r>
      <w:r>
        <w:t xml:space="preserve">,</w:t>
      </w:r>
      <w:r>
        <w:t xml:space="preserve"> </w:t>
      </w:r>
      <w:r>
        <w:rPr>
          <w:iCs/>
          <w:i/>
        </w:rPr>
        <w:t xml:space="preserve">15</w:t>
      </w:r>
      <w:r>
        <w:t xml:space="preserve">(6), pp. 657–680, doi: 10.1007/BF01068419.</w:t>
      </w:r>
    </w:p>
    <w:p>
      <w:pPr>
        <w:pStyle w:val="Referinta"/>
      </w:pPr>
      <w:r>
        <w:t xml:space="preserve">26. KÜNSCH, H.R. The jackknife and the bootstrap for general stationary observations.</w:t>
      </w:r>
      <w:r>
        <w:t xml:space="preserve"> </w:t>
      </w:r>
      <w:r>
        <w:rPr>
          <w:iCs/>
          <w:i/>
        </w:rPr>
        <w:t xml:space="preserve">The Annals of Statistics</w:t>
      </w:r>
      <w:r>
        <w:t xml:space="preserve"> </w:t>
      </w:r>
      <w:r>
        <w:rPr>
          <w:bCs/>
          <w:b/>
        </w:rPr>
        <w:t xml:space="preserve">1989</w:t>
      </w:r>
      <w:r>
        <w:t xml:space="preserve">,</w:t>
      </w:r>
      <w:r>
        <w:t xml:space="preserve"> </w:t>
      </w:r>
      <w:r>
        <w:rPr>
          <w:iCs/>
          <w:i/>
        </w:rPr>
        <w:t xml:space="preserve">17</w:t>
      </w:r>
      <w:r>
        <w:t xml:space="preserve">(3), pp. 1217–1241, doi: 10.1214/aos/1176347265.</w:t>
      </w:r>
    </w:p>
    <w:p>
      <w:pPr>
        <w:pStyle w:val="Referinta"/>
      </w:pPr>
      <w:r>
        <w:t xml:space="preserve">27. DERSIMONIAN, R.; LAIRD, N. Meta-analysis in clinical trials.</w:t>
      </w:r>
      <w:r>
        <w:t xml:space="preserve"> </w:t>
      </w:r>
      <w:r>
        <w:rPr>
          <w:iCs/>
          <w:i/>
        </w:rPr>
        <w:t xml:space="preserve">Controlled Clinical Trials</w:t>
      </w:r>
      <w:r>
        <w:t xml:space="preserve"> </w:t>
      </w:r>
      <w:r>
        <w:rPr>
          <w:bCs/>
          <w:b/>
        </w:rPr>
        <w:t xml:space="preserve">1986</w:t>
      </w:r>
      <w:r>
        <w:t xml:space="preserve">,</w:t>
      </w:r>
      <w:r>
        <w:t xml:space="preserve"> </w:t>
      </w:r>
      <w:r>
        <w:rPr>
          <w:iCs/>
          <w:i/>
        </w:rPr>
        <w:t xml:space="preserve">7</w:t>
      </w:r>
      <w:r>
        <w:t xml:space="preserve">(3), pp. 177–188, doi: 10.1016/0197-2456(86)90046-2.</w:t>
      </w:r>
    </w:p>
    <w:p>
      <w:pPr>
        <w:pStyle w:val="Referinta"/>
      </w:pPr>
      <w:r>
        <w:t xml:space="preserve">28. HEIN, M.; ANDRIUSHCHENKO, M.; BITTERWOLF, J. Why ReLU networks yield high-confidence predictions far away from the training data and how to mitigate the problem. In</w:t>
      </w:r>
      <w:r>
        <w:t xml:space="preserve"> </w:t>
      </w:r>
      <w:r>
        <w:rPr>
          <w:iCs/>
          <w:i/>
        </w:rPr>
        <w:t xml:space="preserve">Proceedings of the IEEE/CVF Conference on Computer Vision and Pattern Recognition (CVPR)</w:t>
      </w:r>
      <w:r>
        <w:t xml:space="preserve">, Long Beach, USA, 16–20 June 2019; IEEE: Piscataway, USA, 2019; pp. 41–50, doi: 10.1109/CVPR.2019.00013.</w:t>
      </w:r>
    </w:p>
    <w:p>
      <w:pPr>
        <w:pStyle w:val="Referinta"/>
      </w:pPr>
      <w:r>
        <w:t xml:space="preserve">29. WIMMER, L.; SALE, Y.; HOFMAN, P.; BISCHL, B.; HÜLLERMEIER, E. Quantifying aleatoric and epistemic uncertainty in machine learning: Are conditional entropy and mutual information appropriate measures? In</w:t>
      </w:r>
      <w:r>
        <w:t xml:space="preserve"> </w:t>
      </w:r>
      <w:r>
        <w:rPr>
          <w:iCs/>
          <w:i/>
        </w:rPr>
        <w:t xml:space="preserve">Proceedings of the 39th Conference on Uncertainty in Artificial Intelligence</w:t>
      </w:r>
      <w:r>
        <w:t xml:space="preserve">, Pittsburgh, USA, 31 July – 4 August 2023; Proceedings of Machine Learning Research, vol. 216; PMLR, 2023; pp. 2282–2292.</w:t>
      </w:r>
    </w:p>
    <w:p>
      <w:r>
        <w:br w:type="page"/>
      </w:r>
    </w:p>
    <w:p>
      <w:pPr>
        <w:spacing w:line="276" w:lineRule="auto"/>
        <w:jc w:val="both"/>
      </w:pPr>
    </w:p>
    <w:p>
      <w:pPr>
        <w:spacing w:line="276" w:lineRule="auto"/>
        <w:jc w:val="both"/>
      </w:pPr>
    </w:p>
    <w:p>
      <w:pPr>
        <w:spacing w:line="276" w:lineRule="auto"/>
        <w:jc w:val="center"/>
      </w:pPr>
      <w:r>
        <w:rPr>
          <w:b/>
          <w:bCs/>
          <w:color w:val="222222"/>
          <w:lang w:val="ro-RO" w:eastAsia="en-US"/>
        </w:rPr>
        <w:t>Declarație de originalitate și asumare a responsabilității</w:t>
      </w:r>
    </w:p>
    <w:p>
      <w:pPr>
        <w:spacing w:line="276" w:lineRule="auto"/>
        <w:jc w:val="both"/>
      </w:pPr>
    </w:p>
    <w:p>
      <w:pPr>
        <w:spacing w:line="360" w:lineRule="auto"/>
        <w:jc w:val="both"/>
      </w:pPr>
      <w:r>
        <w:rPr>
          <w:color w:val="222222"/>
          <w:lang w:val="ro-RO" w:eastAsia="en-US"/>
        </w:rPr>
        <w:t xml:space="preserve">Subsemnatul(a), în calitate de autor corespondent, declar că lucrarea cu titlul „Descompunerea bayesiană a incertitudinii pentru avertizarea timpurie a devierii conceptuale, validată prin XAI” este originală, reprezintă rezultatul activității autorilor și că toate sursele bibliografice utilizate sunt citate corespunzător. Îmi asum responsabilitatea pentru integritatea lucrării și corectitudinea informațiilor prezentate în această lucrare în numele tuturor coautorilor.</w:t>
      </w:r>
    </w:p>
    <w:p>
      <w:pPr>
        <w:spacing w:line="276" w:lineRule="auto"/>
        <w:jc w:val="both"/>
      </w:pPr>
    </w:p>
    <w:p>
      <w:pPr>
        <w:spacing w:line="276" w:lineRule="auto"/>
        <w:jc w:val="both"/>
      </w:pPr>
    </w:p>
    <w:p>
      <w:pPr>
        <w:spacing w:line="276" w:lineRule="auto"/>
        <w:ind w:left="567" w:hanging="567"/>
        <w:jc w:val="both"/>
      </w:pPr>
      <w:r>
        <w:rPr>
          <w:color w:val="222222"/>
          <w:lang w:val="ro-RO" w:eastAsia="en-US"/>
        </w:rPr>
        <w:t xml:space="preserve">Numele și prenumele: ______________________</w:t>
      </w:r>
    </w:p>
    <w:p>
      <w:pPr>
        <w:spacing w:line="276" w:lineRule="auto"/>
        <w:jc w:val="both"/>
      </w:pPr>
    </w:p>
    <w:p>
      <w:pPr>
        <w:spacing w:line="276" w:lineRule="auto"/>
        <w:ind w:left="567" w:hanging="567"/>
        <w:jc w:val="both"/>
      </w:pPr>
      <w:r>
        <w:rPr>
          <w:color w:val="222222"/>
          <w:lang w:val="ro-RO" w:eastAsia="en-US"/>
        </w:rPr>
        <w:t xml:space="preserve">Semnătura: ______________________</w:t>
      </w:r>
    </w:p>
    <w:p>
      <w:pPr>
        <w:spacing w:line="276" w:lineRule="auto"/>
        <w:jc w:val="both"/>
      </w:pPr>
    </w:p>
    <w:p>
      <w:pPr>
        <w:spacing w:line="276" w:lineRule="auto"/>
        <w:ind w:left="567" w:hanging="567"/>
        <w:jc w:val="both"/>
      </w:pPr>
      <w:r>
        <w:rPr>
          <w:color w:val="222222"/>
          <w:lang w:val="ro-RO" w:eastAsia="en-US"/>
        </w:rPr>
        <w:t xml:space="preserve">Data: ______________________</w:t>
      </w:r>
    </w:p>
    <w:bookmarkEnd w:id="42"/>
    <w:sectPr w:rsidR="001E5EA2" w:rsidRPr="000A7036" w:rsidSect="005C73F8">
      <w:headerReference r:id="rId9" w:type="default"/>
      <w:footerReference r:id="rId10" w:type="default"/>
      <w:pgSz w:h="16838" w:w="11906"/>
      <w:pgMar w:bottom="1134" w:footer="709" w:gutter="0" w:header="568" w:left="1418" w:right="1134" w:top="1134"/>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0A01A" w14:textId="77777777" w:rsidR="006F0D96" w:rsidRDefault="006F0D96" w:rsidP="006F0D96">
    <w:pPr>
      <w:pStyle w:val="Footer"/>
      <w:pBdr>
        <w:bottom w:val="single" w:sz="6" w:space="1" w:color="auto"/>
      </w:pBdr>
      <w:jc w:val="center"/>
      <w:rPr>
        <w:i/>
        <w:sz w:val="22"/>
        <w:szCs w:val="22"/>
        <w:shd w:val="clear" w:color="auto" w:fill="FFFFFF" w:themeFill="background1"/>
      </w:rPr>
    </w:pPr>
  </w:p>
  <w:p w14:paraId="272ACE47" w14:textId="378F4727" w:rsidR="006F0D96" w:rsidRDefault="006F0D96" w:rsidP="006F0D96">
    <w:pPr>
      <w:pStyle w:val="Footer"/>
      <w:jc w:val="center"/>
      <w:rPr>
        <w:i/>
        <w:sz w:val="22"/>
        <w:szCs w:val="22"/>
        <w:shd w:val="clear" w:color="auto" w:fill="FFFFFF" w:themeFill="background1"/>
      </w:rPr>
    </w:pPr>
    <w:r>
      <w:rPr>
        <w:i/>
        <w:sz w:val="22"/>
        <w:szCs w:val="22"/>
        <w:shd w:val="clear" w:color="auto" w:fill="FFFFFF" w:themeFill="background1"/>
      </w:rPr>
      <w:t>Chi</w:t>
    </w:r>
    <w:r w:rsidR="00EA7F88">
      <w:rPr>
        <w:i/>
        <w:sz w:val="22"/>
        <w:szCs w:val="22"/>
        <w:shd w:val="clear" w:color="auto" w:fill="FFFFFF" w:themeFill="background1"/>
      </w:rPr>
      <w:t>ș</w:t>
    </w:r>
    <w:r>
      <w:rPr>
        <w:i/>
        <w:sz w:val="22"/>
        <w:szCs w:val="22"/>
        <w:shd w:val="clear" w:color="auto" w:fill="FFFFFF" w:themeFill="background1"/>
      </w:rPr>
      <w:t>in</w:t>
    </w:r>
    <w:r w:rsidR="00EA7F88">
      <w:rPr>
        <w:i/>
        <w:sz w:val="22"/>
        <w:szCs w:val="22"/>
        <w:shd w:val="clear" w:color="auto" w:fill="FFFFFF" w:themeFill="background1"/>
      </w:rPr>
      <w:t>ă</w:t>
    </w:r>
    <w:r>
      <w:rPr>
        <w:i/>
        <w:sz w:val="22"/>
        <w:szCs w:val="22"/>
        <w:shd w:val="clear" w:color="auto" w:fill="FFFFFF" w:themeFill="background1"/>
      </w:rPr>
      <w:t xml:space="preserve">u, </w:t>
    </w:r>
    <w:r w:rsidR="00E60CB7">
      <w:rPr>
        <w:i/>
        <w:sz w:val="22"/>
        <w:szCs w:val="22"/>
        <w:shd w:val="clear" w:color="auto" w:fill="FFFFFF" w:themeFill="background1"/>
      </w:rPr>
      <w:t>1</w:t>
    </w:r>
    <w:r w:rsidR="00226D8D">
      <w:rPr>
        <w:i/>
        <w:sz w:val="22"/>
        <w:szCs w:val="22"/>
        <w:shd w:val="clear" w:color="auto" w:fill="FFFFFF" w:themeFill="background1"/>
      </w:rPr>
      <w:t>3</w:t>
    </w:r>
    <w:r w:rsidR="00796F5B">
      <w:rPr>
        <w:i/>
        <w:sz w:val="22"/>
        <w:szCs w:val="22"/>
        <w:shd w:val="clear" w:color="auto" w:fill="FFFFFF" w:themeFill="background1"/>
      </w:rPr>
      <w:t>-</w:t>
    </w:r>
    <w:r w:rsidR="00E60CB7">
      <w:rPr>
        <w:i/>
        <w:sz w:val="22"/>
        <w:szCs w:val="22"/>
        <w:shd w:val="clear" w:color="auto" w:fill="FFFFFF" w:themeFill="background1"/>
      </w:rPr>
      <w:t xml:space="preserve">16 </w:t>
    </w:r>
    <w:r w:rsidR="00711667">
      <w:rPr>
        <w:i/>
        <w:sz w:val="22"/>
        <w:szCs w:val="22"/>
        <w:shd w:val="clear" w:color="auto" w:fill="FFFFFF" w:themeFill="background1"/>
      </w:rPr>
      <w:t>Ma</w:t>
    </w:r>
    <w:r w:rsidR="00796F5B">
      <w:rPr>
        <w:i/>
        <w:sz w:val="22"/>
        <w:szCs w:val="22"/>
        <w:shd w:val="clear" w:color="auto" w:fill="FFFFFF" w:themeFill="background1"/>
      </w:rPr>
      <w:t>i</w:t>
    </w:r>
    <w:r w:rsidR="004C307D">
      <w:rPr>
        <w:i/>
        <w:sz w:val="22"/>
        <w:szCs w:val="22"/>
        <w:shd w:val="clear" w:color="auto" w:fill="FFFFFF" w:themeFill="background1"/>
      </w:rPr>
      <w:t>, 202</w:t>
    </w:r>
    <w:r w:rsidR="00226D8D">
      <w:rPr>
        <w:i/>
        <w:sz w:val="22"/>
        <w:szCs w:val="22"/>
        <w:shd w:val="clear" w:color="auto" w:fill="FFFFFF" w:themeFill="background1"/>
      </w:rPr>
      <w:t>6</w:t>
    </w:r>
    <w:r w:rsidR="004C307D">
      <w:rPr>
        <w:i/>
        <w:sz w:val="22"/>
        <w:szCs w:val="22"/>
        <w:shd w:val="clear" w:color="auto" w:fill="FFFFFF" w:themeFill="background1"/>
      </w:rPr>
      <w:t>, Vol. N</w:t>
    </w:r>
  </w:p>
  <w:p w14:paraId="3038428D" w14:textId="77777777" w:rsidR="001515FC" w:rsidRPr="006F0D96" w:rsidRDefault="00BD453A" w:rsidP="006F0D96">
    <w:pPr>
      <w:pStyle w:val="Footer"/>
      <w:jc w:val="center"/>
      <w:rPr>
        <w:sz w:val="22"/>
        <w:szCs w:val="22"/>
      </w:rPr>
    </w:pPr>
    <w:sdt>
      <w:sdtPr>
        <w:rPr>
          <w:sz w:val="22"/>
          <w:szCs w:val="22"/>
        </w:rPr>
        <w:id w:val="1866171786"/>
        <w:docPartObj>
          <w:docPartGallery w:val="Page Numbers (Bottom of Page)"/>
          <w:docPartUnique/>
        </w:docPartObj>
      </w:sdtPr>
      <w:sdtEndPr>
        <w:rPr>
          <w:noProof/>
        </w:rPr>
      </w:sdtEndPr>
      <w:sdtContent>
        <w:r w:rsidR="006F0D96" w:rsidRPr="006F0D96">
          <w:rPr>
            <w:sz w:val="22"/>
            <w:szCs w:val="22"/>
          </w:rPr>
          <w:t xml:space="preserve">- </w:t>
        </w:r>
        <w:r w:rsidR="006F0D96" w:rsidRPr="006F0D96">
          <w:rPr>
            <w:sz w:val="22"/>
            <w:szCs w:val="22"/>
          </w:rPr>
          <w:fldChar w:fldCharType="begin"/>
        </w:r>
        <w:r w:rsidR="006F0D96" w:rsidRPr="006F0D96">
          <w:rPr>
            <w:sz w:val="22"/>
            <w:szCs w:val="22"/>
          </w:rPr>
          <w:instrText xml:space="preserve"> PAGE   \* MERGEFORMAT </w:instrText>
        </w:r>
        <w:r w:rsidR="006F0D96" w:rsidRPr="006F0D96">
          <w:rPr>
            <w:sz w:val="22"/>
            <w:szCs w:val="22"/>
          </w:rPr>
          <w:fldChar w:fldCharType="separate"/>
        </w:r>
        <w:r w:rsidR="004A44A4">
          <w:rPr>
            <w:noProof/>
            <w:sz w:val="22"/>
            <w:szCs w:val="22"/>
          </w:rPr>
          <w:t>1</w:t>
        </w:r>
        <w:r w:rsidR="006F0D96" w:rsidRPr="006F0D96">
          <w:rPr>
            <w:noProof/>
            <w:sz w:val="22"/>
            <w:szCs w:val="22"/>
          </w:rPr>
          <w:fldChar w:fldCharType="end"/>
        </w:r>
      </w:sdtContent>
    </w:sdt>
    <w:r w:rsidR="006F0D96" w:rsidRPr="006F0D96">
      <w:rPr>
        <w:noProof/>
        <w:sz w:val="22"/>
        <w:szCs w:val="22"/>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3A760" w14:textId="47574229" w:rsidR="005C73F8" w:rsidRPr="008A0FF2" w:rsidRDefault="009D73B9" w:rsidP="006F0D96">
    <w:pPr>
      <w:pStyle w:val="Header"/>
      <w:pBdr>
        <w:bottom w:val="single" w:sz="6" w:space="1" w:color="auto"/>
      </w:pBdr>
      <w:jc w:val="center"/>
      <w:rPr>
        <w:i/>
        <w:sz w:val="22"/>
        <w:szCs w:val="22"/>
        <w:lang w:val="ro-RO"/>
      </w:rPr>
    </w:pPr>
    <w:r w:rsidRPr="008A0FF2">
      <w:rPr>
        <w:rFonts w:eastAsia="Calibri"/>
        <w:noProof/>
        <w:lang w:val="ro-RO" w:eastAsia="en-US"/>
      </w:rPr>
      <w:drawing>
        <wp:anchor distT="0" distB="0" distL="114300" distR="114300" simplePos="0" relativeHeight="251659264" behindDoc="0" locked="0" layoutInCell="1" allowOverlap="1" wp14:anchorId="08952A6F" wp14:editId="41A3775F">
          <wp:simplePos x="0" y="0"/>
          <wp:positionH relativeFrom="column">
            <wp:posOffset>-86360</wp:posOffset>
          </wp:positionH>
          <wp:positionV relativeFrom="page">
            <wp:posOffset>114935</wp:posOffset>
          </wp:positionV>
          <wp:extent cx="608400" cy="608400"/>
          <wp:effectExtent l="0" t="0" r="1270" b="1270"/>
          <wp:wrapNone/>
          <wp:docPr id="1310148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8400" cy="60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A0FF2" w:rsidRPr="008A0FF2">
      <w:rPr>
        <w:i/>
        <w:sz w:val="22"/>
        <w:szCs w:val="22"/>
        <w:lang w:val="ro-RO"/>
      </w:rPr>
      <w:t xml:space="preserve">Conferința </w:t>
    </w:r>
    <w:proofErr w:type="spellStart"/>
    <w:r w:rsidR="00F21626">
      <w:rPr>
        <w:i/>
        <w:sz w:val="22"/>
        <w:szCs w:val="22"/>
        <w:lang w:val="ro-RO"/>
      </w:rPr>
      <w:t>T</w:t>
    </w:r>
    <w:r w:rsidR="008A0FF2" w:rsidRPr="008A0FF2">
      <w:rPr>
        <w:i/>
        <w:sz w:val="22"/>
        <w:szCs w:val="22"/>
        <w:lang w:val="ro-RO"/>
      </w:rPr>
      <w:t>ehnico-</w:t>
    </w:r>
    <w:r w:rsidR="00F21626">
      <w:rPr>
        <w:i/>
        <w:sz w:val="22"/>
        <w:szCs w:val="22"/>
        <w:lang w:val="ro-RO"/>
      </w:rPr>
      <w:t>Ș</w:t>
    </w:r>
    <w:r w:rsidR="008A0FF2" w:rsidRPr="008A0FF2">
      <w:rPr>
        <w:i/>
        <w:sz w:val="22"/>
        <w:szCs w:val="22"/>
        <w:lang w:val="ro-RO"/>
      </w:rPr>
      <w:t>tiinţifică</w:t>
    </w:r>
    <w:proofErr w:type="spellEnd"/>
    <w:r w:rsidR="008A0FF2" w:rsidRPr="008A0FF2">
      <w:rPr>
        <w:i/>
        <w:sz w:val="22"/>
        <w:szCs w:val="22"/>
        <w:lang w:val="ro-RO"/>
      </w:rPr>
      <w:t xml:space="preserve"> a Studenților, Masteranzilor și Doctoranzilor</w:t>
    </w:r>
  </w:p>
  <w:p w14:paraId="1493FFF9" w14:textId="2661CF71" w:rsidR="008A0FF2" w:rsidRPr="008A0FF2" w:rsidRDefault="008A0FF2" w:rsidP="006F0D96">
    <w:pPr>
      <w:pStyle w:val="Header"/>
      <w:pBdr>
        <w:bottom w:val="single" w:sz="6" w:space="1" w:color="auto"/>
      </w:pBdr>
      <w:jc w:val="center"/>
      <w:rPr>
        <w:i/>
        <w:sz w:val="22"/>
        <w:szCs w:val="22"/>
        <w:lang w:val="ro-RO"/>
      </w:rPr>
    </w:pPr>
    <w:r w:rsidRPr="008A0FF2">
      <w:rPr>
        <w:i/>
        <w:sz w:val="22"/>
        <w:szCs w:val="22"/>
        <w:lang w:val="ro-RO"/>
      </w:rPr>
      <w:t>Universitatea Tehnică a Moldovei</w:t>
    </w:r>
  </w:p>
  <w:p w14:paraId="7E29042F" w14:textId="77777777" w:rsidR="005C73F8" w:rsidRPr="008A0FF2" w:rsidRDefault="005C73F8" w:rsidP="005C73F8">
    <w:pPr>
      <w:pStyle w:val="Header"/>
      <w:pBdr>
        <w:bottom w:val="single" w:sz="6" w:space="1" w:color="auto"/>
      </w:pBdr>
      <w:tabs>
        <w:tab w:val="clear" w:pos="9355"/>
        <w:tab w:val="left" w:pos="4956"/>
      </w:tabs>
      <w:rPr>
        <w:i/>
        <w:sz w:val="10"/>
        <w:szCs w:val="10"/>
        <w:lang w:val="ro-RO"/>
      </w:rPr>
    </w:pPr>
    <w:r w:rsidRPr="008A0FF2">
      <w:rPr>
        <w:i/>
        <w:sz w:val="10"/>
        <w:szCs w:val="10"/>
        <w:lang w:val="ro-RO"/>
      </w:rPr>
      <w:tab/>
    </w:r>
    <w:r w:rsidRPr="008A0FF2">
      <w:rPr>
        <w:i/>
        <w:sz w:val="10"/>
        <w:szCs w:val="10"/>
        <w:lang w:val="ro-RO"/>
      </w:rPr>
      <w:tab/>
    </w:r>
    <w:r w:rsidRPr="008A0FF2">
      <w:rPr>
        <w:i/>
        <w:sz w:val="10"/>
        <w:szCs w:val="10"/>
        <w:lang w:val="ro-RO"/>
      </w:rPr>
      <w:tab/>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F64833"/>
    <w:multiLevelType w:val="hybridMultilevel"/>
    <w:tmpl w:val="BADC3ACC"/>
    <w:lvl w:ilvl="0" w:tplc="0419000F">
      <w:start w:val="1"/>
      <w:numFmt w:val="decimal"/>
      <w:lvlText w:val="%1."/>
      <w:lvlJc w:val="left"/>
      <w:pPr>
        <w:ind w:hanging="360" w:left="720"/>
      </w:pPr>
      <w:rPr>
        <w:rFonts w:hint="default"/>
      </w:rPr>
    </w:lvl>
    <w:lvl w:ilvl="1" w:tentative="1" w:tplc="04190019">
      <w:start w:val="1"/>
      <w:numFmt w:val="lowerLetter"/>
      <w:lvlText w:val="%2."/>
      <w:lvlJc w:val="left"/>
      <w:pPr>
        <w:ind w:hanging="360" w:left="1440"/>
      </w:pPr>
    </w:lvl>
    <w:lvl w:ilvl="2" w:tentative="1" w:tplc="0419001B">
      <w:start w:val="1"/>
      <w:numFmt w:val="lowerRoman"/>
      <w:lvlText w:val="%3."/>
      <w:lvlJc w:val="right"/>
      <w:pPr>
        <w:ind w:hanging="180" w:left="2160"/>
      </w:pPr>
    </w:lvl>
    <w:lvl w:ilvl="3" w:tentative="1" w:tplc="0419000F">
      <w:start w:val="1"/>
      <w:numFmt w:val="decimal"/>
      <w:lvlText w:val="%4."/>
      <w:lvlJc w:val="left"/>
      <w:pPr>
        <w:ind w:hanging="360" w:left="2880"/>
      </w:pPr>
    </w:lvl>
    <w:lvl w:ilvl="4" w:tentative="1" w:tplc="04190019">
      <w:start w:val="1"/>
      <w:numFmt w:val="lowerLetter"/>
      <w:lvlText w:val="%5."/>
      <w:lvlJc w:val="left"/>
      <w:pPr>
        <w:ind w:hanging="360" w:left="3600"/>
      </w:pPr>
    </w:lvl>
    <w:lvl w:ilvl="5" w:tentative="1" w:tplc="0419001B">
      <w:start w:val="1"/>
      <w:numFmt w:val="lowerRoman"/>
      <w:lvlText w:val="%6."/>
      <w:lvlJc w:val="right"/>
      <w:pPr>
        <w:ind w:hanging="180" w:left="4320"/>
      </w:pPr>
    </w:lvl>
    <w:lvl w:ilvl="6" w:tentative="1" w:tplc="0419000F">
      <w:start w:val="1"/>
      <w:numFmt w:val="decimal"/>
      <w:lvlText w:val="%7."/>
      <w:lvlJc w:val="left"/>
      <w:pPr>
        <w:ind w:hanging="360" w:left="5040"/>
      </w:pPr>
    </w:lvl>
    <w:lvl w:ilvl="7" w:tentative="1" w:tplc="04190019">
      <w:start w:val="1"/>
      <w:numFmt w:val="lowerLetter"/>
      <w:lvlText w:val="%8."/>
      <w:lvlJc w:val="left"/>
      <w:pPr>
        <w:ind w:hanging="360" w:left="5760"/>
      </w:pPr>
    </w:lvl>
    <w:lvl w:ilvl="8" w:tentative="1" w:tplc="0419001B">
      <w:start w:val="1"/>
      <w:numFmt w:val="lowerRoman"/>
      <w:lvlText w:val="%9."/>
      <w:lvlJc w:val="right"/>
      <w:pPr>
        <w:ind w:hanging="180" w:left="6480"/>
      </w:pPr>
    </w:lvl>
  </w:abstractNum>
  <w:abstractNum w15:restartNumberingAfterBreak="0" w:abstractNumId="1">
    <w:nsid w:val="073C370E"/>
    <w:multiLevelType w:val="hybridMultilevel"/>
    <w:tmpl w:val="AA30715A"/>
    <w:lvl w:ilvl="0" w:tplc="0A54A4EA">
      <w:start w:val="1"/>
      <w:numFmt w:val="bullet"/>
      <w:lvlText w:val=""/>
      <w:lvlJc w:val="left"/>
      <w:pPr>
        <w:ind w:hanging="360" w:left="720"/>
      </w:pPr>
      <w:rPr>
        <w:rFonts w:ascii="Symbol" w:hAnsi="Symbol" w:hint="default"/>
      </w:rPr>
    </w:lvl>
    <w:lvl w:ilvl="1" w:tentative="1" w:tplc="04190003">
      <w:start w:val="1"/>
      <w:numFmt w:val="bullet"/>
      <w:lvlText w:val="o"/>
      <w:lvlJc w:val="left"/>
      <w:pPr>
        <w:ind w:hanging="360" w:left="1440"/>
      </w:pPr>
      <w:rPr>
        <w:rFonts w:ascii="Courier New" w:cs="Courier New" w:hAnsi="Courier New" w:hint="default"/>
      </w:rPr>
    </w:lvl>
    <w:lvl w:ilvl="2" w:tentative="1" w:tplc="04190005">
      <w:start w:val="1"/>
      <w:numFmt w:val="bullet"/>
      <w:lvlText w:val=""/>
      <w:lvlJc w:val="left"/>
      <w:pPr>
        <w:ind w:hanging="360" w:left="2160"/>
      </w:pPr>
      <w:rPr>
        <w:rFonts w:ascii="Wingdings" w:hAnsi="Wingdings" w:hint="default"/>
      </w:rPr>
    </w:lvl>
    <w:lvl w:ilvl="3" w:tentative="1" w:tplc="04190001">
      <w:start w:val="1"/>
      <w:numFmt w:val="bullet"/>
      <w:lvlText w:val=""/>
      <w:lvlJc w:val="left"/>
      <w:pPr>
        <w:ind w:hanging="360" w:left="2880"/>
      </w:pPr>
      <w:rPr>
        <w:rFonts w:ascii="Symbol" w:hAnsi="Symbol" w:hint="default"/>
      </w:rPr>
    </w:lvl>
    <w:lvl w:ilvl="4" w:tentative="1" w:tplc="04190003">
      <w:start w:val="1"/>
      <w:numFmt w:val="bullet"/>
      <w:lvlText w:val="o"/>
      <w:lvlJc w:val="left"/>
      <w:pPr>
        <w:ind w:hanging="360" w:left="3600"/>
      </w:pPr>
      <w:rPr>
        <w:rFonts w:ascii="Courier New" w:cs="Courier New" w:hAnsi="Courier New" w:hint="default"/>
      </w:rPr>
    </w:lvl>
    <w:lvl w:ilvl="5" w:tentative="1" w:tplc="04190005">
      <w:start w:val="1"/>
      <w:numFmt w:val="bullet"/>
      <w:lvlText w:val=""/>
      <w:lvlJc w:val="left"/>
      <w:pPr>
        <w:ind w:hanging="360" w:left="4320"/>
      </w:pPr>
      <w:rPr>
        <w:rFonts w:ascii="Wingdings" w:hAnsi="Wingdings" w:hint="default"/>
      </w:rPr>
    </w:lvl>
    <w:lvl w:ilvl="6" w:tentative="1" w:tplc="04190001">
      <w:start w:val="1"/>
      <w:numFmt w:val="bullet"/>
      <w:lvlText w:val=""/>
      <w:lvlJc w:val="left"/>
      <w:pPr>
        <w:ind w:hanging="360" w:left="5040"/>
      </w:pPr>
      <w:rPr>
        <w:rFonts w:ascii="Symbol" w:hAnsi="Symbol" w:hint="default"/>
      </w:rPr>
    </w:lvl>
    <w:lvl w:ilvl="7" w:tentative="1" w:tplc="04190003">
      <w:start w:val="1"/>
      <w:numFmt w:val="bullet"/>
      <w:lvlText w:val="o"/>
      <w:lvlJc w:val="left"/>
      <w:pPr>
        <w:ind w:hanging="360" w:left="5760"/>
      </w:pPr>
      <w:rPr>
        <w:rFonts w:ascii="Courier New" w:cs="Courier New" w:hAnsi="Courier New" w:hint="default"/>
      </w:rPr>
    </w:lvl>
    <w:lvl w:ilvl="8" w:tentative="1" w:tplc="04190005">
      <w:start w:val="1"/>
      <w:numFmt w:val="bullet"/>
      <w:lvlText w:val=""/>
      <w:lvlJc w:val="left"/>
      <w:pPr>
        <w:ind w:hanging="360" w:left="6480"/>
      </w:pPr>
      <w:rPr>
        <w:rFonts w:ascii="Wingdings" w:hAnsi="Wingdings" w:hint="default"/>
      </w:rPr>
    </w:lvl>
  </w:abstractNum>
  <w:abstractNum w15:restartNumberingAfterBreak="0" w:abstractNumId="2">
    <w:nsid w:val="0E4A5975"/>
    <w:multiLevelType w:val="hybridMultilevel"/>
    <w:tmpl w:val="58D2E6D0"/>
    <w:lvl w:ilvl="0" w:tplc="0419000F">
      <w:start w:val="1"/>
      <w:numFmt w:val="decimal"/>
      <w:lvlText w:val="%1."/>
      <w:lvlJc w:val="left"/>
      <w:pPr>
        <w:ind w:hanging="360" w:left="720"/>
      </w:pPr>
    </w:lvl>
    <w:lvl w:ilvl="1" w:tentative="1" w:tplc="04190019">
      <w:start w:val="1"/>
      <w:numFmt w:val="lowerLetter"/>
      <w:lvlText w:val="%2."/>
      <w:lvlJc w:val="left"/>
      <w:pPr>
        <w:ind w:hanging="360" w:left="1440"/>
      </w:pPr>
    </w:lvl>
    <w:lvl w:ilvl="2" w:tentative="1" w:tplc="0419001B">
      <w:start w:val="1"/>
      <w:numFmt w:val="lowerRoman"/>
      <w:lvlText w:val="%3."/>
      <w:lvlJc w:val="right"/>
      <w:pPr>
        <w:ind w:hanging="180" w:left="2160"/>
      </w:pPr>
    </w:lvl>
    <w:lvl w:ilvl="3" w:tentative="1" w:tplc="0419000F">
      <w:start w:val="1"/>
      <w:numFmt w:val="decimal"/>
      <w:lvlText w:val="%4."/>
      <w:lvlJc w:val="left"/>
      <w:pPr>
        <w:ind w:hanging="360" w:left="2880"/>
      </w:pPr>
    </w:lvl>
    <w:lvl w:ilvl="4" w:tentative="1" w:tplc="04190019">
      <w:start w:val="1"/>
      <w:numFmt w:val="lowerLetter"/>
      <w:lvlText w:val="%5."/>
      <w:lvlJc w:val="left"/>
      <w:pPr>
        <w:ind w:hanging="360" w:left="3600"/>
      </w:pPr>
    </w:lvl>
    <w:lvl w:ilvl="5" w:tentative="1" w:tplc="0419001B">
      <w:start w:val="1"/>
      <w:numFmt w:val="lowerRoman"/>
      <w:lvlText w:val="%6."/>
      <w:lvlJc w:val="right"/>
      <w:pPr>
        <w:ind w:hanging="180" w:left="4320"/>
      </w:pPr>
    </w:lvl>
    <w:lvl w:ilvl="6" w:tentative="1" w:tplc="0419000F">
      <w:start w:val="1"/>
      <w:numFmt w:val="decimal"/>
      <w:lvlText w:val="%7."/>
      <w:lvlJc w:val="left"/>
      <w:pPr>
        <w:ind w:hanging="360" w:left="5040"/>
      </w:pPr>
    </w:lvl>
    <w:lvl w:ilvl="7" w:tentative="1" w:tplc="04190019">
      <w:start w:val="1"/>
      <w:numFmt w:val="lowerLetter"/>
      <w:lvlText w:val="%8."/>
      <w:lvlJc w:val="left"/>
      <w:pPr>
        <w:ind w:hanging="360" w:left="5760"/>
      </w:pPr>
    </w:lvl>
    <w:lvl w:ilvl="8" w:tentative="1" w:tplc="0419001B">
      <w:start w:val="1"/>
      <w:numFmt w:val="lowerRoman"/>
      <w:lvlText w:val="%9."/>
      <w:lvlJc w:val="right"/>
      <w:pPr>
        <w:ind w:hanging="180" w:left="6480"/>
      </w:pPr>
    </w:lvl>
  </w:abstractNum>
  <w:abstractNum w15:restartNumberingAfterBreak="0" w:abstractNumId="3">
    <w:nsid w:val="139607BD"/>
    <w:multiLevelType w:val="hybridMultilevel"/>
    <w:tmpl w:val="3A3A0E14"/>
    <w:lvl w:ilvl="0" w:tplc="0A54A4EA">
      <w:start w:val="1"/>
      <w:numFmt w:val="bullet"/>
      <w:lvlText w:val=""/>
      <w:lvlJc w:val="left"/>
      <w:pPr>
        <w:tabs>
          <w:tab w:pos="720" w:val="num"/>
        </w:tabs>
        <w:ind w:hanging="360" w:left="720"/>
      </w:pPr>
      <w:rPr>
        <w:rFonts w:ascii="Symbol" w:hAnsi="Symbol" w:hint="default"/>
      </w:rPr>
    </w:lvl>
    <w:lvl w:ilvl="1" w:tentative="1" w:tplc="04190003">
      <w:start w:val="1"/>
      <w:numFmt w:val="bullet"/>
      <w:lvlText w:val="o"/>
      <w:lvlJc w:val="left"/>
      <w:pPr>
        <w:tabs>
          <w:tab w:pos="1440" w:val="num"/>
        </w:tabs>
        <w:ind w:hanging="360" w:left="1440"/>
      </w:pPr>
      <w:rPr>
        <w:rFonts w:ascii="Courier New" w:cs="Courier New" w:hAnsi="Courier New" w:hint="default"/>
      </w:rPr>
    </w:lvl>
    <w:lvl w:ilvl="2" w:tentative="1" w:tplc="04190005">
      <w:start w:val="1"/>
      <w:numFmt w:val="bullet"/>
      <w:lvlText w:val=""/>
      <w:lvlJc w:val="left"/>
      <w:pPr>
        <w:tabs>
          <w:tab w:pos="2160" w:val="num"/>
        </w:tabs>
        <w:ind w:hanging="360" w:left="2160"/>
      </w:pPr>
      <w:rPr>
        <w:rFonts w:ascii="Wingdings" w:hAnsi="Wingdings" w:hint="default"/>
      </w:rPr>
    </w:lvl>
    <w:lvl w:ilvl="3" w:tentative="1" w:tplc="04190001">
      <w:start w:val="1"/>
      <w:numFmt w:val="bullet"/>
      <w:lvlText w:val=""/>
      <w:lvlJc w:val="left"/>
      <w:pPr>
        <w:tabs>
          <w:tab w:pos="2880" w:val="num"/>
        </w:tabs>
        <w:ind w:hanging="360" w:left="2880"/>
      </w:pPr>
      <w:rPr>
        <w:rFonts w:ascii="Symbol" w:hAnsi="Symbol" w:hint="default"/>
      </w:rPr>
    </w:lvl>
    <w:lvl w:ilvl="4" w:tentative="1" w:tplc="04190003">
      <w:start w:val="1"/>
      <w:numFmt w:val="bullet"/>
      <w:lvlText w:val="o"/>
      <w:lvlJc w:val="left"/>
      <w:pPr>
        <w:tabs>
          <w:tab w:pos="3600" w:val="num"/>
        </w:tabs>
        <w:ind w:hanging="360" w:left="3600"/>
      </w:pPr>
      <w:rPr>
        <w:rFonts w:ascii="Courier New" w:cs="Courier New" w:hAnsi="Courier New" w:hint="default"/>
      </w:rPr>
    </w:lvl>
    <w:lvl w:ilvl="5" w:tentative="1" w:tplc="04190005">
      <w:start w:val="1"/>
      <w:numFmt w:val="bullet"/>
      <w:lvlText w:val=""/>
      <w:lvlJc w:val="left"/>
      <w:pPr>
        <w:tabs>
          <w:tab w:pos="4320" w:val="num"/>
        </w:tabs>
        <w:ind w:hanging="360" w:left="4320"/>
      </w:pPr>
      <w:rPr>
        <w:rFonts w:ascii="Wingdings" w:hAnsi="Wingdings" w:hint="default"/>
      </w:rPr>
    </w:lvl>
    <w:lvl w:ilvl="6" w:tentative="1" w:tplc="04190001">
      <w:start w:val="1"/>
      <w:numFmt w:val="bullet"/>
      <w:lvlText w:val=""/>
      <w:lvlJc w:val="left"/>
      <w:pPr>
        <w:tabs>
          <w:tab w:pos="5040" w:val="num"/>
        </w:tabs>
        <w:ind w:hanging="360" w:left="5040"/>
      </w:pPr>
      <w:rPr>
        <w:rFonts w:ascii="Symbol" w:hAnsi="Symbol" w:hint="default"/>
      </w:rPr>
    </w:lvl>
    <w:lvl w:ilvl="7" w:tentative="1" w:tplc="04190003">
      <w:start w:val="1"/>
      <w:numFmt w:val="bullet"/>
      <w:lvlText w:val="o"/>
      <w:lvlJc w:val="left"/>
      <w:pPr>
        <w:tabs>
          <w:tab w:pos="5760" w:val="num"/>
        </w:tabs>
        <w:ind w:hanging="360" w:left="5760"/>
      </w:pPr>
      <w:rPr>
        <w:rFonts w:ascii="Courier New" w:cs="Courier New" w:hAnsi="Courier New" w:hint="default"/>
      </w:rPr>
    </w:lvl>
    <w:lvl w:ilvl="8" w:tentative="1" w:tplc="04190005">
      <w:start w:val="1"/>
      <w:numFmt w:val="bullet"/>
      <w:lvlText w:val=""/>
      <w:lvlJc w:val="left"/>
      <w:pPr>
        <w:tabs>
          <w:tab w:pos="6480" w:val="num"/>
        </w:tabs>
        <w:ind w:hanging="360" w:left="6480"/>
      </w:pPr>
      <w:rPr>
        <w:rFonts w:ascii="Wingdings" w:hAnsi="Wingdings" w:hint="default"/>
      </w:rPr>
    </w:lvl>
  </w:abstractNum>
  <w:abstractNum w15:restartNumberingAfterBreak="0" w:abstractNumId="4">
    <w:nsid w:val="192B3DBC"/>
    <w:multiLevelType w:val="hybridMultilevel"/>
    <w:tmpl w:val="428E9362"/>
    <w:lvl w:ilvl="0" w:tplc="564E7A40">
      <w:start w:val="1"/>
      <w:numFmt w:val="decimal"/>
      <w:lvlText w:val="%1."/>
      <w:lvlJc w:val="left"/>
      <w:pPr>
        <w:tabs>
          <w:tab w:pos="567" w:val="num"/>
        </w:tabs>
        <w:ind w:hanging="567" w:left="567"/>
      </w:pPr>
      <w:rPr>
        <w:rFonts w:ascii="Times New Roman" w:hAnsi="Times New Roman" w:hint="default"/>
        <w:b w:val="0"/>
        <w:i w:val="0"/>
        <w:sz w:val="20"/>
        <w:szCs w:val="20"/>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
    <w:nsid w:val="1C005D7C"/>
    <w:multiLevelType w:val="hybridMultilevel"/>
    <w:tmpl w:val="44445C3E"/>
    <w:lvl w:ilvl="0" w:tplc="0419000F">
      <w:start w:val="1"/>
      <w:numFmt w:val="decimal"/>
      <w:lvlText w:val="%1."/>
      <w:lvlJc w:val="left"/>
      <w:pPr>
        <w:ind w:hanging="360" w:left="720"/>
      </w:pPr>
      <w:rPr>
        <w:rFonts w:hint="default"/>
        <w:i w:val="0"/>
        <w:sz w:val="20"/>
        <w:szCs w:val="20"/>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6">
    <w:nsid w:val="1F012ADF"/>
    <w:multiLevelType w:val="hybridMultilevel"/>
    <w:tmpl w:val="C674C3A6"/>
    <w:lvl w:ilvl="0" w:tplc="D1985986">
      <w:numFmt w:val="bullet"/>
      <w:lvlText w:val="-"/>
      <w:lvlJc w:val="left"/>
      <w:pPr>
        <w:ind w:hanging="360" w:left="1069"/>
      </w:pPr>
      <w:rPr>
        <w:rFonts w:ascii="Times New Roman" w:cs="Times New Roman" w:eastAsia="Calibri" w:hAnsi="Times New Roman" w:hint="default"/>
      </w:rPr>
    </w:lvl>
    <w:lvl w:ilvl="1" w:tentative="1" w:tplc="04190003">
      <w:start w:val="1"/>
      <w:numFmt w:val="bullet"/>
      <w:lvlText w:val="o"/>
      <w:lvlJc w:val="left"/>
      <w:pPr>
        <w:ind w:hanging="360" w:left="1789"/>
      </w:pPr>
      <w:rPr>
        <w:rFonts w:ascii="Courier New" w:cs="Courier New" w:hAnsi="Courier New" w:hint="default"/>
      </w:rPr>
    </w:lvl>
    <w:lvl w:ilvl="2" w:tentative="1" w:tplc="04190005">
      <w:start w:val="1"/>
      <w:numFmt w:val="bullet"/>
      <w:lvlText w:val=""/>
      <w:lvlJc w:val="left"/>
      <w:pPr>
        <w:ind w:hanging="360" w:left="2509"/>
      </w:pPr>
      <w:rPr>
        <w:rFonts w:ascii="Wingdings" w:hAnsi="Wingdings" w:hint="default"/>
      </w:rPr>
    </w:lvl>
    <w:lvl w:ilvl="3" w:tentative="1" w:tplc="04190001">
      <w:start w:val="1"/>
      <w:numFmt w:val="bullet"/>
      <w:lvlText w:val=""/>
      <w:lvlJc w:val="left"/>
      <w:pPr>
        <w:ind w:hanging="360" w:left="3229"/>
      </w:pPr>
      <w:rPr>
        <w:rFonts w:ascii="Symbol" w:hAnsi="Symbol" w:hint="default"/>
      </w:rPr>
    </w:lvl>
    <w:lvl w:ilvl="4" w:tentative="1" w:tplc="04190003">
      <w:start w:val="1"/>
      <w:numFmt w:val="bullet"/>
      <w:lvlText w:val="o"/>
      <w:lvlJc w:val="left"/>
      <w:pPr>
        <w:ind w:hanging="360" w:left="3949"/>
      </w:pPr>
      <w:rPr>
        <w:rFonts w:ascii="Courier New" w:cs="Courier New" w:hAnsi="Courier New" w:hint="default"/>
      </w:rPr>
    </w:lvl>
    <w:lvl w:ilvl="5" w:tentative="1" w:tplc="04190005">
      <w:start w:val="1"/>
      <w:numFmt w:val="bullet"/>
      <w:lvlText w:val=""/>
      <w:lvlJc w:val="left"/>
      <w:pPr>
        <w:ind w:hanging="360" w:left="4669"/>
      </w:pPr>
      <w:rPr>
        <w:rFonts w:ascii="Wingdings" w:hAnsi="Wingdings" w:hint="default"/>
      </w:rPr>
    </w:lvl>
    <w:lvl w:ilvl="6" w:tentative="1" w:tplc="04190001">
      <w:start w:val="1"/>
      <w:numFmt w:val="bullet"/>
      <w:lvlText w:val=""/>
      <w:lvlJc w:val="left"/>
      <w:pPr>
        <w:ind w:hanging="360" w:left="5389"/>
      </w:pPr>
      <w:rPr>
        <w:rFonts w:ascii="Symbol" w:hAnsi="Symbol" w:hint="default"/>
      </w:rPr>
    </w:lvl>
    <w:lvl w:ilvl="7" w:tentative="1" w:tplc="04190003">
      <w:start w:val="1"/>
      <w:numFmt w:val="bullet"/>
      <w:lvlText w:val="o"/>
      <w:lvlJc w:val="left"/>
      <w:pPr>
        <w:ind w:hanging="360" w:left="6109"/>
      </w:pPr>
      <w:rPr>
        <w:rFonts w:ascii="Courier New" w:cs="Courier New" w:hAnsi="Courier New" w:hint="default"/>
      </w:rPr>
    </w:lvl>
    <w:lvl w:ilvl="8" w:tentative="1" w:tplc="04190005">
      <w:start w:val="1"/>
      <w:numFmt w:val="bullet"/>
      <w:lvlText w:val=""/>
      <w:lvlJc w:val="left"/>
      <w:pPr>
        <w:ind w:hanging="360" w:left="6829"/>
      </w:pPr>
      <w:rPr>
        <w:rFonts w:ascii="Wingdings" w:hAnsi="Wingdings" w:hint="default"/>
      </w:rPr>
    </w:lvl>
  </w:abstractNum>
  <w:abstractNum w15:restartNumberingAfterBreak="0" w:abstractNumId="7">
    <w:nsid w:val="201613E6"/>
    <w:multiLevelType w:val="hybridMultilevel"/>
    <w:tmpl w:val="F9F4B4EE"/>
    <w:lvl w:ilvl="0" w:tplc="564E7A40">
      <w:start w:val="1"/>
      <w:numFmt w:val="decimal"/>
      <w:lvlText w:val="%1."/>
      <w:lvlJc w:val="left"/>
      <w:pPr>
        <w:tabs>
          <w:tab w:pos="567" w:val="num"/>
        </w:tabs>
        <w:ind w:hanging="567" w:left="567"/>
      </w:pPr>
      <w:rPr>
        <w:rFonts w:ascii="Times New Roman" w:hAnsi="Times New Roman" w:hint="default"/>
        <w:b w:val="0"/>
        <w:i w:val="0"/>
        <w:sz w:val="20"/>
        <w:szCs w:val="20"/>
      </w:rPr>
    </w:lvl>
    <w:lvl w:ilvl="1" w:tentative="1" w:tplc="04180019">
      <w:start w:val="1"/>
      <w:numFmt w:val="lowerLetter"/>
      <w:lvlText w:val="%2."/>
      <w:lvlJc w:val="left"/>
      <w:pPr>
        <w:tabs>
          <w:tab w:pos="1080" w:val="num"/>
        </w:tabs>
        <w:ind w:hanging="360" w:left="1080"/>
      </w:pPr>
    </w:lvl>
    <w:lvl w:ilvl="2" w:tentative="1" w:tplc="0418001B">
      <w:start w:val="1"/>
      <w:numFmt w:val="lowerRoman"/>
      <w:lvlText w:val="%3."/>
      <w:lvlJc w:val="right"/>
      <w:pPr>
        <w:tabs>
          <w:tab w:pos="1800" w:val="num"/>
        </w:tabs>
        <w:ind w:hanging="180" w:left="1800"/>
      </w:pPr>
    </w:lvl>
    <w:lvl w:ilvl="3" w:tentative="1" w:tplc="0418000F">
      <w:start w:val="1"/>
      <w:numFmt w:val="decimal"/>
      <w:lvlText w:val="%4."/>
      <w:lvlJc w:val="left"/>
      <w:pPr>
        <w:tabs>
          <w:tab w:pos="2520" w:val="num"/>
        </w:tabs>
        <w:ind w:hanging="360" w:left="2520"/>
      </w:pPr>
    </w:lvl>
    <w:lvl w:ilvl="4" w:tentative="1" w:tplc="04180019">
      <w:start w:val="1"/>
      <w:numFmt w:val="lowerLetter"/>
      <w:lvlText w:val="%5."/>
      <w:lvlJc w:val="left"/>
      <w:pPr>
        <w:tabs>
          <w:tab w:pos="3240" w:val="num"/>
        </w:tabs>
        <w:ind w:hanging="360" w:left="3240"/>
      </w:pPr>
    </w:lvl>
    <w:lvl w:ilvl="5" w:tentative="1" w:tplc="0418001B">
      <w:start w:val="1"/>
      <w:numFmt w:val="lowerRoman"/>
      <w:lvlText w:val="%6."/>
      <w:lvlJc w:val="right"/>
      <w:pPr>
        <w:tabs>
          <w:tab w:pos="3960" w:val="num"/>
        </w:tabs>
        <w:ind w:hanging="180" w:left="3960"/>
      </w:pPr>
    </w:lvl>
    <w:lvl w:ilvl="6" w:tentative="1" w:tplc="0418000F">
      <w:start w:val="1"/>
      <w:numFmt w:val="decimal"/>
      <w:lvlText w:val="%7."/>
      <w:lvlJc w:val="left"/>
      <w:pPr>
        <w:tabs>
          <w:tab w:pos="4680" w:val="num"/>
        </w:tabs>
        <w:ind w:hanging="360" w:left="4680"/>
      </w:pPr>
    </w:lvl>
    <w:lvl w:ilvl="7" w:tentative="1" w:tplc="04180019">
      <w:start w:val="1"/>
      <w:numFmt w:val="lowerLetter"/>
      <w:lvlText w:val="%8."/>
      <w:lvlJc w:val="left"/>
      <w:pPr>
        <w:tabs>
          <w:tab w:pos="5400" w:val="num"/>
        </w:tabs>
        <w:ind w:hanging="360" w:left="5400"/>
      </w:pPr>
    </w:lvl>
    <w:lvl w:ilvl="8" w:tentative="1" w:tplc="0418001B">
      <w:start w:val="1"/>
      <w:numFmt w:val="lowerRoman"/>
      <w:lvlText w:val="%9."/>
      <w:lvlJc w:val="right"/>
      <w:pPr>
        <w:tabs>
          <w:tab w:pos="6120" w:val="num"/>
        </w:tabs>
        <w:ind w:hanging="180" w:left="6120"/>
      </w:pPr>
    </w:lvl>
  </w:abstractNum>
  <w:abstractNum w15:restartNumberingAfterBreak="0" w:abstractNumId="8">
    <w:nsid w:val="207D1A65"/>
    <w:multiLevelType w:val="hybridMultilevel"/>
    <w:tmpl w:val="E2DE1F90"/>
    <w:lvl w:ilvl="0" w:tplc="564E7A40">
      <w:start w:val="1"/>
      <w:numFmt w:val="decimal"/>
      <w:lvlText w:val="%1."/>
      <w:lvlJc w:val="left"/>
      <w:pPr>
        <w:tabs>
          <w:tab w:pos="567" w:val="num"/>
        </w:tabs>
        <w:ind w:hanging="567" w:left="567"/>
      </w:pPr>
      <w:rPr>
        <w:rFonts w:ascii="Times New Roman" w:hAnsi="Times New Roman" w:hint="default"/>
        <w:b w:val="0"/>
        <w:i w:val="0"/>
        <w:sz w:val="20"/>
        <w:szCs w:val="20"/>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9">
    <w:nsid w:val="2119638E"/>
    <w:multiLevelType w:val="hybridMultilevel"/>
    <w:tmpl w:val="827A0240"/>
    <w:lvl w:ilvl="0" w:tplc="C58645D4">
      <w:start w:val="1"/>
      <w:numFmt w:val="decimal"/>
      <w:lvlText w:val="[%1]"/>
      <w:lvlJc w:val="left"/>
      <w:pPr>
        <w:ind w:hanging="360" w:left="720"/>
      </w:pPr>
      <w:rPr>
        <w:rFonts w:hint="default"/>
      </w:rPr>
    </w:lvl>
    <w:lvl w:ilvl="1" w:tentative="1" w:tplc="04190019">
      <w:start w:val="1"/>
      <w:numFmt w:val="lowerLetter"/>
      <w:lvlText w:val="%2."/>
      <w:lvlJc w:val="left"/>
      <w:pPr>
        <w:ind w:hanging="360" w:left="1440"/>
      </w:pPr>
    </w:lvl>
    <w:lvl w:ilvl="2" w:tentative="1" w:tplc="0419001B">
      <w:start w:val="1"/>
      <w:numFmt w:val="lowerRoman"/>
      <w:lvlText w:val="%3."/>
      <w:lvlJc w:val="right"/>
      <w:pPr>
        <w:ind w:hanging="180" w:left="2160"/>
      </w:pPr>
    </w:lvl>
    <w:lvl w:ilvl="3" w:tentative="1" w:tplc="0419000F">
      <w:start w:val="1"/>
      <w:numFmt w:val="decimal"/>
      <w:lvlText w:val="%4."/>
      <w:lvlJc w:val="left"/>
      <w:pPr>
        <w:ind w:hanging="360" w:left="2880"/>
      </w:pPr>
    </w:lvl>
    <w:lvl w:ilvl="4" w:tentative="1" w:tplc="04190019">
      <w:start w:val="1"/>
      <w:numFmt w:val="lowerLetter"/>
      <w:lvlText w:val="%5."/>
      <w:lvlJc w:val="left"/>
      <w:pPr>
        <w:ind w:hanging="360" w:left="3600"/>
      </w:pPr>
    </w:lvl>
    <w:lvl w:ilvl="5" w:tentative="1" w:tplc="0419001B">
      <w:start w:val="1"/>
      <w:numFmt w:val="lowerRoman"/>
      <w:lvlText w:val="%6."/>
      <w:lvlJc w:val="right"/>
      <w:pPr>
        <w:ind w:hanging="180" w:left="4320"/>
      </w:pPr>
    </w:lvl>
    <w:lvl w:ilvl="6" w:tentative="1" w:tplc="0419000F">
      <w:start w:val="1"/>
      <w:numFmt w:val="decimal"/>
      <w:lvlText w:val="%7."/>
      <w:lvlJc w:val="left"/>
      <w:pPr>
        <w:ind w:hanging="360" w:left="5040"/>
      </w:pPr>
    </w:lvl>
    <w:lvl w:ilvl="7" w:tentative="1" w:tplc="04190019">
      <w:start w:val="1"/>
      <w:numFmt w:val="lowerLetter"/>
      <w:lvlText w:val="%8."/>
      <w:lvlJc w:val="left"/>
      <w:pPr>
        <w:ind w:hanging="360" w:left="5760"/>
      </w:pPr>
    </w:lvl>
    <w:lvl w:ilvl="8" w:tentative="1" w:tplc="0419001B">
      <w:start w:val="1"/>
      <w:numFmt w:val="lowerRoman"/>
      <w:lvlText w:val="%9."/>
      <w:lvlJc w:val="right"/>
      <w:pPr>
        <w:ind w:hanging="180" w:left="6480"/>
      </w:pPr>
    </w:lvl>
  </w:abstractNum>
  <w:abstractNum w15:restartNumberingAfterBreak="0" w:abstractNumId="10">
    <w:nsid w:val="25EF01B7"/>
    <w:multiLevelType w:val="hybridMultilevel"/>
    <w:tmpl w:val="7D70BFCA"/>
    <w:lvl w:ilvl="0" w:tplc="0409000F">
      <w:start w:val="1"/>
      <w:numFmt w:val="decimal"/>
      <w:lvlText w:val="%1."/>
      <w:lvlJc w:val="left"/>
      <w:pPr>
        <w:tabs>
          <w:tab w:pos="720" w:val="num"/>
        </w:tabs>
        <w:ind w:hanging="360" w:left="72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11">
    <w:nsid w:val="381B34F4"/>
    <w:multiLevelType w:val="hybridMultilevel"/>
    <w:tmpl w:val="6E90F3AC"/>
    <w:lvl w:ilvl="0" w:tplc="04090001">
      <w:start w:val="1"/>
      <w:numFmt w:val="bullet"/>
      <w:lvlText w:val=""/>
      <w:lvlJc w:val="left"/>
      <w:pPr>
        <w:tabs>
          <w:tab w:pos="567" w:val="num"/>
        </w:tabs>
        <w:ind w:hanging="567" w:left="567"/>
      </w:pPr>
      <w:rPr>
        <w:rFonts w:ascii="Symbol" w:hAnsi="Symbol" w:hint="default"/>
        <w:b w:val="0"/>
        <w:i w:val="0"/>
        <w:sz w:val="20"/>
        <w:szCs w:val="20"/>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2">
    <w:nsid w:val="38345B31"/>
    <w:multiLevelType w:val="hybridMultilevel"/>
    <w:tmpl w:val="FACAB3F6"/>
    <w:lvl w:ilvl="0" w:tplc="C04E1B76">
      <w:numFmt w:val="bullet"/>
      <w:lvlText w:val="-"/>
      <w:lvlJc w:val="left"/>
      <w:pPr>
        <w:ind w:hanging="360" w:left="1068"/>
      </w:pPr>
      <w:rPr>
        <w:rFonts w:ascii="Times New Roman" w:cs="Times New Roman" w:eastAsia="Calibri" w:hAnsi="Times New Roman" w:hint="default"/>
      </w:rPr>
    </w:lvl>
    <w:lvl w:ilvl="1" w:tentative="1" w:tplc="04090003">
      <w:start w:val="1"/>
      <w:numFmt w:val="bullet"/>
      <w:lvlText w:val="o"/>
      <w:lvlJc w:val="left"/>
      <w:pPr>
        <w:ind w:hanging="360" w:left="1788"/>
      </w:pPr>
      <w:rPr>
        <w:rFonts w:ascii="Courier New" w:cs="Courier New" w:hAnsi="Courier New" w:hint="default"/>
      </w:rPr>
    </w:lvl>
    <w:lvl w:ilvl="2" w:tentative="1" w:tplc="04090005">
      <w:start w:val="1"/>
      <w:numFmt w:val="bullet"/>
      <w:lvlText w:val=""/>
      <w:lvlJc w:val="left"/>
      <w:pPr>
        <w:ind w:hanging="360" w:left="2508"/>
      </w:pPr>
      <w:rPr>
        <w:rFonts w:ascii="Wingdings" w:hAnsi="Wingdings" w:hint="default"/>
      </w:rPr>
    </w:lvl>
    <w:lvl w:ilvl="3" w:tentative="1" w:tplc="04090001">
      <w:start w:val="1"/>
      <w:numFmt w:val="bullet"/>
      <w:lvlText w:val=""/>
      <w:lvlJc w:val="left"/>
      <w:pPr>
        <w:ind w:hanging="360" w:left="3228"/>
      </w:pPr>
      <w:rPr>
        <w:rFonts w:ascii="Symbol" w:hAnsi="Symbol" w:hint="default"/>
      </w:rPr>
    </w:lvl>
    <w:lvl w:ilvl="4" w:tentative="1" w:tplc="04090003">
      <w:start w:val="1"/>
      <w:numFmt w:val="bullet"/>
      <w:lvlText w:val="o"/>
      <w:lvlJc w:val="left"/>
      <w:pPr>
        <w:ind w:hanging="360" w:left="3948"/>
      </w:pPr>
      <w:rPr>
        <w:rFonts w:ascii="Courier New" w:cs="Courier New" w:hAnsi="Courier New" w:hint="default"/>
      </w:rPr>
    </w:lvl>
    <w:lvl w:ilvl="5" w:tentative="1" w:tplc="04090005">
      <w:start w:val="1"/>
      <w:numFmt w:val="bullet"/>
      <w:lvlText w:val=""/>
      <w:lvlJc w:val="left"/>
      <w:pPr>
        <w:ind w:hanging="360" w:left="4668"/>
      </w:pPr>
      <w:rPr>
        <w:rFonts w:ascii="Wingdings" w:hAnsi="Wingdings" w:hint="default"/>
      </w:rPr>
    </w:lvl>
    <w:lvl w:ilvl="6" w:tentative="1" w:tplc="04090001">
      <w:start w:val="1"/>
      <w:numFmt w:val="bullet"/>
      <w:lvlText w:val=""/>
      <w:lvlJc w:val="left"/>
      <w:pPr>
        <w:ind w:hanging="360" w:left="5388"/>
      </w:pPr>
      <w:rPr>
        <w:rFonts w:ascii="Symbol" w:hAnsi="Symbol" w:hint="default"/>
      </w:rPr>
    </w:lvl>
    <w:lvl w:ilvl="7" w:tentative="1" w:tplc="04090003">
      <w:start w:val="1"/>
      <w:numFmt w:val="bullet"/>
      <w:lvlText w:val="o"/>
      <w:lvlJc w:val="left"/>
      <w:pPr>
        <w:ind w:hanging="360" w:left="6108"/>
      </w:pPr>
      <w:rPr>
        <w:rFonts w:ascii="Courier New" w:cs="Courier New" w:hAnsi="Courier New" w:hint="default"/>
      </w:rPr>
    </w:lvl>
    <w:lvl w:ilvl="8" w:tentative="1" w:tplc="04090005">
      <w:start w:val="1"/>
      <w:numFmt w:val="bullet"/>
      <w:lvlText w:val=""/>
      <w:lvlJc w:val="left"/>
      <w:pPr>
        <w:ind w:hanging="360" w:left="6828"/>
      </w:pPr>
      <w:rPr>
        <w:rFonts w:ascii="Wingdings" w:hAnsi="Wingdings" w:hint="default"/>
      </w:rPr>
    </w:lvl>
  </w:abstractNum>
  <w:abstractNum w15:restartNumberingAfterBreak="0" w:abstractNumId="13">
    <w:nsid w:val="3A2A0BCD"/>
    <w:multiLevelType w:val="hybridMultilevel"/>
    <w:tmpl w:val="C9928A8C"/>
    <w:lvl w:ilvl="0" w:tplc="564E7A40">
      <w:start w:val="1"/>
      <w:numFmt w:val="decimal"/>
      <w:lvlText w:val="%1."/>
      <w:lvlJc w:val="left"/>
      <w:pPr>
        <w:tabs>
          <w:tab w:pos="567" w:val="num"/>
        </w:tabs>
        <w:ind w:hanging="567" w:left="567"/>
      </w:pPr>
      <w:rPr>
        <w:rFonts w:ascii="Times New Roman" w:hAnsi="Times New Roman" w:hint="default"/>
        <w:b w:val="0"/>
        <w:i w:val="0"/>
        <w:sz w:val="20"/>
        <w:szCs w:val="20"/>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3FC534E2"/>
    <w:multiLevelType w:val="hybridMultilevel"/>
    <w:tmpl w:val="BBB6D272"/>
    <w:lvl w:ilvl="0" w:tplc="EAF67490">
      <w:start w:val="1"/>
      <w:numFmt w:val="decimal"/>
      <w:lvlText w:val="%1."/>
      <w:lvlJc w:val="left"/>
      <w:pPr>
        <w:tabs>
          <w:tab w:pos="567" w:val="num"/>
        </w:tabs>
        <w:ind w:hanging="567" w:left="567"/>
      </w:pPr>
      <w:rPr>
        <w:rFonts w:ascii="Times New Roman" w:hAnsi="Times New Roman" w:hint="default"/>
        <w:b w:val="0"/>
        <w:i w:val="0"/>
        <w:color w:themeColor="text1" w:val="000000"/>
        <w:sz w:val="24"/>
        <w:szCs w:val="20"/>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5">
    <w:nsid w:val="4449592C"/>
    <w:multiLevelType w:val="hybridMultilevel"/>
    <w:tmpl w:val="81062B0A"/>
    <w:lvl w:ilvl="0" w:tplc="564E7A40">
      <w:start w:val="1"/>
      <w:numFmt w:val="decimal"/>
      <w:lvlText w:val="%1."/>
      <w:lvlJc w:val="left"/>
      <w:pPr>
        <w:tabs>
          <w:tab w:pos="567" w:val="num"/>
        </w:tabs>
        <w:ind w:hanging="567" w:left="567"/>
      </w:pPr>
      <w:rPr>
        <w:rFonts w:ascii="Times New Roman" w:hAnsi="Times New Roman" w:hint="default"/>
        <w:b w:val="0"/>
        <w:i w:val="0"/>
        <w:sz w:val="20"/>
        <w:szCs w:val="20"/>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6">
    <w:nsid w:val="47164A8F"/>
    <w:multiLevelType w:val="hybridMultilevel"/>
    <w:tmpl w:val="08DC329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7">
    <w:nsid w:val="48D3126D"/>
    <w:multiLevelType w:val="hybridMultilevel"/>
    <w:tmpl w:val="70C82AD8"/>
    <w:lvl w:ilvl="0" w:tplc="0D689D50">
      <w:start w:val="1"/>
      <w:numFmt w:val="bullet"/>
      <w:lvlText w:val=""/>
      <w:lvlJc w:val="left"/>
      <w:pPr>
        <w:ind w:hanging="360" w:left="374"/>
      </w:pPr>
      <w:rPr>
        <w:rFonts w:ascii="Symbol" w:cs="Times New Roman" w:eastAsia="Times New Roman" w:hAnsi="Symbol" w:hint="default"/>
        <w:color w:val="000000"/>
      </w:rPr>
    </w:lvl>
    <w:lvl w:ilvl="1" w:tentative="1" w:tplc="04090003">
      <w:start w:val="1"/>
      <w:numFmt w:val="bullet"/>
      <w:lvlText w:val="o"/>
      <w:lvlJc w:val="left"/>
      <w:pPr>
        <w:ind w:hanging="360" w:left="1094"/>
      </w:pPr>
      <w:rPr>
        <w:rFonts w:ascii="Courier New" w:cs="Courier New" w:hAnsi="Courier New" w:hint="default"/>
      </w:rPr>
    </w:lvl>
    <w:lvl w:ilvl="2" w:tentative="1" w:tplc="04090005">
      <w:start w:val="1"/>
      <w:numFmt w:val="bullet"/>
      <w:lvlText w:val=""/>
      <w:lvlJc w:val="left"/>
      <w:pPr>
        <w:ind w:hanging="360" w:left="1814"/>
      </w:pPr>
      <w:rPr>
        <w:rFonts w:ascii="Wingdings" w:hAnsi="Wingdings" w:hint="default"/>
      </w:rPr>
    </w:lvl>
    <w:lvl w:ilvl="3" w:tentative="1" w:tplc="04090001">
      <w:start w:val="1"/>
      <w:numFmt w:val="bullet"/>
      <w:lvlText w:val=""/>
      <w:lvlJc w:val="left"/>
      <w:pPr>
        <w:ind w:hanging="360" w:left="2534"/>
      </w:pPr>
      <w:rPr>
        <w:rFonts w:ascii="Symbol" w:hAnsi="Symbol" w:hint="default"/>
      </w:rPr>
    </w:lvl>
    <w:lvl w:ilvl="4" w:tentative="1" w:tplc="04090003">
      <w:start w:val="1"/>
      <w:numFmt w:val="bullet"/>
      <w:lvlText w:val="o"/>
      <w:lvlJc w:val="left"/>
      <w:pPr>
        <w:ind w:hanging="360" w:left="3254"/>
      </w:pPr>
      <w:rPr>
        <w:rFonts w:ascii="Courier New" w:cs="Courier New" w:hAnsi="Courier New" w:hint="default"/>
      </w:rPr>
    </w:lvl>
    <w:lvl w:ilvl="5" w:tentative="1" w:tplc="04090005">
      <w:start w:val="1"/>
      <w:numFmt w:val="bullet"/>
      <w:lvlText w:val=""/>
      <w:lvlJc w:val="left"/>
      <w:pPr>
        <w:ind w:hanging="360" w:left="3974"/>
      </w:pPr>
      <w:rPr>
        <w:rFonts w:ascii="Wingdings" w:hAnsi="Wingdings" w:hint="default"/>
      </w:rPr>
    </w:lvl>
    <w:lvl w:ilvl="6" w:tentative="1" w:tplc="04090001">
      <w:start w:val="1"/>
      <w:numFmt w:val="bullet"/>
      <w:lvlText w:val=""/>
      <w:lvlJc w:val="left"/>
      <w:pPr>
        <w:ind w:hanging="360" w:left="4694"/>
      </w:pPr>
      <w:rPr>
        <w:rFonts w:ascii="Symbol" w:hAnsi="Symbol" w:hint="default"/>
      </w:rPr>
    </w:lvl>
    <w:lvl w:ilvl="7" w:tentative="1" w:tplc="04090003">
      <w:start w:val="1"/>
      <w:numFmt w:val="bullet"/>
      <w:lvlText w:val="o"/>
      <w:lvlJc w:val="left"/>
      <w:pPr>
        <w:ind w:hanging="360" w:left="5414"/>
      </w:pPr>
      <w:rPr>
        <w:rFonts w:ascii="Courier New" w:cs="Courier New" w:hAnsi="Courier New" w:hint="default"/>
      </w:rPr>
    </w:lvl>
    <w:lvl w:ilvl="8" w:tentative="1" w:tplc="04090005">
      <w:start w:val="1"/>
      <w:numFmt w:val="bullet"/>
      <w:lvlText w:val=""/>
      <w:lvlJc w:val="left"/>
      <w:pPr>
        <w:ind w:hanging="360" w:left="6134"/>
      </w:pPr>
      <w:rPr>
        <w:rFonts w:ascii="Wingdings" w:hAnsi="Wingdings" w:hint="default"/>
      </w:rPr>
    </w:lvl>
  </w:abstractNum>
  <w:abstractNum w15:restartNumberingAfterBreak="0" w:abstractNumId="18">
    <w:nsid w:val="4F5A63FC"/>
    <w:multiLevelType w:val="hybridMultilevel"/>
    <w:tmpl w:val="33A24810"/>
    <w:lvl w:ilvl="0" w:tplc="0419000F">
      <w:start w:val="1"/>
      <w:numFmt w:val="decimal"/>
      <w:lvlText w:val="%1."/>
      <w:lvlJc w:val="left"/>
      <w:pPr>
        <w:ind w:hanging="360" w:left="720"/>
      </w:pPr>
    </w:lvl>
    <w:lvl w:ilvl="1" w:tentative="1" w:tplc="04190019">
      <w:start w:val="1"/>
      <w:numFmt w:val="lowerLetter"/>
      <w:lvlText w:val="%2."/>
      <w:lvlJc w:val="left"/>
      <w:pPr>
        <w:ind w:hanging="360" w:left="1440"/>
      </w:pPr>
    </w:lvl>
    <w:lvl w:ilvl="2" w:tentative="1" w:tplc="0419001B">
      <w:start w:val="1"/>
      <w:numFmt w:val="lowerRoman"/>
      <w:lvlText w:val="%3."/>
      <w:lvlJc w:val="right"/>
      <w:pPr>
        <w:ind w:hanging="180" w:left="2160"/>
      </w:pPr>
    </w:lvl>
    <w:lvl w:ilvl="3" w:tentative="1" w:tplc="0419000F">
      <w:start w:val="1"/>
      <w:numFmt w:val="decimal"/>
      <w:lvlText w:val="%4."/>
      <w:lvlJc w:val="left"/>
      <w:pPr>
        <w:ind w:hanging="360" w:left="2880"/>
      </w:pPr>
    </w:lvl>
    <w:lvl w:ilvl="4" w:tentative="1" w:tplc="04190019">
      <w:start w:val="1"/>
      <w:numFmt w:val="lowerLetter"/>
      <w:lvlText w:val="%5."/>
      <w:lvlJc w:val="left"/>
      <w:pPr>
        <w:ind w:hanging="360" w:left="3600"/>
      </w:pPr>
    </w:lvl>
    <w:lvl w:ilvl="5" w:tentative="1" w:tplc="0419001B">
      <w:start w:val="1"/>
      <w:numFmt w:val="lowerRoman"/>
      <w:lvlText w:val="%6."/>
      <w:lvlJc w:val="right"/>
      <w:pPr>
        <w:ind w:hanging="180" w:left="4320"/>
      </w:pPr>
    </w:lvl>
    <w:lvl w:ilvl="6" w:tentative="1" w:tplc="0419000F">
      <w:start w:val="1"/>
      <w:numFmt w:val="decimal"/>
      <w:lvlText w:val="%7."/>
      <w:lvlJc w:val="left"/>
      <w:pPr>
        <w:ind w:hanging="360" w:left="5040"/>
      </w:pPr>
    </w:lvl>
    <w:lvl w:ilvl="7" w:tentative="1" w:tplc="04190019">
      <w:start w:val="1"/>
      <w:numFmt w:val="lowerLetter"/>
      <w:lvlText w:val="%8."/>
      <w:lvlJc w:val="left"/>
      <w:pPr>
        <w:ind w:hanging="360" w:left="5760"/>
      </w:pPr>
    </w:lvl>
    <w:lvl w:ilvl="8" w:tentative="1" w:tplc="0419001B">
      <w:start w:val="1"/>
      <w:numFmt w:val="lowerRoman"/>
      <w:lvlText w:val="%9."/>
      <w:lvlJc w:val="right"/>
      <w:pPr>
        <w:ind w:hanging="180" w:left="6480"/>
      </w:pPr>
    </w:lvl>
  </w:abstractNum>
  <w:abstractNum w15:restartNumberingAfterBreak="0" w:abstractNumId="19">
    <w:nsid w:val="4FE70CE5"/>
    <w:multiLevelType w:val="hybridMultilevel"/>
    <w:tmpl w:val="94E24B3E"/>
    <w:lvl w:ilvl="0" w:tplc="0419000F">
      <w:start w:val="1"/>
      <w:numFmt w:val="decimal"/>
      <w:lvlText w:val="%1."/>
      <w:lvlJc w:val="left"/>
      <w:pPr>
        <w:ind w:hanging="360" w:left="720"/>
      </w:pPr>
      <w:rPr>
        <w:rFonts w:hint="default"/>
      </w:rPr>
    </w:lvl>
    <w:lvl w:ilvl="1" w:tentative="1" w:tplc="04190019">
      <w:start w:val="1"/>
      <w:numFmt w:val="lowerLetter"/>
      <w:lvlText w:val="%2."/>
      <w:lvlJc w:val="left"/>
      <w:pPr>
        <w:ind w:hanging="360" w:left="1440"/>
      </w:pPr>
    </w:lvl>
    <w:lvl w:ilvl="2" w:tentative="1" w:tplc="0419001B">
      <w:start w:val="1"/>
      <w:numFmt w:val="lowerRoman"/>
      <w:lvlText w:val="%3."/>
      <w:lvlJc w:val="right"/>
      <w:pPr>
        <w:ind w:hanging="180" w:left="2160"/>
      </w:pPr>
    </w:lvl>
    <w:lvl w:ilvl="3" w:tentative="1" w:tplc="0419000F">
      <w:start w:val="1"/>
      <w:numFmt w:val="decimal"/>
      <w:lvlText w:val="%4."/>
      <w:lvlJc w:val="left"/>
      <w:pPr>
        <w:ind w:hanging="360" w:left="2880"/>
      </w:pPr>
    </w:lvl>
    <w:lvl w:ilvl="4" w:tentative="1" w:tplc="04190019">
      <w:start w:val="1"/>
      <w:numFmt w:val="lowerLetter"/>
      <w:lvlText w:val="%5."/>
      <w:lvlJc w:val="left"/>
      <w:pPr>
        <w:ind w:hanging="360" w:left="3600"/>
      </w:pPr>
    </w:lvl>
    <w:lvl w:ilvl="5" w:tentative="1" w:tplc="0419001B">
      <w:start w:val="1"/>
      <w:numFmt w:val="lowerRoman"/>
      <w:lvlText w:val="%6."/>
      <w:lvlJc w:val="right"/>
      <w:pPr>
        <w:ind w:hanging="180" w:left="4320"/>
      </w:pPr>
    </w:lvl>
    <w:lvl w:ilvl="6" w:tentative="1" w:tplc="0419000F">
      <w:start w:val="1"/>
      <w:numFmt w:val="decimal"/>
      <w:lvlText w:val="%7."/>
      <w:lvlJc w:val="left"/>
      <w:pPr>
        <w:ind w:hanging="360" w:left="5040"/>
      </w:pPr>
    </w:lvl>
    <w:lvl w:ilvl="7" w:tentative="1" w:tplc="04190019">
      <w:start w:val="1"/>
      <w:numFmt w:val="lowerLetter"/>
      <w:lvlText w:val="%8."/>
      <w:lvlJc w:val="left"/>
      <w:pPr>
        <w:ind w:hanging="360" w:left="5760"/>
      </w:pPr>
    </w:lvl>
    <w:lvl w:ilvl="8" w:tentative="1" w:tplc="0419001B">
      <w:start w:val="1"/>
      <w:numFmt w:val="lowerRoman"/>
      <w:lvlText w:val="%9."/>
      <w:lvlJc w:val="right"/>
      <w:pPr>
        <w:ind w:hanging="180" w:left="6480"/>
      </w:pPr>
    </w:lvl>
  </w:abstractNum>
  <w:abstractNum w15:restartNumberingAfterBreak="0" w:abstractNumId="20">
    <w:nsid w:val="51684DC5"/>
    <w:multiLevelType w:val="hybridMultilevel"/>
    <w:tmpl w:val="A378CC4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52B36D78"/>
    <w:multiLevelType w:val="hybridMultilevel"/>
    <w:tmpl w:val="D6CCF142"/>
    <w:lvl w:ilvl="0" w:tplc="564E7A40">
      <w:start w:val="1"/>
      <w:numFmt w:val="decimal"/>
      <w:lvlText w:val="%1."/>
      <w:lvlJc w:val="left"/>
      <w:pPr>
        <w:tabs>
          <w:tab w:pos="567" w:val="num"/>
        </w:tabs>
        <w:ind w:hanging="567" w:left="567"/>
      </w:pPr>
      <w:rPr>
        <w:rFonts w:ascii="Times New Roman" w:hAnsi="Times New Roman" w:hint="default"/>
        <w:b w:val="0"/>
        <w:i w:val="0"/>
        <w:sz w:val="20"/>
        <w:szCs w:val="20"/>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592F1E57"/>
    <w:multiLevelType w:val="multilevel"/>
    <w:tmpl w:val="24E4C7A4"/>
    <w:lvl w:ilvl="0">
      <w:start w:val="1"/>
      <w:numFmt w:val="decimal"/>
      <w:lvlText w:val="%1."/>
      <w:lvlJc w:val="left"/>
      <w:pPr>
        <w:ind w:hanging="360" w:left="720"/>
      </w:pPr>
      <w:rPr>
        <w:rFonts w:hint="default"/>
      </w:rPr>
    </w:lvl>
    <w:lvl w:ilvl="1">
      <w:start w:val="1"/>
      <w:numFmt w:val="decimal"/>
      <w:isLgl/>
      <w:lvlText w:val="%1.%2."/>
      <w:lvlJc w:val="left"/>
      <w:pPr>
        <w:ind w:hanging="360" w:left="720"/>
      </w:pPr>
      <w:rPr>
        <w:rFonts w:hint="default"/>
        <w:b/>
        <w:i/>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080" w:left="144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440" w:left="1800"/>
      </w:pPr>
      <w:rPr>
        <w:rFonts w:hint="default"/>
      </w:rPr>
    </w:lvl>
  </w:abstractNum>
  <w:abstractNum w15:restartNumberingAfterBreak="0" w:abstractNumId="23">
    <w:nsid w:val="5DE96EC9"/>
    <w:multiLevelType w:val="hybridMultilevel"/>
    <w:tmpl w:val="6EE8191C"/>
    <w:lvl w:ilvl="0" w:tplc="52B8AF2A">
      <w:start w:val="1"/>
      <w:numFmt w:val="decimal"/>
      <w:lvlText w:val="%1."/>
      <w:lvlJc w:val="left"/>
      <w:pPr>
        <w:ind w:hanging="360" w:left="810"/>
      </w:pPr>
      <w:rPr>
        <w:rFonts w:hint="default"/>
      </w:rPr>
    </w:lvl>
    <w:lvl w:ilvl="1" w:tentative="1" w:tplc="04180019">
      <w:start w:val="1"/>
      <w:numFmt w:val="lowerLetter"/>
      <w:lvlText w:val="%2."/>
      <w:lvlJc w:val="left"/>
      <w:pPr>
        <w:ind w:hanging="360" w:left="1530"/>
      </w:pPr>
    </w:lvl>
    <w:lvl w:ilvl="2" w:tentative="1" w:tplc="0418001B">
      <w:start w:val="1"/>
      <w:numFmt w:val="lowerRoman"/>
      <w:lvlText w:val="%3."/>
      <w:lvlJc w:val="right"/>
      <w:pPr>
        <w:ind w:hanging="180" w:left="2250"/>
      </w:pPr>
    </w:lvl>
    <w:lvl w:ilvl="3" w:tentative="1" w:tplc="0418000F">
      <w:start w:val="1"/>
      <w:numFmt w:val="decimal"/>
      <w:lvlText w:val="%4."/>
      <w:lvlJc w:val="left"/>
      <w:pPr>
        <w:ind w:hanging="360" w:left="2970"/>
      </w:pPr>
    </w:lvl>
    <w:lvl w:ilvl="4" w:tentative="1" w:tplc="04180019">
      <w:start w:val="1"/>
      <w:numFmt w:val="lowerLetter"/>
      <w:lvlText w:val="%5."/>
      <w:lvlJc w:val="left"/>
      <w:pPr>
        <w:ind w:hanging="360" w:left="3690"/>
      </w:pPr>
    </w:lvl>
    <w:lvl w:ilvl="5" w:tentative="1" w:tplc="0418001B">
      <w:start w:val="1"/>
      <w:numFmt w:val="lowerRoman"/>
      <w:lvlText w:val="%6."/>
      <w:lvlJc w:val="right"/>
      <w:pPr>
        <w:ind w:hanging="180" w:left="4410"/>
      </w:pPr>
    </w:lvl>
    <w:lvl w:ilvl="6" w:tentative="1" w:tplc="0418000F">
      <w:start w:val="1"/>
      <w:numFmt w:val="decimal"/>
      <w:lvlText w:val="%7."/>
      <w:lvlJc w:val="left"/>
      <w:pPr>
        <w:ind w:hanging="360" w:left="5130"/>
      </w:pPr>
    </w:lvl>
    <w:lvl w:ilvl="7" w:tentative="1" w:tplc="04180019">
      <w:start w:val="1"/>
      <w:numFmt w:val="lowerLetter"/>
      <w:lvlText w:val="%8."/>
      <w:lvlJc w:val="left"/>
      <w:pPr>
        <w:ind w:hanging="360" w:left="5850"/>
      </w:pPr>
    </w:lvl>
    <w:lvl w:ilvl="8" w:tentative="1" w:tplc="0418001B">
      <w:start w:val="1"/>
      <w:numFmt w:val="lowerRoman"/>
      <w:lvlText w:val="%9."/>
      <w:lvlJc w:val="right"/>
      <w:pPr>
        <w:ind w:hanging="180" w:left="6570"/>
      </w:pPr>
    </w:lvl>
  </w:abstractNum>
  <w:abstractNum w15:restartNumberingAfterBreak="0" w:abstractNumId="24">
    <w:nsid w:val="5E1C1414"/>
    <w:multiLevelType w:val="hybridMultilevel"/>
    <w:tmpl w:val="DF8ECB5C"/>
    <w:lvl w:ilvl="0" w:tplc="0419000F">
      <w:start w:val="1"/>
      <w:numFmt w:val="decimal"/>
      <w:lvlText w:val="%1."/>
      <w:lvlJc w:val="left"/>
      <w:pPr>
        <w:ind w:hanging="360" w:left="720"/>
      </w:pPr>
      <w:rPr>
        <w:rFonts w:hint="default"/>
        <w:b w:val="0"/>
        <w:i w:val="0"/>
        <w:sz w:val="20"/>
        <w:szCs w:val="20"/>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5">
    <w:nsid w:val="6FC8291F"/>
    <w:multiLevelType w:val="hybridMultilevel"/>
    <w:tmpl w:val="76C87638"/>
    <w:lvl w:ilvl="0" w:tplc="0419000F">
      <w:start w:val="1"/>
      <w:numFmt w:val="decimal"/>
      <w:lvlText w:val="%1."/>
      <w:lvlJc w:val="left"/>
      <w:pPr>
        <w:ind w:hanging="360" w:left="720"/>
      </w:pPr>
      <w:rPr>
        <w:rFonts w:hint="default"/>
      </w:rPr>
    </w:lvl>
    <w:lvl w:ilvl="1" w:tentative="1" w:tplc="04190019">
      <w:start w:val="1"/>
      <w:numFmt w:val="lowerLetter"/>
      <w:lvlText w:val="%2."/>
      <w:lvlJc w:val="left"/>
      <w:pPr>
        <w:ind w:hanging="360" w:left="1440"/>
      </w:pPr>
    </w:lvl>
    <w:lvl w:ilvl="2" w:tentative="1" w:tplc="0419001B">
      <w:start w:val="1"/>
      <w:numFmt w:val="lowerRoman"/>
      <w:lvlText w:val="%3."/>
      <w:lvlJc w:val="right"/>
      <w:pPr>
        <w:ind w:hanging="180" w:left="2160"/>
      </w:pPr>
    </w:lvl>
    <w:lvl w:ilvl="3" w:tentative="1" w:tplc="0419000F">
      <w:start w:val="1"/>
      <w:numFmt w:val="decimal"/>
      <w:lvlText w:val="%4."/>
      <w:lvlJc w:val="left"/>
      <w:pPr>
        <w:ind w:hanging="360" w:left="2880"/>
      </w:pPr>
    </w:lvl>
    <w:lvl w:ilvl="4" w:tentative="1" w:tplc="04190019">
      <w:start w:val="1"/>
      <w:numFmt w:val="lowerLetter"/>
      <w:lvlText w:val="%5."/>
      <w:lvlJc w:val="left"/>
      <w:pPr>
        <w:ind w:hanging="360" w:left="3600"/>
      </w:pPr>
    </w:lvl>
    <w:lvl w:ilvl="5" w:tentative="1" w:tplc="0419001B">
      <w:start w:val="1"/>
      <w:numFmt w:val="lowerRoman"/>
      <w:lvlText w:val="%6."/>
      <w:lvlJc w:val="right"/>
      <w:pPr>
        <w:ind w:hanging="180" w:left="4320"/>
      </w:pPr>
    </w:lvl>
    <w:lvl w:ilvl="6" w:tentative="1" w:tplc="0419000F">
      <w:start w:val="1"/>
      <w:numFmt w:val="decimal"/>
      <w:lvlText w:val="%7."/>
      <w:lvlJc w:val="left"/>
      <w:pPr>
        <w:ind w:hanging="360" w:left="5040"/>
      </w:pPr>
    </w:lvl>
    <w:lvl w:ilvl="7" w:tentative="1" w:tplc="04190019">
      <w:start w:val="1"/>
      <w:numFmt w:val="lowerLetter"/>
      <w:lvlText w:val="%8."/>
      <w:lvlJc w:val="left"/>
      <w:pPr>
        <w:ind w:hanging="360" w:left="5760"/>
      </w:pPr>
    </w:lvl>
    <w:lvl w:ilvl="8" w:tentative="1" w:tplc="0419001B">
      <w:start w:val="1"/>
      <w:numFmt w:val="lowerRoman"/>
      <w:lvlText w:val="%9."/>
      <w:lvlJc w:val="right"/>
      <w:pPr>
        <w:ind w:hanging="180" w:left="6480"/>
      </w:pPr>
    </w:lvl>
  </w:abstractNum>
  <w:abstractNum w15:restartNumberingAfterBreak="0" w:abstractNumId="26">
    <w:nsid w:val="71E77B65"/>
    <w:multiLevelType w:val="hybridMultilevel"/>
    <w:tmpl w:val="2FC636F4"/>
    <w:lvl w:ilvl="0" w:tplc="0419000F">
      <w:start w:val="1"/>
      <w:numFmt w:val="decimal"/>
      <w:lvlText w:val="%1."/>
      <w:lvlJc w:val="left"/>
      <w:pPr>
        <w:ind w:hanging="360" w:left="1080"/>
      </w:pPr>
    </w:lvl>
    <w:lvl w:ilvl="1" w:tentative="1" w:tplc="04190019">
      <w:start w:val="1"/>
      <w:numFmt w:val="lowerLetter"/>
      <w:lvlText w:val="%2."/>
      <w:lvlJc w:val="left"/>
      <w:pPr>
        <w:ind w:hanging="360" w:left="1800"/>
      </w:pPr>
    </w:lvl>
    <w:lvl w:ilvl="2" w:tentative="1" w:tplc="0419001B">
      <w:start w:val="1"/>
      <w:numFmt w:val="lowerRoman"/>
      <w:lvlText w:val="%3."/>
      <w:lvlJc w:val="right"/>
      <w:pPr>
        <w:ind w:hanging="180" w:left="2520"/>
      </w:pPr>
    </w:lvl>
    <w:lvl w:ilvl="3" w:tentative="1" w:tplc="0419000F">
      <w:start w:val="1"/>
      <w:numFmt w:val="decimal"/>
      <w:lvlText w:val="%4."/>
      <w:lvlJc w:val="left"/>
      <w:pPr>
        <w:ind w:hanging="360" w:left="3240"/>
      </w:pPr>
    </w:lvl>
    <w:lvl w:ilvl="4" w:tentative="1" w:tplc="04190019">
      <w:start w:val="1"/>
      <w:numFmt w:val="lowerLetter"/>
      <w:lvlText w:val="%5."/>
      <w:lvlJc w:val="left"/>
      <w:pPr>
        <w:ind w:hanging="360" w:left="3960"/>
      </w:pPr>
    </w:lvl>
    <w:lvl w:ilvl="5" w:tentative="1" w:tplc="0419001B">
      <w:start w:val="1"/>
      <w:numFmt w:val="lowerRoman"/>
      <w:lvlText w:val="%6."/>
      <w:lvlJc w:val="right"/>
      <w:pPr>
        <w:ind w:hanging="180" w:left="4680"/>
      </w:pPr>
    </w:lvl>
    <w:lvl w:ilvl="6" w:tentative="1" w:tplc="0419000F">
      <w:start w:val="1"/>
      <w:numFmt w:val="decimal"/>
      <w:lvlText w:val="%7."/>
      <w:lvlJc w:val="left"/>
      <w:pPr>
        <w:ind w:hanging="360" w:left="5400"/>
      </w:pPr>
    </w:lvl>
    <w:lvl w:ilvl="7" w:tentative="1" w:tplc="04190019">
      <w:start w:val="1"/>
      <w:numFmt w:val="lowerLetter"/>
      <w:lvlText w:val="%8."/>
      <w:lvlJc w:val="left"/>
      <w:pPr>
        <w:ind w:hanging="360" w:left="6120"/>
      </w:pPr>
    </w:lvl>
    <w:lvl w:ilvl="8" w:tentative="1" w:tplc="0419001B">
      <w:start w:val="1"/>
      <w:numFmt w:val="lowerRoman"/>
      <w:lvlText w:val="%9."/>
      <w:lvlJc w:val="right"/>
      <w:pPr>
        <w:ind w:hanging="180" w:left="6840"/>
      </w:pPr>
    </w:lvl>
  </w:abstractNum>
  <w:abstractNum w15:restartNumberingAfterBreak="0" w:abstractNumId="27">
    <w:nsid w:val="7B733017"/>
    <w:multiLevelType w:val="hybridMultilevel"/>
    <w:tmpl w:val="965EFCD8"/>
    <w:lvl w:ilvl="0" w:tplc="D78E114A">
      <w:start w:val="2"/>
      <w:numFmt w:val="bullet"/>
      <w:lvlText w:val="-"/>
      <w:lvlJc w:val="left"/>
      <w:pPr>
        <w:ind w:hanging="360" w:left="720"/>
      </w:pPr>
      <w:rPr>
        <w:rFonts w:ascii="Times New Roman" w:cs="Times New Roman" w:eastAsia="Calibri" w:hAnsi="Times New Roman" w:hint="default"/>
      </w:rPr>
    </w:lvl>
    <w:lvl w:ilvl="1" w:tentative="1" w:tplc="04190003">
      <w:start w:val="1"/>
      <w:numFmt w:val="bullet"/>
      <w:lvlText w:val="o"/>
      <w:lvlJc w:val="left"/>
      <w:pPr>
        <w:ind w:hanging="360" w:left="1440"/>
      </w:pPr>
      <w:rPr>
        <w:rFonts w:ascii="Courier New" w:cs="Courier New" w:hAnsi="Courier New" w:hint="default"/>
      </w:rPr>
    </w:lvl>
    <w:lvl w:ilvl="2" w:tentative="1" w:tplc="04190005">
      <w:start w:val="1"/>
      <w:numFmt w:val="bullet"/>
      <w:lvlText w:val=""/>
      <w:lvlJc w:val="left"/>
      <w:pPr>
        <w:ind w:hanging="360" w:left="2160"/>
      </w:pPr>
      <w:rPr>
        <w:rFonts w:ascii="Wingdings" w:hAnsi="Wingdings" w:hint="default"/>
      </w:rPr>
    </w:lvl>
    <w:lvl w:ilvl="3" w:tentative="1" w:tplc="04190001">
      <w:start w:val="1"/>
      <w:numFmt w:val="bullet"/>
      <w:lvlText w:val=""/>
      <w:lvlJc w:val="left"/>
      <w:pPr>
        <w:ind w:hanging="360" w:left="2880"/>
      </w:pPr>
      <w:rPr>
        <w:rFonts w:ascii="Symbol" w:hAnsi="Symbol" w:hint="default"/>
      </w:rPr>
    </w:lvl>
    <w:lvl w:ilvl="4" w:tentative="1" w:tplc="04190003">
      <w:start w:val="1"/>
      <w:numFmt w:val="bullet"/>
      <w:lvlText w:val="o"/>
      <w:lvlJc w:val="left"/>
      <w:pPr>
        <w:ind w:hanging="360" w:left="3600"/>
      </w:pPr>
      <w:rPr>
        <w:rFonts w:ascii="Courier New" w:cs="Courier New" w:hAnsi="Courier New" w:hint="default"/>
      </w:rPr>
    </w:lvl>
    <w:lvl w:ilvl="5" w:tentative="1" w:tplc="04190005">
      <w:start w:val="1"/>
      <w:numFmt w:val="bullet"/>
      <w:lvlText w:val=""/>
      <w:lvlJc w:val="left"/>
      <w:pPr>
        <w:ind w:hanging="360" w:left="4320"/>
      </w:pPr>
      <w:rPr>
        <w:rFonts w:ascii="Wingdings" w:hAnsi="Wingdings" w:hint="default"/>
      </w:rPr>
    </w:lvl>
    <w:lvl w:ilvl="6" w:tentative="1" w:tplc="04190001">
      <w:start w:val="1"/>
      <w:numFmt w:val="bullet"/>
      <w:lvlText w:val=""/>
      <w:lvlJc w:val="left"/>
      <w:pPr>
        <w:ind w:hanging="360" w:left="5040"/>
      </w:pPr>
      <w:rPr>
        <w:rFonts w:ascii="Symbol" w:hAnsi="Symbol" w:hint="default"/>
      </w:rPr>
    </w:lvl>
    <w:lvl w:ilvl="7" w:tentative="1" w:tplc="04190003">
      <w:start w:val="1"/>
      <w:numFmt w:val="bullet"/>
      <w:lvlText w:val="o"/>
      <w:lvlJc w:val="left"/>
      <w:pPr>
        <w:ind w:hanging="360" w:left="5760"/>
      </w:pPr>
      <w:rPr>
        <w:rFonts w:ascii="Courier New" w:cs="Courier New" w:hAnsi="Courier New" w:hint="default"/>
      </w:rPr>
    </w:lvl>
    <w:lvl w:ilvl="8" w:tentative="1" w:tplc="041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472062527" w:numId="1">
    <w:abstractNumId w:val="27"/>
  </w:num>
  <w:num w16cid:durableId="1171065733" w:numId="2">
    <w:abstractNumId w:val="19"/>
  </w:num>
  <w:num w16cid:durableId="196553257" w:numId="3">
    <w:abstractNumId w:val="26"/>
  </w:num>
  <w:num w16cid:durableId="1560437585" w:numId="4">
    <w:abstractNumId w:val="22"/>
  </w:num>
  <w:num w16cid:durableId="24714715" w:numId="5">
    <w:abstractNumId w:val="24"/>
  </w:num>
  <w:num w16cid:durableId="1939873028" w:numId="6">
    <w:abstractNumId w:val="5"/>
  </w:num>
  <w:num w16cid:durableId="1445615782" w:numId="7">
    <w:abstractNumId w:val="6"/>
  </w:num>
  <w:num w16cid:durableId="33501264" w:numId="8">
    <w:abstractNumId w:val="2"/>
  </w:num>
  <w:num w16cid:durableId="1890221551" w:numId="9">
    <w:abstractNumId w:val="9"/>
  </w:num>
  <w:num w16cid:durableId="585112486" w:numId="10">
    <w:abstractNumId w:val="18"/>
  </w:num>
  <w:num w16cid:durableId="1137720749" w:numId="11">
    <w:abstractNumId w:val="3"/>
  </w:num>
  <w:num w16cid:durableId="444546425" w:numId="12">
    <w:abstractNumId w:val="1"/>
  </w:num>
  <w:num w16cid:durableId="1649241277" w:numId="13">
    <w:abstractNumId w:val="0"/>
  </w:num>
  <w:num w16cid:durableId="661005256" w:numId="14">
    <w:abstractNumId w:val="25"/>
  </w:num>
  <w:num w16cid:durableId="1552309033" w:numId="15">
    <w:abstractNumId w:val="17"/>
  </w:num>
  <w:num w16cid:durableId="1309826889" w:numId="16">
    <w:abstractNumId w:val="7"/>
  </w:num>
  <w:num w16cid:durableId="561058540" w:numId="17">
    <w:abstractNumId w:val="10"/>
  </w:num>
  <w:num w16cid:durableId="290526600" w:numId="18">
    <w:abstractNumId w:val="21"/>
  </w:num>
  <w:num w16cid:durableId="550969739" w:numId="19">
    <w:abstractNumId w:val="8"/>
  </w:num>
  <w:num w16cid:durableId="1347058087" w:numId="20">
    <w:abstractNumId w:val="23"/>
  </w:num>
  <w:num w16cid:durableId="1344477461" w:numId="21">
    <w:abstractNumId w:val="15"/>
  </w:num>
  <w:num w16cid:durableId="179130560" w:numId="22">
    <w:abstractNumId w:val="13"/>
  </w:num>
  <w:num w16cid:durableId="240722188" w:numId="23">
    <w:abstractNumId w:val="4"/>
  </w:num>
  <w:num w16cid:durableId="2124304145" w:numId="24">
    <w:abstractNumId w:val="11"/>
  </w:num>
  <w:num w16cid:durableId="2325495" w:numId="25">
    <w:abstractNumId w:val="14"/>
  </w:num>
  <w:num w16cid:durableId="957488547" w:numId="26">
    <w:abstractNumId w:val="20"/>
  </w:num>
  <w:num w16cid:durableId="292905788" w:numId="27">
    <w:abstractNumId w:val="16"/>
  </w:num>
  <w:num w16cid:durableId="1758869357" w:numId="28">
    <w:abstractNumId w:val="12"/>
  </w:num>
  <w:num w:numId="1000">
    <w:abstractNumId w:val="9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drawingGridHorizontalSpacing w:val="120"/>
  <w:displayHorizontalDrawingGridEvery w:val="2"/>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1C0"/>
    <w:rsid w:val="00001F69"/>
    <w:rsid w:val="0000206A"/>
    <w:rsid w:val="000033F8"/>
    <w:rsid w:val="00004231"/>
    <w:rsid w:val="000059B1"/>
    <w:rsid w:val="00006943"/>
    <w:rsid w:val="0001044D"/>
    <w:rsid w:val="000125DF"/>
    <w:rsid w:val="00014015"/>
    <w:rsid w:val="00020916"/>
    <w:rsid w:val="000224FC"/>
    <w:rsid w:val="00023302"/>
    <w:rsid w:val="000262E1"/>
    <w:rsid w:val="000268D1"/>
    <w:rsid w:val="00030045"/>
    <w:rsid w:val="00031646"/>
    <w:rsid w:val="00031F25"/>
    <w:rsid w:val="000347FD"/>
    <w:rsid w:val="00034F6A"/>
    <w:rsid w:val="000378F4"/>
    <w:rsid w:val="00040706"/>
    <w:rsid w:val="00040DB4"/>
    <w:rsid w:val="00040F9F"/>
    <w:rsid w:val="0004312F"/>
    <w:rsid w:val="0004395C"/>
    <w:rsid w:val="00045279"/>
    <w:rsid w:val="00046319"/>
    <w:rsid w:val="000464A5"/>
    <w:rsid w:val="0004660E"/>
    <w:rsid w:val="0004707E"/>
    <w:rsid w:val="000512A4"/>
    <w:rsid w:val="000521B6"/>
    <w:rsid w:val="00052C15"/>
    <w:rsid w:val="00052D1F"/>
    <w:rsid w:val="000536C1"/>
    <w:rsid w:val="00054429"/>
    <w:rsid w:val="00054A26"/>
    <w:rsid w:val="000552B9"/>
    <w:rsid w:val="000609CC"/>
    <w:rsid w:val="0006223D"/>
    <w:rsid w:val="00073D2D"/>
    <w:rsid w:val="00074526"/>
    <w:rsid w:val="0007476E"/>
    <w:rsid w:val="00074CBE"/>
    <w:rsid w:val="000772E1"/>
    <w:rsid w:val="00080094"/>
    <w:rsid w:val="000801AE"/>
    <w:rsid w:val="000822C2"/>
    <w:rsid w:val="000832DB"/>
    <w:rsid w:val="000846BD"/>
    <w:rsid w:val="00085192"/>
    <w:rsid w:val="00085259"/>
    <w:rsid w:val="00085AE5"/>
    <w:rsid w:val="00086172"/>
    <w:rsid w:val="000863FE"/>
    <w:rsid w:val="000917FD"/>
    <w:rsid w:val="00092896"/>
    <w:rsid w:val="000934B8"/>
    <w:rsid w:val="00094F95"/>
    <w:rsid w:val="00095FDC"/>
    <w:rsid w:val="000A06CE"/>
    <w:rsid w:val="000A11E5"/>
    <w:rsid w:val="000A2F38"/>
    <w:rsid w:val="000A335E"/>
    <w:rsid w:val="000A67BD"/>
    <w:rsid w:val="000A7036"/>
    <w:rsid w:val="000B0E46"/>
    <w:rsid w:val="000B2827"/>
    <w:rsid w:val="000B3A18"/>
    <w:rsid w:val="000C1371"/>
    <w:rsid w:val="000C1970"/>
    <w:rsid w:val="000C4CD6"/>
    <w:rsid w:val="000C59FC"/>
    <w:rsid w:val="000C5A36"/>
    <w:rsid w:val="000C65D0"/>
    <w:rsid w:val="000D0ECE"/>
    <w:rsid w:val="000D1D2C"/>
    <w:rsid w:val="000D260D"/>
    <w:rsid w:val="000D3943"/>
    <w:rsid w:val="000D6643"/>
    <w:rsid w:val="000D721E"/>
    <w:rsid w:val="000D763E"/>
    <w:rsid w:val="000E3E39"/>
    <w:rsid w:val="000E4A66"/>
    <w:rsid w:val="000E6851"/>
    <w:rsid w:val="000E6A8B"/>
    <w:rsid w:val="000F483B"/>
    <w:rsid w:val="000F48BE"/>
    <w:rsid w:val="000F6D81"/>
    <w:rsid w:val="000F6F37"/>
    <w:rsid w:val="00101123"/>
    <w:rsid w:val="00102437"/>
    <w:rsid w:val="00103FA9"/>
    <w:rsid w:val="00106972"/>
    <w:rsid w:val="00106B98"/>
    <w:rsid w:val="00111A96"/>
    <w:rsid w:val="00112A33"/>
    <w:rsid w:val="001156E5"/>
    <w:rsid w:val="00117181"/>
    <w:rsid w:val="0012052B"/>
    <w:rsid w:val="00124D42"/>
    <w:rsid w:val="001251A0"/>
    <w:rsid w:val="001306D0"/>
    <w:rsid w:val="0013213E"/>
    <w:rsid w:val="00134050"/>
    <w:rsid w:val="00134DF5"/>
    <w:rsid w:val="001363EC"/>
    <w:rsid w:val="001374B1"/>
    <w:rsid w:val="00137CE1"/>
    <w:rsid w:val="0014435D"/>
    <w:rsid w:val="00144644"/>
    <w:rsid w:val="001452BB"/>
    <w:rsid w:val="001463E3"/>
    <w:rsid w:val="00146B37"/>
    <w:rsid w:val="00147FAE"/>
    <w:rsid w:val="001507D7"/>
    <w:rsid w:val="001515FC"/>
    <w:rsid w:val="00153DA1"/>
    <w:rsid w:val="00157F01"/>
    <w:rsid w:val="00157F65"/>
    <w:rsid w:val="001633B3"/>
    <w:rsid w:val="00164CB0"/>
    <w:rsid w:val="001712C9"/>
    <w:rsid w:val="001801B4"/>
    <w:rsid w:val="001805CB"/>
    <w:rsid w:val="001807B5"/>
    <w:rsid w:val="00180A70"/>
    <w:rsid w:val="00181235"/>
    <w:rsid w:val="001820C6"/>
    <w:rsid w:val="001833F1"/>
    <w:rsid w:val="00184847"/>
    <w:rsid w:val="00185634"/>
    <w:rsid w:val="00185DCF"/>
    <w:rsid w:val="00185F13"/>
    <w:rsid w:val="0019172D"/>
    <w:rsid w:val="00192099"/>
    <w:rsid w:val="00192A45"/>
    <w:rsid w:val="00192E0A"/>
    <w:rsid w:val="00194604"/>
    <w:rsid w:val="00194E21"/>
    <w:rsid w:val="00195385"/>
    <w:rsid w:val="001A1CB9"/>
    <w:rsid w:val="001A1D65"/>
    <w:rsid w:val="001A1E2F"/>
    <w:rsid w:val="001A3315"/>
    <w:rsid w:val="001A4461"/>
    <w:rsid w:val="001A5108"/>
    <w:rsid w:val="001A6C9B"/>
    <w:rsid w:val="001A7290"/>
    <w:rsid w:val="001A76FE"/>
    <w:rsid w:val="001A79EB"/>
    <w:rsid w:val="001B255E"/>
    <w:rsid w:val="001B4581"/>
    <w:rsid w:val="001B4D25"/>
    <w:rsid w:val="001B4DA9"/>
    <w:rsid w:val="001B69EA"/>
    <w:rsid w:val="001C01ED"/>
    <w:rsid w:val="001C291B"/>
    <w:rsid w:val="001C33F1"/>
    <w:rsid w:val="001C6516"/>
    <w:rsid w:val="001D0C7D"/>
    <w:rsid w:val="001D3EC2"/>
    <w:rsid w:val="001D49DE"/>
    <w:rsid w:val="001D4B04"/>
    <w:rsid w:val="001D5A20"/>
    <w:rsid w:val="001E28D5"/>
    <w:rsid w:val="001E4FA3"/>
    <w:rsid w:val="001E53F8"/>
    <w:rsid w:val="001E5EA2"/>
    <w:rsid w:val="001E6716"/>
    <w:rsid w:val="001E7418"/>
    <w:rsid w:val="001F4F3D"/>
    <w:rsid w:val="001F59DB"/>
    <w:rsid w:val="001F5F39"/>
    <w:rsid w:val="001F61CC"/>
    <w:rsid w:val="00200510"/>
    <w:rsid w:val="00201E9F"/>
    <w:rsid w:val="0020281E"/>
    <w:rsid w:val="00203422"/>
    <w:rsid w:val="00204B8D"/>
    <w:rsid w:val="00207300"/>
    <w:rsid w:val="002073F4"/>
    <w:rsid w:val="0021025F"/>
    <w:rsid w:val="002104E1"/>
    <w:rsid w:val="00212031"/>
    <w:rsid w:val="0021610A"/>
    <w:rsid w:val="00220695"/>
    <w:rsid w:val="00222B0D"/>
    <w:rsid w:val="00223668"/>
    <w:rsid w:val="00224934"/>
    <w:rsid w:val="00224A41"/>
    <w:rsid w:val="00224D4B"/>
    <w:rsid w:val="00225A5B"/>
    <w:rsid w:val="00225F21"/>
    <w:rsid w:val="00226514"/>
    <w:rsid w:val="00226D8D"/>
    <w:rsid w:val="00227FCD"/>
    <w:rsid w:val="00230D0A"/>
    <w:rsid w:val="00232B34"/>
    <w:rsid w:val="002338AB"/>
    <w:rsid w:val="00235775"/>
    <w:rsid w:val="00237B1C"/>
    <w:rsid w:val="002408FA"/>
    <w:rsid w:val="00242576"/>
    <w:rsid w:val="002458ED"/>
    <w:rsid w:val="00245E9E"/>
    <w:rsid w:val="00250931"/>
    <w:rsid w:val="00250AEE"/>
    <w:rsid w:val="0025334C"/>
    <w:rsid w:val="002540A4"/>
    <w:rsid w:val="00254FF0"/>
    <w:rsid w:val="0025560B"/>
    <w:rsid w:val="002563CE"/>
    <w:rsid w:val="00256931"/>
    <w:rsid w:val="00256ACC"/>
    <w:rsid w:val="00257639"/>
    <w:rsid w:val="00260146"/>
    <w:rsid w:val="00266CA5"/>
    <w:rsid w:val="00266EDB"/>
    <w:rsid w:val="00267C8E"/>
    <w:rsid w:val="00270B7F"/>
    <w:rsid w:val="0027116B"/>
    <w:rsid w:val="0027215F"/>
    <w:rsid w:val="0027670A"/>
    <w:rsid w:val="00277721"/>
    <w:rsid w:val="00277FA8"/>
    <w:rsid w:val="002821B3"/>
    <w:rsid w:val="00287680"/>
    <w:rsid w:val="00287DAF"/>
    <w:rsid w:val="00292501"/>
    <w:rsid w:val="00293F18"/>
    <w:rsid w:val="00296659"/>
    <w:rsid w:val="0029719D"/>
    <w:rsid w:val="002976CB"/>
    <w:rsid w:val="00297E6F"/>
    <w:rsid w:val="002A172C"/>
    <w:rsid w:val="002A47FE"/>
    <w:rsid w:val="002A6E92"/>
    <w:rsid w:val="002A7933"/>
    <w:rsid w:val="002B4B80"/>
    <w:rsid w:val="002B675D"/>
    <w:rsid w:val="002B70B3"/>
    <w:rsid w:val="002B7382"/>
    <w:rsid w:val="002B78F2"/>
    <w:rsid w:val="002C10D2"/>
    <w:rsid w:val="002C19B8"/>
    <w:rsid w:val="002C3D6C"/>
    <w:rsid w:val="002C6BEF"/>
    <w:rsid w:val="002C7D4C"/>
    <w:rsid w:val="002D0054"/>
    <w:rsid w:val="002D0669"/>
    <w:rsid w:val="002D0A4E"/>
    <w:rsid w:val="002D34DB"/>
    <w:rsid w:val="002D4C7B"/>
    <w:rsid w:val="002D79A2"/>
    <w:rsid w:val="002D7DAF"/>
    <w:rsid w:val="002E1502"/>
    <w:rsid w:val="002E2999"/>
    <w:rsid w:val="002E2F58"/>
    <w:rsid w:val="002E51DE"/>
    <w:rsid w:val="002E58D5"/>
    <w:rsid w:val="002E6005"/>
    <w:rsid w:val="002E6160"/>
    <w:rsid w:val="002E6351"/>
    <w:rsid w:val="002E7300"/>
    <w:rsid w:val="002E7F65"/>
    <w:rsid w:val="002F0A1E"/>
    <w:rsid w:val="002F2DE6"/>
    <w:rsid w:val="002F3FBC"/>
    <w:rsid w:val="002F4897"/>
    <w:rsid w:val="002F5A25"/>
    <w:rsid w:val="002F6028"/>
    <w:rsid w:val="002F7FC9"/>
    <w:rsid w:val="0030104F"/>
    <w:rsid w:val="003015DA"/>
    <w:rsid w:val="00301E5D"/>
    <w:rsid w:val="00303871"/>
    <w:rsid w:val="00303892"/>
    <w:rsid w:val="003101BB"/>
    <w:rsid w:val="00310D49"/>
    <w:rsid w:val="0031127B"/>
    <w:rsid w:val="00312D58"/>
    <w:rsid w:val="003136D7"/>
    <w:rsid w:val="00317137"/>
    <w:rsid w:val="00317E4F"/>
    <w:rsid w:val="00320A67"/>
    <w:rsid w:val="00321CB4"/>
    <w:rsid w:val="00322153"/>
    <w:rsid w:val="00322881"/>
    <w:rsid w:val="0032321D"/>
    <w:rsid w:val="00323535"/>
    <w:rsid w:val="003236EA"/>
    <w:rsid w:val="003248F6"/>
    <w:rsid w:val="0032526C"/>
    <w:rsid w:val="00327BAD"/>
    <w:rsid w:val="00330295"/>
    <w:rsid w:val="00330796"/>
    <w:rsid w:val="003505D5"/>
    <w:rsid w:val="00351620"/>
    <w:rsid w:val="00351875"/>
    <w:rsid w:val="003531EB"/>
    <w:rsid w:val="00353401"/>
    <w:rsid w:val="00353B9A"/>
    <w:rsid w:val="00360BAC"/>
    <w:rsid w:val="0036367C"/>
    <w:rsid w:val="003643C7"/>
    <w:rsid w:val="0036592A"/>
    <w:rsid w:val="00365C58"/>
    <w:rsid w:val="0036661A"/>
    <w:rsid w:val="0037087A"/>
    <w:rsid w:val="00371DF5"/>
    <w:rsid w:val="00373D44"/>
    <w:rsid w:val="00373EFC"/>
    <w:rsid w:val="003745CC"/>
    <w:rsid w:val="00380AD5"/>
    <w:rsid w:val="00383AD9"/>
    <w:rsid w:val="00383E88"/>
    <w:rsid w:val="0039084A"/>
    <w:rsid w:val="00390B50"/>
    <w:rsid w:val="003926F0"/>
    <w:rsid w:val="003967A0"/>
    <w:rsid w:val="0039755A"/>
    <w:rsid w:val="003A5415"/>
    <w:rsid w:val="003B0CEE"/>
    <w:rsid w:val="003B1A16"/>
    <w:rsid w:val="003B3B0D"/>
    <w:rsid w:val="003B68C3"/>
    <w:rsid w:val="003C1094"/>
    <w:rsid w:val="003C63F7"/>
    <w:rsid w:val="003C6F0D"/>
    <w:rsid w:val="003C700F"/>
    <w:rsid w:val="003D0682"/>
    <w:rsid w:val="003D0A1A"/>
    <w:rsid w:val="003D17F8"/>
    <w:rsid w:val="003D6B8E"/>
    <w:rsid w:val="003E27D5"/>
    <w:rsid w:val="003E3219"/>
    <w:rsid w:val="003E39F7"/>
    <w:rsid w:val="003E4AAE"/>
    <w:rsid w:val="003E546C"/>
    <w:rsid w:val="003E641F"/>
    <w:rsid w:val="003F2099"/>
    <w:rsid w:val="003F2C43"/>
    <w:rsid w:val="003F464B"/>
    <w:rsid w:val="003F5D30"/>
    <w:rsid w:val="003F70C7"/>
    <w:rsid w:val="003F7420"/>
    <w:rsid w:val="00400050"/>
    <w:rsid w:val="004000FA"/>
    <w:rsid w:val="00400BD3"/>
    <w:rsid w:val="00402D97"/>
    <w:rsid w:val="004062E0"/>
    <w:rsid w:val="0040633C"/>
    <w:rsid w:val="00411244"/>
    <w:rsid w:val="00412509"/>
    <w:rsid w:val="0041280B"/>
    <w:rsid w:val="00412ECE"/>
    <w:rsid w:val="00413A39"/>
    <w:rsid w:val="0041445E"/>
    <w:rsid w:val="0041537F"/>
    <w:rsid w:val="00415E04"/>
    <w:rsid w:val="00417C9B"/>
    <w:rsid w:val="00417FEF"/>
    <w:rsid w:val="00420384"/>
    <w:rsid w:val="004214CE"/>
    <w:rsid w:val="00421620"/>
    <w:rsid w:val="004233D1"/>
    <w:rsid w:val="00423A7D"/>
    <w:rsid w:val="00425984"/>
    <w:rsid w:val="0043251C"/>
    <w:rsid w:val="00433500"/>
    <w:rsid w:val="00433C47"/>
    <w:rsid w:val="00434BAD"/>
    <w:rsid w:val="0043587B"/>
    <w:rsid w:val="00435D62"/>
    <w:rsid w:val="00437754"/>
    <w:rsid w:val="004402AD"/>
    <w:rsid w:val="00440B40"/>
    <w:rsid w:val="00440C09"/>
    <w:rsid w:val="00442F94"/>
    <w:rsid w:val="0044413D"/>
    <w:rsid w:val="0044608E"/>
    <w:rsid w:val="00450648"/>
    <w:rsid w:val="00450BFB"/>
    <w:rsid w:val="00450C44"/>
    <w:rsid w:val="00450F60"/>
    <w:rsid w:val="004527CB"/>
    <w:rsid w:val="00455CBE"/>
    <w:rsid w:val="004579FB"/>
    <w:rsid w:val="00460D09"/>
    <w:rsid w:val="004655E0"/>
    <w:rsid w:val="00465855"/>
    <w:rsid w:val="00466ACA"/>
    <w:rsid w:val="00467E5F"/>
    <w:rsid w:val="00470E13"/>
    <w:rsid w:val="0047188F"/>
    <w:rsid w:val="004747E2"/>
    <w:rsid w:val="0047489A"/>
    <w:rsid w:val="00474AE5"/>
    <w:rsid w:val="00474C21"/>
    <w:rsid w:val="00475250"/>
    <w:rsid w:val="004757BA"/>
    <w:rsid w:val="00475924"/>
    <w:rsid w:val="0047712D"/>
    <w:rsid w:val="0047755D"/>
    <w:rsid w:val="00477BFB"/>
    <w:rsid w:val="00480977"/>
    <w:rsid w:val="00480C50"/>
    <w:rsid w:val="004841D5"/>
    <w:rsid w:val="004851AD"/>
    <w:rsid w:val="0048706A"/>
    <w:rsid w:val="004937AD"/>
    <w:rsid w:val="004942FD"/>
    <w:rsid w:val="004A01F5"/>
    <w:rsid w:val="004A419B"/>
    <w:rsid w:val="004A44A4"/>
    <w:rsid w:val="004A4570"/>
    <w:rsid w:val="004A585E"/>
    <w:rsid w:val="004A7748"/>
    <w:rsid w:val="004B2304"/>
    <w:rsid w:val="004B33B3"/>
    <w:rsid w:val="004B3D0B"/>
    <w:rsid w:val="004B426C"/>
    <w:rsid w:val="004B5404"/>
    <w:rsid w:val="004B7310"/>
    <w:rsid w:val="004B78F3"/>
    <w:rsid w:val="004C0ED6"/>
    <w:rsid w:val="004C2F42"/>
    <w:rsid w:val="004C307D"/>
    <w:rsid w:val="004C3456"/>
    <w:rsid w:val="004C434C"/>
    <w:rsid w:val="004C497A"/>
    <w:rsid w:val="004C562D"/>
    <w:rsid w:val="004C68FA"/>
    <w:rsid w:val="004D134E"/>
    <w:rsid w:val="004D429C"/>
    <w:rsid w:val="004D5045"/>
    <w:rsid w:val="004D52E3"/>
    <w:rsid w:val="004D5AA2"/>
    <w:rsid w:val="004D6011"/>
    <w:rsid w:val="004D716A"/>
    <w:rsid w:val="004E2698"/>
    <w:rsid w:val="004E30A1"/>
    <w:rsid w:val="004E74A2"/>
    <w:rsid w:val="004F1D1A"/>
    <w:rsid w:val="004F21DB"/>
    <w:rsid w:val="004F2B73"/>
    <w:rsid w:val="004F77DA"/>
    <w:rsid w:val="004F78F3"/>
    <w:rsid w:val="00501404"/>
    <w:rsid w:val="00502032"/>
    <w:rsid w:val="00504C58"/>
    <w:rsid w:val="00510B8F"/>
    <w:rsid w:val="0051290F"/>
    <w:rsid w:val="00512B4D"/>
    <w:rsid w:val="005149A2"/>
    <w:rsid w:val="00514E6C"/>
    <w:rsid w:val="005151B2"/>
    <w:rsid w:val="00516161"/>
    <w:rsid w:val="005176C0"/>
    <w:rsid w:val="00517A2F"/>
    <w:rsid w:val="00520055"/>
    <w:rsid w:val="00521A06"/>
    <w:rsid w:val="00522395"/>
    <w:rsid w:val="0052339E"/>
    <w:rsid w:val="00523768"/>
    <w:rsid w:val="00523849"/>
    <w:rsid w:val="00523ABB"/>
    <w:rsid w:val="005252CA"/>
    <w:rsid w:val="00525B68"/>
    <w:rsid w:val="005265E6"/>
    <w:rsid w:val="0053530D"/>
    <w:rsid w:val="0053566C"/>
    <w:rsid w:val="00540251"/>
    <w:rsid w:val="00541E8E"/>
    <w:rsid w:val="005438FD"/>
    <w:rsid w:val="005439F4"/>
    <w:rsid w:val="00543AEF"/>
    <w:rsid w:val="00544DEF"/>
    <w:rsid w:val="005451C1"/>
    <w:rsid w:val="00547C71"/>
    <w:rsid w:val="00547FAF"/>
    <w:rsid w:val="005506B3"/>
    <w:rsid w:val="0055263E"/>
    <w:rsid w:val="005552CB"/>
    <w:rsid w:val="00555D7D"/>
    <w:rsid w:val="00557E3F"/>
    <w:rsid w:val="00560004"/>
    <w:rsid w:val="00560C51"/>
    <w:rsid w:val="00561C12"/>
    <w:rsid w:val="005629AB"/>
    <w:rsid w:val="00562A09"/>
    <w:rsid w:val="00562D35"/>
    <w:rsid w:val="005656B4"/>
    <w:rsid w:val="0057033D"/>
    <w:rsid w:val="0057378D"/>
    <w:rsid w:val="00574470"/>
    <w:rsid w:val="00575863"/>
    <w:rsid w:val="00582127"/>
    <w:rsid w:val="0058265B"/>
    <w:rsid w:val="00583F23"/>
    <w:rsid w:val="005863B5"/>
    <w:rsid w:val="00590555"/>
    <w:rsid w:val="00590B2C"/>
    <w:rsid w:val="00590D2F"/>
    <w:rsid w:val="005921FE"/>
    <w:rsid w:val="00593DE0"/>
    <w:rsid w:val="005947BD"/>
    <w:rsid w:val="00594E7C"/>
    <w:rsid w:val="00594F8A"/>
    <w:rsid w:val="00597D1E"/>
    <w:rsid w:val="005A021B"/>
    <w:rsid w:val="005A09D4"/>
    <w:rsid w:val="005A116A"/>
    <w:rsid w:val="005A1F9C"/>
    <w:rsid w:val="005A2E2A"/>
    <w:rsid w:val="005A3767"/>
    <w:rsid w:val="005A38D3"/>
    <w:rsid w:val="005A78F7"/>
    <w:rsid w:val="005B1080"/>
    <w:rsid w:val="005B21F1"/>
    <w:rsid w:val="005B41AC"/>
    <w:rsid w:val="005B44B8"/>
    <w:rsid w:val="005B5BAA"/>
    <w:rsid w:val="005B6F2B"/>
    <w:rsid w:val="005B7708"/>
    <w:rsid w:val="005C234F"/>
    <w:rsid w:val="005C2645"/>
    <w:rsid w:val="005C2829"/>
    <w:rsid w:val="005C34F7"/>
    <w:rsid w:val="005C6234"/>
    <w:rsid w:val="005C6867"/>
    <w:rsid w:val="005C73F8"/>
    <w:rsid w:val="005D0C67"/>
    <w:rsid w:val="005D180C"/>
    <w:rsid w:val="005D2983"/>
    <w:rsid w:val="005D32B3"/>
    <w:rsid w:val="005D3AE8"/>
    <w:rsid w:val="005D582F"/>
    <w:rsid w:val="005E019D"/>
    <w:rsid w:val="005E0723"/>
    <w:rsid w:val="005E55AF"/>
    <w:rsid w:val="005E6B70"/>
    <w:rsid w:val="005E7B56"/>
    <w:rsid w:val="005F07D2"/>
    <w:rsid w:val="005F3CB2"/>
    <w:rsid w:val="005F554C"/>
    <w:rsid w:val="005F5E61"/>
    <w:rsid w:val="005F6156"/>
    <w:rsid w:val="005F7EED"/>
    <w:rsid w:val="0060083B"/>
    <w:rsid w:val="0060118A"/>
    <w:rsid w:val="006017A6"/>
    <w:rsid w:val="00601BC3"/>
    <w:rsid w:val="00601C08"/>
    <w:rsid w:val="0060369E"/>
    <w:rsid w:val="00603B79"/>
    <w:rsid w:val="0060440F"/>
    <w:rsid w:val="00604613"/>
    <w:rsid w:val="00606C3B"/>
    <w:rsid w:val="00607CAA"/>
    <w:rsid w:val="006116F0"/>
    <w:rsid w:val="00611C44"/>
    <w:rsid w:val="006155E9"/>
    <w:rsid w:val="0061561F"/>
    <w:rsid w:val="00616910"/>
    <w:rsid w:val="00620447"/>
    <w:rsid w:val="00624562"/>
    <w:rsid w:val="00632B77"/>
    <w:rsid w:val="0063792C"/>
    <w:rsid w:val="00637C00"/>
    <w:rsid w:val="00640A14"/>
    <w:rsid w:val="00640F11"/>
    <w:rsid w:val="006422F5"/>
    <w:rsid w:val="006427C3"/>
    <w:rsid w:val="00644919"/>
    <w:rsid w:val="0064558A"/>
    <w:rsid w:val="00647686"/>
    <w:rsid w:val="00650600"/>
    <w:rsid w:val="00651111"/>
    <w:rsid w:val="00651DCD"/>
    <w:rsid w:val="00654651"/>
    <w:rsid w:val="00654C55"/>
    <w:rsid w:val="00655943"/>
    <w:rsid w:val="00655DB9"/>
    <w:rsid w:val="00660E4D"/>
    <w:rsid w:val="00663C03"/>
    <w:rsid w:val="00663E90"/>
    <w:rsid w:val="00665A64"/>
    <w:rsid w:val="00666229"/>
    <w:rsid w:val="00666505"/>
    <w:rsid w:val="00666A15"/>
    <w:rsid w:val="006678DB"/>
    <w:rsid w:val="0067249E"/>
    <w:rsid w:val="0067371E"/>
    <w:rsid w:val="00675061"/>
    <w:rsid w:val="00677520"/>
    <w:rsid w:val="00680B2D"/>
    <w:rsid w:val="0068124F"/>
    <w:rsid w:val="00681AEA"/>
    <w:rsid w:val="006826B2"/>
    <w:rsid w:val="0068455C"/>
    <w:rsid w:val="00684B99"/>
    <w:rsid w:val="006857B6"/>
    <w:rsid w:val="006867FF"/>
    <w:rsid w:val="00686F48"/>
    <w:rsid w:val="00686FB1"/>
    <w:rsid w:val="00686FE2"/>
    <w:rsid w:val="00687EA6"/>
    <w:rsid w:val="00690921"/>
    <w:rsid w:val="006942BA"/>
    <w:rsid w:val="00696E8F"/>
    <w:rsid w:val="006A64CC"/>
    <w:rsid w:val="006A7D34"/>
    <w:rsid w:val="006B0FC7"/>
    <w:rsid w:val="006B3702"/>
    <w:rsid w:val="006B4E6A"/>
    <w:rsid w:val="006B5B05"/>
    <w:rsid w:val="006C2C67"/>
    <w:rsid w:val="006C2ED6"/>
    <w:rsid w:val="006C341F"/>
    <w:rsid w:val="006C5DF9"/>
    <w:rsid w:val="006D010E"/>
    <w:rsid w:val="006D01DA"/>
    <w:rsid w:val="006D089E"/>
    <w:rsid w:val="006D25A7"/>
    <w:rsid w:val="006D6BFA"/>
    <w:rsid w:val="006D6D8F"/>
    <w:rsid w:val="006D6EA3"/>
    <w:rsid w:val="006E0274"/>
    <w:rsid w:val="006E027A"/>
    <w:rsid w:val="006E0305"/>
    <w:rsid w:val="006E0858"/>
    <w:rsid w:val="006E0A39"/>
    <w:rsid w:val="006E1392"/>
    <w:rsid w:val="006E1798"/>
    <w:rsid w:val="006E4E52"/>
    <w:rsid w:val="006E5C42"/>
    <w:rsid w:val="006E6D41"/>
    <w:rsid w:val="006F0D96"/>
    <w:rsid w:val="006F12D6"/>
    <w:rsid w:val="006F198C"/>
    <w:rsid w:val="006F5F9D"/>
    <w:rsid w:val="006F6399"/>
    <w:rsid w:val="007001ED"/>
    <w:rsid w:val="00700659"/>
    <w:rsid w:val="00701166"/>
    <w:rsid w:val="00702DA0"/>
    <w:rsid w:val="00706153"/>
    <w:rsid w:val="007076B0"/>
    <w:rsid w:val="00711667"/>
    <w:rsid w:val="007142E0"/>
    <w:rsid w:val="00714344"/>
    <w:rsid w:val="00715540"/>
    <w:rsid w:val="00716363"/>
    <w:rsid w:val="00717182"/>
    <w:rsid w:val="007221B5"/>
    <w:rsid w:val="00723805"/>
    <w:rsid w:val="00724695"/>
    <w:rsid w:val="007247B9"/>
    <w:rsid w:val="00725A8D"/>
    <w:rsid w:val="007260A4"/>
    <w:rsid w:val="007264B5"/>
    <w:rsid w:val="00730302"/>
    <w:rsid w:val="00731DB5"/>
    <w:rsid w:val="007320E1"/>
    <w:rsid w:val="007335AF"/>
    <w:rsid w:val="00734A66"/>
    <w:rsid w:val="00734FCA"/>
    <w:rsid w:val="007400E8"/>
    <w:rsid w:val="0074018C"/>
    <w:rsid w:val="0074117C"/>
    <w:rsid w:val="00742C22"/>
    <w:rsid w:val="00744518"/>
    <w:rsid w:val="00745CD4"/>
    <w:rsid w:val="007521D3"/>
    <w:rsid w:val="007523B4"/>
    <w:rsid w:val="00752B4D"/>
    <w:rsid w:val="00754356"/>
    <w:rsid w:val="00754F62"/>
    <w:rsid w:val="0076042F"/>
    <w:rsid w:val="007646D4"/>
    <w:rsid w:val="00765611"/>
    <w:rsid w:val="00765AB2"/>
    <w:rsid w:val="007702F8"/>
    <w:rsid w:val="007705D9"/>
    <w:rsid w:val="0077073D"/>
    <w:rsid w:val="0077215F"/>
    <w:rsid w:val="00772273"/>
    <w:rsid w:val="00773317"/>
    <w:rsid w:val="00781756"/>
    <w:rsid w:val="007845DE"/>
    <w:rsid w:val="0078493E"/>
    <w:rsid w:val="00784961"/>
    <w:rsid w:val="00784FD5"/>
    <w:rsid w:val="0078563E"/>
    <w:rsid w:val="00786114"/>
    <w:rsid w:val="00786FD6"/>
    <w:rsid w:val="00790DA2"/>
    <w:rsid w:val="00791143"/>
    <w:rsid w:val="00793C2C"/>
    <w:rsid w:val="007944B9"/>
    <w:rsid w:val="00795150"/>
    <w:rsid w:val="00796F5B"/>
    <w:rsid w:val="007A226D"/>
    <w:rsid w:val="007A240A"/>
    <w:rsid w:val="007A255B"/>
    <w:rsid w:val="007A3069"/>
    <w:rsid w:val="007B1507"/>
    <w:rsid w:val="007B1BAD"/>
    <w:rsid w:val="007B2044"/>
    <w:rsid w:val="007B261B"/>
    <w:rsid w:val="007B4896"/>
    <w:rsid w:val="007B4917"/>
    <w:rsid w:val="007B515A"/>
    <w:rsid w:val="007B52EE"/>
    <w:rsid w:val="007C3DB0"/>
    <w:rsid w:val="007C4AEF"/>
    <w:rsid w:val="007C4C54"/>
    <w:rsid w:val="007C6BCE"/>
    <w:rsid w:val="007C6ED6"/>
    <w:rsid w:val="007D124D"/>
    <w:rsid w:val="007D1700"/>
    <w:rsid w:val="007D7AB6"/>
    <w:rsid w:val="007E4E1B"/>
    <w:rsid w:val="007E6C7C"/>
    <w:rsid w:val="007F19C3"/>
    <w:rsid w:val="007F2812"/>
    <w:rsid w:val="007F2EAC"/>
    <w:rsid w:val="007F4418"/>
    <w:rsid w:val="007F658E"/>
    <w:rsid w:val="007F6DDF"/>
    <w:rsid w:val="007F7A7C"/>
    <w:rsid w:val="007F7D27"/>
    <w:rsid w:val="00800A84"/>
    <w:rsid w:val="00803B82"/>
    <w:rsid w:val="00803EED"/>
    <w:rsid w:val="0080409D"/>
    <w:rsid w:val="00810458"/>
    <w:rsid w:val="008139D9"/>
    <w:rsid w:val="008156F3"/>
    <w:rsid w:val="00817FE5"/>
    <w:rsid w:val="0082166F"/>
    <w:rsid w:val="00823148"/>
    <w:rsid w:val="008233D2"/>
    <w:rsid w:val="008242F1"/>
    <w:rsid w:val="00826374"/>
    <w:rsid w:val="008303E4"/>
    <w:rsid w:val="00830461"/>
    <w:rsid w:val="008308F0"/>
    <w:rsid w:val="008310DB"/>
    <w:rsid w:val="00831847"/>
    <w:rsid w:val="008322F4"/>
    <w:rsid w:val="008349D7"/>
    <w:rsid w:val="0083513C"/>
    <w:rsid w:val="0083641E"/>
    <w:rsid w:val="00837907"/>
    <w:rsid w:val="0084059E"/>
    <w:rsid w:val="0084081A"/>
    <w:rsid w:val="00843A9B"/>
    <w:rsid w:val="00843EBE"/>
    <w:rsid w:val="00852206"/>
    <w:rsid w:val="008528CB"/>
    <w:rsid w:val="008528E6"/>
    <w:rsid w:val="0085316C"/>
    <w:rsid w:val="00853754"/>
    <w:rsid w:val="008554EA"/>
    <w:rsid w:val="008626DF"/>
    <w:rsid w:val="008630C0"/>
    <w:rsid w:val="00863959"/>
    <w:rsid w:val="00865546"/>
    <w:rsid w:val="0087173A"/>
    <w:rsid w:val="00872341"/>
    <w:rsid w:val="00873ED0"/>
    <w:rsid w:val="00874700"/>
    <w:rsid w:val="008750F3"/>
    <w:rsid w:val="00877A5C"/>
    <w:rsid w:val="008811C7"/>
    <w:rsid w:val="0088274E"/>
    <w:rsid w:val="00882D2D"/>
    <w:rsid w:val="008833AD"/>
    <w:rsid w:val="008849D9"/>
    <w:rsid w:val="00884DB1"/>
    <w:rsid w:val="00893928"/>
    <w:rsid w:val="008951D0"/>
    <w:rsid w:val="008971D4"/>
    <w:rsid w:val="0089753A"/>
    <w:rsid w:val="008A038D"/>
    <w:rsid w:val="008A0F89"/>
    <w:rsid w:val="008A0FF2"/>
    <w:rsid w:val="008A2283"/>
    <w:rsid w:val="008A2D94"/>
    <w:rsid w:val="008A692C"/>
    <w:rsid w:val="008B1380"/>
    <w:rsid w:val="008B1A30"/>
    <w:rsid w:val="008B4D45"/>
    <w:rsid w:val="008B691C"/>
    <w:rsid w:val="008C0000"/>
    <w:rsid w:val="008C045E"/>
    <w:rsid w:val="008C0512"/>
    <w:rsid w:val="008C12E0"/>
    <w:rsid w:val="008C1934"/>
    <w:rsid w:val="008C5550"/>
    <w:rsid w:val="008C5CC0"/>
    <w:rsid w:val="008C79A9"/>
    <w:rsid w:val="008D093F"/>
    <w:rsid w:val="008D0B12"/>
    <w:rsid w:val="008D2538"/>
    <w:rsid w:val="008D2B8F"/>
    <w:rsid w:val="008D368C"/>
    <w:rsid w:val="008D3ABF"/>
    <w:rsid w:val="008D5242"/>
    <w:rsid w:val="008D5500"/>
    <w:rsid w:val="008D5ACD"/>
    <w:rsid w:val="008D5BAD"/>
    <w:rsid w:val="008D7A67"/>
    <w:rsid w:val="008D7E1D"/>
    <w:rsid w:val="008E0E1D"/>
    <w:rsid w:val="008E25C5"/>
    <w:rsid w:val="008E2DED"/>
    <w:rsid w:val="008E4BF2"/>
    <w:rsid w:val="008E4C09"/>
    <w:rsid w:val="008E550D"/>
    <w:rsid w:val="008E56E7"/>
    <w:rsid w:val="008E6216"/>
    <w:rsid w:val="008E6771"/>
    <w:rsid w:val="008E7542"/>
    <w:rsid w:val="008E7A12"/>
    <w:rsid w:val="008F2288"/>
    <w:rsid w:val="008F2926"/>
    <w:rsid w:val="008F2C68"/>
    <w:rsid w:val="008F45D8"/>
    <w:rsid w:val="008F55B4"/>
    <w:rsid w:val="008F59F3"/>
    <w:rsid w:val="008F5A1A"/>
    <w:rsid w:val="008F5F4A"/>
    <w:rsid w:val="008F66EF"/>
    <w:rsid w:val="008F6C4B"/>
    <w:rsid w:val="008F7ED2"/>
    <w:rsid w:val="00901A3C"/>
    <w:rsid w:val="0090297D"/>
    <w:rsid w:val="00903720"/>
    <w:rsid w:val="00907EBD"/>
    <w:rsid w:val="00910FB8"/>
    <w:rsid w:val="00912F91"/>
    <w:rsid w:val="00913DF4"/>
    <w:rsid w:val="00917CBF"/>
    <w:rsid w:val="00925427"/>
    <w:rsid w:val="00925BC5"/>
    <w:rsid w:val="00927613"/>
    <w:rsid w:val="00930B5A"/>
    <w:rsid w:val="0093122C"/>
    <w:rsid w:val="00933918"/>
    <w:rsid w:val="00933AE7"/>
    <w:rsid w:val="00934080"/>
    <w:rsid w:val="00935474"/>
    <w:rsid w:val="00937A8F"/>
    <w:rsid w:val="00941A4B"/>
    <w:rsid w:val="00943533"/>
    <w:rsid w:val="0094436D"/>
    <w:rsid w:val="00944E0E"/>
    <w:rsid w:val="00945712"/>
    <w:rsid w:val="00945F36"/>
    <w:rsid w:val="00947048"/>
    <w:rsid w:val="00952F3F"/>
    <w:rsid w:val="00953358"/>
    <w:rsid w:val="0095365A"/>
    <w:rsid w:val="00955587"/>
    <w:rsid w:val="00956210"/>
    <w:rsid w:val="009566E2"/>
    <w:rsid w:val="0096206E"/>
    <w:rsid w:val="0096272D"/>
    <w:rsid w:val="00964CB1"/>
    <w:rsid w:val="00964CBA"/>
    <w:rsid w:val="00966C72"/>
    <w:rsid w:val="00967158"/>
    <w:rsid w:val="0097003B"/>
    <w:rsid w:val="009707A8"/>
    <w:rsid w:val="00971ABC"/>
    <w:rsid w:val="0097219C"/>
    <w:rsid w:val="009727B8"/>
    <w:rsid w:val="00972814"/>
    <w:rsid w:val="0097444E"/>
    <w:rsid w:val="009752CE"/>
    <w:rsid w:val="00975560"/>
    <w:rsid w:val="00981E15"/>
    <w:rsid w:val="00982236"/>
    <w:rsid w:val="009829AC"/>
    <w:rsid w:val="00985B0C"/>
    <w:rsid w:val="00985C34"/>
    <w:rsid w:val="00986D6F"/>
    <w:rsid w:val="0098783F"/>
    <w:rsid w:val="009910BA"/>
    <w:rsid w:val="00995162"/>
    <w:rsid w:val="00995CB1"/>
    <w:rsid w:val="00995D20"/>
    <w:rsid w:val="0099682C"/>
    <w:rsid w:val="009A4BD9"/>
    <w:rsid w:val="009B1D2B"/>
    <w:rsid w:val="009B2A84"/>
    <w:rsid w:val="009B321F"/>
    <w:rsid w:val="009B3742"/>
    <w:rsid w:val="009B644D"/>
    <w:rsid w:val="009C00B2"/>
    <w:rsid w:val="009C0257"/>
    <w:rsid w:val="009C58AD"/>
    <w:rsid w:val="009C6D27"/>
    <w:rsid w:val="009C7E94"/>
    <w:rsid w:val="009D348C"/>
    <w:rsid w:val="009D3718"/>
    <w:rsid w:val="009D3B89"/>
    <w:rsid w:val="009D3C80"/>
    <w:rsid w:val="009D73B9"/>
    <w:rsid w:val="009E0ACB"/>
    <w:rsid w:val="009E262B"/>
    <w:rsid w:val="009E358C"/>
    <w:rsid w:val="009E44EA"/>
    <w:rsid w:val="009E4B86"/>
    <w:rsid w:val="009E67BF"/>
    <w:rsid w:val="009E71AA"/>
    <w:rsid w:val="009F1CBE"/>
    <w:rsid w:val="009F31F1"/>
    <w:rsid w:val="009F38D5"/>
    <w:rsid w:val="009F3EB0"/>
    <w:rsid w:val="009F44CE"/>
    <w:rsid w:val="009F6962"/>
    <w:rsid w:val="009F6E29"/>
    <w:rsid w:val="00A024A9"/>
    <w:rsid w:val="00A02898"/>
    <w:rsid w:val="00A04FC0"/>
    <w:rsid w:val="00A06235"/>
    <w:rsid w:val="00A063E7"/>
    <w:rsid w:val="00A1026B"/>
    <w:rsid w:val="00A15AA0"/>
    <w:rsid w:val="00A15F38"/>
    <w:rsid w:val="00A207A8"/>
    <w:rsid w:val="00A2084B"/>
    <w:rsid w:val="00A211D5"/>
    <w:rsid w:val="00A21D15"/>
    <w:rsid w:val="00A224A3"/>
    <w:rsid w:val="00A235BC"/>
    <w:rsid w:val="00A248DD"/>
    <w:rsid w:val="00A25082"/>
    <w:rsid w:val="00A27DF2"/>
    <w:rsid w:val="00A323AA"/>
    <w:rsid w:val="00A343E1"/>
    <w:rsid w:val="00A344D5"/>
    <w:rsid w:val="00A358A1"/>
    <w:rsid w:val="00A364E1"/>
    <w:rsid w:val="00A3774B"/>
    <w:rsid w:val="00A40762"/>
    <w:rsid w:val="00A41D02"/>
    <w:rsid w:val="00A4268B"/>
    <w:rsid w:val="00A42E6F"/>
    <w:rsid w:val="00A5035F"/>
    <w:rsid w:val="00A510A9"/>
    <w:rsid w:val="00A524FC"/>
    <w:rsid w:val="00A52817"/>
    <w:rsid w:val="00A53116"/>
    <w:rsid w:val="00A534D0"/>
    <w:rsid w:val="00A54C6E"/>
    <w:rsid w:val="00A5541C"/>
    <w:rsid w:val="00A55CBD"/>
    <w:rsid w:val="00A57DEB"/>
    <w:rsid w:val="00A65122"/>
    <w:rsid w:val="00A65283"/>
    <w:rsid w:val="00A71CC8"/>
    <w:rsid w:val="00A75458"/>
    <w:rsid w:val="00A75CA2"/>
    <w:rsid w:val="00A75FC5"/>
    <w:rsid w:val="00A77C81"/>
    <w:rsid w:val="00A8229A"/>
    <w:rsid w:val="00A8294B"/>
    <w:rsid w:val="00A83FDA"/>
    <w:rsid w:val="00A87921"/>
    <w:rsid w:val="00A879CD"/>
    <w:rsid w:val="00A87AC4"/>
    <w:rsid w:val="00A900CD"/>
    <w:rsid w:val="00A90481"/>
    <w:rsid w:val="00A91E1E"/>
    <w:rsid w:val="00A923FD"/>
    <w:rsid w:val="00A926CE"/>
    <w:rsid w:val="00A92BAE"/>
    <w:rsid w:val="00A95200"/>
    <w:rsid w:val="00A955D6"/>
    <w:rsid w:val="00A97B87"/>
    <w:rsid w:val="00AA253C"/>
    <w:rsid w:val="00AA3340"/>
    <w:rsid w:val="00AB0B8E"/>
    <w:rsid w:val="00AB0D56"/>
    <w:rsid w:val="00AB4224"/>
    <w:rsid w:val="00AB6ECA"/>
    <w:rsid w:val="00AC1B92"/>
    <w:rsid w:val="00AC217B"/>
    <w:rsid w:val="00AC4773"/>
    <w:rsid w:val="00AC4E59"/>
    <w:rsid w:val="00AC7DEE"/>
    <w:rsid w:val="00AD3CEC"/>
    <w:rsid w:val="00AD4585"/>
    <w:rsid w:val="00AD68D4"/>
    <w:rsid w:val="00AE0324"/>
    <w:rsid w:val="00AE0C43"/>
    <w:rsid w:val="00AE237C"/>
    <w:rsid w:val="00AE3C68"/>
    <w:rsid w:val="00AE40CE"/>
    <w:rsid w:val="00AE40D2"/>
    <w:rsid w:val="00AE4282"/>
    <w:rsid w:val="00AE6153"/>
    <w:rsid w:val="00AE6646"/>
    <w:rsid w:val="00AE6F65"/>
    <w:rsid w:val="00AF0869"/>
    <w:rsid w:val="00AF3070"/>
    <w:rsid w:val="00AF700A"/>
    <w:rsid w:val="00AF7468"/>
    <w:rsid w:val="00AF7620"/>
    <w:rsid w:val="00B00C6B"/>
    <w:rsid w:val="00B01D32"/>
    <w:rsid w:val="00B02A27"/>
    <w:rsid w:val="00B05E43"/>
    <w:rsid w:val="00B06020"/>
    <w:rsid w:val="00B06588"/>
    <w:rsid w:val="00B06972"/>
    <w:rsid w:val="00B07A3C"/>
    <w:rsid w:val="00B138B8"/>
    <w:rsid w:val="00B13BB4"/>
    <w:rsid w:val="00B14E16"/>
    <w:rsid w:val="00B1520C"/>
    <w:rsid w:val="00B167D9"/>
    <w:rsid w:val="00B1709C"/>
    <w:rsid w:val="00B21996"/>
    <w:rsid w:val="00B21A34"/>
    <w:rsid w:val="00B24752"/>
    <w:rsid w:val="00B24E32"/>
    <w:rsid w:val="00B2552C"/>
    <w:rsid w:val="00B31C3B"/>
    <w:rsid w:val="00B31CC2"/>
    <w:rsid w:val="00B31F15"/>
    <w:rsid w:val="00B3255B"/>
    <w:rsid w:val="00B32929"/>
    <w:rsid w:val="00B33DF0"/>
    <w:rsid w:val="00B33ECA"/>
    <w:rsid w:val="00B3416E"/>
    <w:rsid w:val="00B34339"/>
    <w:rsid w:val="00B3663E"/>
    <w:rsid w:val="00B375A3"/>
    <w:rsid w:val="00B378DE"/>
    <w:rsid w:val="00B37E49"/>
    <w:rsid w:val="00B42DE6"/>
    <w:rsid w:val="00B436F5"/>
    <w:rsid w:val="00B45B33"/>
    <w:rsid w:val="00B45DFD"/>
    <w:rsid w:val="00B47BD2"/>
    <w:rsid w:val="00B50975"/>
    <w:rsid w:val="00B528F5"/>
    <w:rsid w:val="00B54C85"/>
    <w:rsid w:val="00B55233"/>
    <w:rsid w:val="00B55BC3"/>
    <w:rsid w:val="00B5706F"/>
    <w:rsid w:val="00B604C6"/>
    <w:rsid w:val="00B609FE"/>
    <w:rsid w:val="00B60C45"/>
    <w:rsid w:val="00B6338F"/>
    <w:rsid w:val="00B63C64"/>
    <w:rsid w:val="00B650EE"/>
    <w:rsid w:val="00B65AA2"/>
    <w:rsid w:val="00B66185"/>
    <w:rsid w:val="00B67F66"/>
    <w:rsid w:val="00B70C74"/>
    <w:rsid w:val="00B7204E"/>
    <w:rsid w:val="00B72452"/>
    <w:rsid w:val="00B7364B"/>
    <w:rsid w:val="00B73D6A"/>
    <w:rsid w:val="00B749CD"/>
    <w:rsid w:val="00B7648F"/>
    <w:rsid w:val="00B7784C"/>
    <w:rsid w:val="00B800FA"/>
    <w:rsid w:val="00B80339"/>
    <w:rsid w:val="00B82002"/>
    <w:rsid w:val="00B829ED"/>
    <w:rsid w:val="00B82CB0"/>
    <w:rsid w:val="00B83E22"/>
    <w:rsid w:val="00B84D28"/>
    <w:rsid w:val="00B84E80"/>
    <w:rsid w:val="00B85903"/>
    <w:rsid w:val="00B876DD"/>
    <w:rsid w:val="00B91118"/>
    <w:rsid w:val="00B91849"/>
    <w:rsid w:val="00B93A31"/>
    <w:rsid w:val="00B94789"/>
    <w:rsid w:val="00B947DE"/>
    <w:rsid w:val="00B94E92"/>
    <w:rsid w:val="00B94F3B"/>
    <w:rsid w:val="00B96AD0"/>
    <w:rsid w:val="00B971DC"/>
    <w:rsid w:val="00B975B9"/>
    <w:rsid w:val="00B978B5"/>
    <w:rsid w:val="00BA07DC"/>
    <w:rsid w:val="00BA0A80"/>
    <w:rsid w:val="00BA1441"/>
    <w:rsid w:val="00BA2F51"/>
    <w:rsid w:val="00BA38BC"/>
    <w:rsid w:val="00BA7013"/>
    <w:rsid w:val="00BB00A4"/>
    <w:rsid w:val="00BB15CB"/>
    <w:rsid w:val="00BB1615"/>
    <w:rsid w:val="00BB23F5"/>
    <w:rsid w:val="00BB57BF"/>
    <w:rsid w:val="00BB5D47"/>
    <w:rsid w:val="00BC00BD"/>
    <w:rsid w:val="00BC0B7C"/>
    <w:rsid w:val="00BC2578"/>
    <w:rsid w:val="00BC2E72"/>
    <w:rsid w:val="00BC4B5E"/>
    <w:rsid w:val="00BC4E34"/>
    <w:rsid w:val="00BC5742"/>
    <w:rsid w:val="00BC5CE0"/>
    <w:rsid w:val="00BD1032"/>
    <w:rsid w:val="00BD149B"/>
    <w:rsid w:val="00BD1D86"/>
    <w:rsid w:val="00BD453A"/>
    <w:rsid w:val="00BD7D0A"/>
    <w:rsid w:val="00BE01DA"/>
    <w:rsid w:val="00BE063E"/>
    <w:rsid w:val="00BE49B8"/>
    <w:rsid w:val="00BE6919"/>
    <w:rsid w:val="00BE6F27"/>
    <w:rsid w:val="00BE72BA"/>
    <w:rsid w:val="00BE7ED4"/>
    <w:rsid w:val="00BF12C8"/>
    <w:rsid w:val="00BF3E90"/>
    <w:rsid w:val="00BF4628"/>
    <w:rsid w:val="00BF4FA9"/>
    <w:rsid w:val="00BF634C"/>
    <w:rsid w:val="00BF68A7"/>
    <w:rsid w:val="00BF6957"/>
    <w:rsid w:val="00BF6B42"/>
    <w:rsid w:val="00BF6E7C"/>
    <w:rsid w:val="00BF7B66"/>
    <w:rsid w:val="00C01495"/>
    <w:rsid w:val="00C02DF9"/>
    <w:rsid w:val="00C037DC"/>
    <w:rsid w:val="00C03989"/>
    <w:rsid w:val="00C06503"/>
    <w:rsid w:val="00C06D95"/>
    <w:rsid w:val="00C06E63"/>
    <w:rsid w:val="00C0765D"/>
    <w:rsid w:val="00C11E8B"/>
    <w:rsid w:val="00C12FD9"/>
    <w:rsid w:val="00C13CD2"/>
    <w:rsid w:val="00C152E0"/>
    <w:rsid w:val="00C15BE4"/>
    <w:rsid w:val="00C17543"/>
    <w:rsid w:val="00C17CA3"/>
    <w:rsid w:val="00C21640"/>
    <w:rsid w:val="00C226DA"/>
    <w:rsid w:val="00C24D1B"/>
    <w:rsid w:val="00C26216"/>
    <w:rsid w:val="00C269C7"/>
    <w:rsid w:val="00C26FF2"/>
    <w:rsid w:val="00C308C3"/>
    <w:rsid w:val="00C3186E"/>
    <w:rsid w:val="00C329B5"/>
    <w:rsid w:val="00C34470"/>
    <w:rsid w:val="00C35402"/>
    <w:rsid w:val="00C35723"/>
    <w:rsid w:val="00C36932"/>
    <w:rsid w:val="00C4037B"/>
    <w:rsid w:val="00C403B5"/>
    <w:rsid w:val="00C440CA"/>
    <w:rsid w:val="00C4560D"/>
    <w:rsid w:val="00C45A56"/>
    <w:rsid w:val="00C45E8A"/>
    <w:rsid w:val="00C466BB"/>
    <w:rsid w:val="00C46967"/>
    <w:rsid w:val="00C47CFF"/>
    <w:rsid w:val="00C47F21"/>
    <w:rsid w:val="00C506AE"/>
    <w:rsid w:val="00C548CE"/>
    <w:rsid w:val="00C54B13"/>
    <w:rsid w:val="00C54D7D"/>
    <w:rsid w:val="00C55268"/>
    <w:rsid w:val="00C57C5C"/>
    <w:rsid w:val="00C6098C"/>
    <w:rsid w:val="00C6194D"/>
    <w:rsid w:val="00C61C15"/>
    <w:rsid w:val="00C62894"/>
    <w:rsid w:val="00C633BC"/>
    <w:rsid w:val="00C635E5"/>
    <w:rsid w:val="00C64482"/>
    <w:rsid w:val="00C647DB"/>
    <w:rsid w:val="00C65F95"/>
    <w:rsid w:val="00C70549"/>
    <w:rsid w:val="00C713BB"/>
    <w:rsid w:val="00C747C2"/>
    <w:rsid w:val="00C80588"/>
    <w:rsid w:val="00C81D84"/>
    <w:rsid w:val="00C83574"/>
    <w:rsid w:val="00C852AD"/>
    <w:rsid w:val="00C85C1C"/>
    <w:rsid w:val="00C86899"/>
    <w:rsid w:val="00C92DA3"/>
    <w:rsid w:val="00C92F3C"/>
    <w:rsid w:val="00C930AB"/>
    <w:rsid w:val="00C93D15"/>
    <w:rsid w:val="00C9431F"/>
    <w:rsid w:val="00C94520"/>
    <w:rsid w:val="00C95731"/>
    <w:rsid w:val="00C96FA5"/>
    <w:rsid w:val="00CA3881"/>
    <w:rsid w:val="00CA4B53"/>
    <w:rsid w:val="00CA5DEB"/>
    <w:rsid w:val="00CA663A"/>
    <w:rsid w:val="00CA7B44"/>
    <w:rsid w:val="00CB1853"/>
    <w:rsid w:val="00CB19B5"/>
    <w:rsid w:val="00CB2AD1"/>
    <w:rsid w:val="00CB4431"/>
    <w:rsid w:val="00CC03ED"/>
    <w:rsid w:val="00CC0684"/>
    <w:rsid w:val="00CC1122"/>
    <w:rsid w:val="00CC1159"/>
    <w:rsid w:val="00CC1215"/>
    <w:rsid w:val="00CC1647"/>
    <w:rsid w:val="00CC2FBC"/>
    <w:rsid w:val="00CC421E"/>
    <w:rsid w:val="00CC4B52"/>
    <w:rsid w:val="00CC53E3"/>
    <w:rsid w:val="00CC54C3"/>
    <w:rsid w:val="00CC57A3"/>
    <w:rsid w:val="00CC7C48"/>
    <w:rsid w:val="00CD1015"/>
    <w:rsid w:val="00CD3622"/>
    <w:rsid w:val="00CD5719"/>
    <w:rsid w:val="00CD5F9E"/>
    <w:rsid w:val="00CD61C0"/>
    <w:rsid w:val="00CD65DD"/>
    <w:rsid w:val="00CE3275"/>
    <w:rsid w:val="00CE4E66"/>
    <w:rsid w:val="00CE7E2C"/>
    <w:rsid w:val="00CF1790"/>
    <w:rsid w:val="00CF2A12"/>
    <w:rsid w:val="00CF2F37"/>
    <w:rsid w:val="00CF38B5"/>
    <w:rsid w:val="00CF63FB"/>
    <w:rsid w:val="00CF7F25"/>
    <w:rsid w:val="00D01B12"/>
    <w:rsid w:val="00D02821"/>
    <w:rsid w:val="00D052C9"/>
    <w:rsid w:val="00D05B88"/>
    <w:rsid w:val="00D05C78"/>
    <w:rsid w:val="00D14F8E"/>
    <w:rsid w:val="00D17A76"/>
    <w:rsid w:val="00D21D9B"/>
    <w:rsid w:val="00D2289E"/>
    <w:rsid w:val="00D24998"/>
    <w:rsid w:val="00D24B22"/>
    <w:rsid w:val="00D25B1C"/>
    <w:rsid w:val="00D31712"/>
    <w:rsid w:val="00D36F70"/>
    <w:rsid w:val="00D37781"/>
    <w:rsid w:val="00D403C1"/>
    <w:rsid w:val="00D405A5"/>
    <w:rsid w:val="00D40E6E"/>
    <w:rsid w:val="00D412CE"/>
    <w:rsid w:val="00D41405"/>
    <w:rsid w:val="00D41B0C"/>
    <w:rsid w:val="00D421B8"/>
    <w:rsid w:val="00D42C2E"/>
    <w:rsid w:val="00D431AA"/>
    <w:rsid w:val="00D431C5"/>
    <w:rsid w:val="00D43D21"/>
    <w:rsid w:val="00D46BCD"/>
    <w:rsid w:val="00D46EC6"/>
    <w:rsid w:val="00D52306"/>
    <w:rsid w:val="00D529D1"/>
    <w:rsid w:val="00D531C3"/>
    <w:rsid w:val="00D53226"/>
    <w:rsid w:val="00D54612"/>
    <w:rsid w:val="00D5616E"/>
    <w:rsid w:val="00D572E3"/>
    <w:rsid w:val="00D609D1"/>
    <w:rsid w:val="00D622CA"/>
    <w:rsid w:val="00D63542"/>
    <w:rsid w:val="00D639ED"/>
    <w:rsid w:val="00D63E62"/>
    <w:rsid w:val="00D63FF9"/>
    <w:rsid w:val="00D65086"/>
    <w:rsid w:val="00D710E5"/>
    <w:rsid w:val="00D71988"/>
    <w:rsid w:val="00D73342"/>
    <w:rsid w:val="00D741C2"/>
    <w:rsid w:val="00D74637"/>
    <w:rsid w:val="00D77D39"/>
    <w:rsid w:val="00D82A70"/>
    <w:rsid w:val="00D849DD"/>
    <w:rsid w:val="00D8599B"/>
    <w:rsid w:val="00D87230"/>
    <w:rsid w:val="00D9238F"/>
    <w:rsid w:val="00D931CF"/>
    <w:rsid w:val="00D9363D"/>
    <w:rsid w:val="00D9403C"/>
    <w:rsid w:val="00D941C3"/>
    <w:rsid w:val="00D96949"/>
    <w:rsid w:val="00D96C78"/>
    <w:rsid w:val="00DA0795"/>
    <w:rsid w:val="00DA0C21"/>
    <w:rsid w:val="00DA29C6"/>
    <w:rsid w:val="00DA53C5"/>
    <w:rsid w:val="00DA571D"/>
    <w:rsid w:val="00DA676B"/>
    <w:rsid w:val="00DB1866"/>
    <w:rsid w:val="00DB21C1"/>
    <w:rsid w:val="00DB2E22"/>
    <w:rsid w:val="00DB3EA8"/>
    <w:rsid w:val="00DB52F5"/>
    <w:rsid w:val="00DB7255"/>
    <w:rsid w:val="00DC226D"/>
    <w:rsid w:val="00DC454E"/>
    <w:rsid w:val="00DC46D2"/>
    <w:rsid w:val="00DC71FD"/>
    <w:rsid w:val="00DD031C"/>
    <w:rsid w:val="00DD1230"/>
    <w:rsid w:val="00DD581C"/>
    <w:rsid w:val="00DD67B1"/>
    <w:rsid w:val="00DD76D6"/>
    <w:rsid w:val="00DE0138"/>
    <w:rsid w:val="00DE0BF9"/>
    <w:rsid w:val="00DE1BF7"/>
    <w:rsid w:val="00DE1C45"/>
    <w:rsid w:val="00DE7C2B"/>
    <w:rsid w:val="00DF0831"/>
    <w:rsid w:val="00DF2001"/>
    <w:rsid w:val="00DF22F1"/>
    <w:rsid w:val="00DF2414"/>
    <w:rsid w:val="00DF3631"/>
    <w:rsid w:val="00DF4CD7"/>
    <w:rsid w:val="00DF5060"/>
    <w:rsid w:val="00DF5C53"/>
    <w:rsid w:val="00DF748D"/>
    <w:rsid w:val="00DF7922"/>
    <w:rsid w:val="00E01D4B"/>
    <w:rsid w:val="00E03A86"/>
    <w:rsid w:val="00E044DA"/>
    <w:rsid w:val="00E059E0"/>
    <w:rsid w:val="00E07E22"/>
    <w:rsid w:val="00E11192"/>
    <w:rsid w:val="00E11301"/>
    <w:rsid w:val="00E11449"/>
    <w:rsid w:val="00E1308B"/>
    <w:rsid w:val="00E14A6A"/>
    <w:rsid w:val="00E1521E"/>
    <w:rsid w:val="00E17DB0"/>
    <w:rsid w:val="00E204B4"/>
    <w:rsid w:val="00E2075A"/>
    <w:rsid w:val="00E237AE"/>
    <w:rsid w:val="00E2400D"/>
    <w:rsid w:val="00E265C9"/>
    <w:rsid w:val="00E30121"/>
    <w:rsid w:val="00E30A1F"/>
    <w:rsid w:val="00E3109C"/>
    <w:rsid w:val="00E310F3"/>
    <w:rsid w:val="00E3206E"/>
    <w:rsid w:val="00E322C9"/>
    <w:rsid w:val="00E32928"/>
    <w:rsid w:val="00E32D40"/>
    <w:rsid w:val="00E33E3E"/>
    <w:rsid w:val="00E35C61"/>
    <w:rsid w:val="00E40727"/>
    <w:rsid w:val="00E41185"/>
    <w:rsid w:val="00E41AA4"/>
    <w:rsid w:val="00E41F7A"/>
    <w:rsid w:val="00E41F9A"/>
    <w:rsid w:val="00E431C7"/>
    <w:rsid w:val="00E458B1"/>
    <w:rsid w:val="00E46612"/>
    <w:rsid w:val="00E52369"/>
    <w:rsid w:val="00E54065"/>
    <w:rsid w:val="00E560FF"/>
    <w:rsid w:val="00E572A2"/>
    <w:rsid w:val="00E57871"/>
    <w:rsid w:val="00E60AE1"/>
    <w:rsid w:val="00E60CB7"/>
    <w:rsid w:val="00E62612"/>
    <w:rsid w:val="00E63AC4"/>
    <w:rsid w:val="00E63FC0"/>
    <w:rsid w:val="00E641D5"/>
    <w:rsid w:val="00E64EEC"/>
    <w:rsid w:val="00E660C0"/>
    <w:rsid w:val="00E666C4"/>
    <w:rsid w:val="00E675A7"/>
    <w:rsid w:val="00E729F0"/>
    <w:rsid w:val="00E73C90"/>
    <w:rsid w:val="00E745CD"/>
    <w:rsid w:val="00E82306"/>
    <w:rsid w:val="00E823EA"/>
    <w:rsid w:val="00E82ADF"/>
    <w:rsid w:val="00E8426A"/>
    <w:rsid w:val="00E86024"/>
    <w:rsid w:val="00E869B4"/>
    <w:rsid w:val="00E92399"/>
    <w:rsid w:val="00E927DE"/>
    <w:rsid w:val="00E928CB"/>
    <w:rsid w:val="00E9409A"/>
    <w:rsid w:val="00E955D5"/>
    <w:rsid w:val="00EA4A31"/>
    <w:rsid w:val="00EA7F88"/>
    <w:rsid w:val="00EB1973"/>
    <w:rsid w:val="00EB253B"/>
    <w:rsid w:val="00EB2BF0"/>
    <w:rsid w:val="00EB3074"/>
    <w:rsid w:val="00EB529B"/>
    <w:rsid w:val="00EB63B7"/>
    <w:rsid w:val="00EB7E79"/>
    <w:rsid w:val="00EC08BB"/>
    <w:rsid w:val="00EC540F"/>
    <w:rsid w:val="00EC6710"/>
    <w:rsid w:val="00EC76CF"/>
    <w:rsid w:val="00ED03F4"/>
    <w:rsid w:val="00ED18E0"/>
    <w:rsid w:val="00ED2DE6"/>
    <w:rsid w:val="00ED4101"/>
    <w:rsid w:val="00ED5B80"/>
    <w:rsid w:val="00ED626B"/>
    <w:rsid w:val="00EE24C7"/>
    <w:rsid w:val="00EE5982"/>
    <w:rsid w:val="00EE63BF"/>
    <w:rsid w:val="00EE78DF"/>
    <w:rsid w:val="00EF0DF7"/>
    <w:rsid w:val="00EF257A"/>
    <w:rsid w:val="00F020AC"/>
    <w:rsid w:val="00F023A7"/>
    <w:rsid w:val="00F033D7"/>
    <w:rsid w:val="00F0413D"/>
    <w:rsid w:val="00F04BF9"/>
    <w:rsid w:val="00F04C6D"/>
    <w:rsid w:val="00F06571"/>
    <w:rsid w:val="00F07405"/>
    <w:rsid w:val="00F1241E"/>
    <w:rsid w:val="00F128C0"/>
    <w:rsid w:val="00F2072F"/>
    <w:rsid w:val="00F21626"/>
    <w:rsid w:val="00F22305"/>
    <w:rsid w:val="00F24853"/>
    <w:rsid w:val="00F24ED0"/>
    <w:rsid w:val="00F26970"/>
    <w:rsid w:val="00F30722"/>
    <w:rsid w:val="00F33013"/>
    <w:rsid w:val="00F34729"/>
    <w:rsid w:val="00F34C8D"/>
    <w:rsid w:val="00F35972"/>
    <w:rsid w:val="00F36DC6"/>
    <w:rsid w:val="00F422CE"/>
    <w:rsid w:val="00F43B72"/>
    <w:rsid w:val="00F46C5B"/>
    <w:rsid w:val="00F50326"/>
    <w:rsid w:val="00F52BF4"/>
    <w:rsid w:val="00F56603"/>
    <w:rsid w:val="00F5665F"/>
    <w:rsid w:val="00F56DF2"/>
    <w:rsid w:val="00F6119D"/>
    <w:rsid w:val="00F62CB1"/>
    <w:rsid w:val="00F642CE"/>
    <w:rsid w:val="00F64756"/>
    <w:rsid w:val="00F64BAB"/>
    <w:rsid w:val="00F708A7"/>
    <w:rsid w:val="00F71839"/>
    <w:rsid w:val="00F73E8F"/>
    <w:rsid w:val="00F76872"/>
    <w:rsid w:val="00F80438"/>
    <w:rsid w:val="00F83819"/>
    <w:rsid w:val="00F8720B"/>
    <w:rsid w:val="00F90776"/>
    <w:rsid w:val="00F91F70"/>
    <w:rsid w:val="00F92D97"/>
    <w:rsid w:val="00F93BE4"/>
    <w:rsid w:val="00F9619C"/>
    <w:rsid w:val="00F96A21"/>
    <w:rsid w:val="00FA0D0D"/>
    <w:rsid w:val="00FA11C4"/>
    <w:rsid w:val="00FA1A3B"/>
    <w:rsid w:val="00FA20D6"/>
    <w:rsid w:val="00FA3664"/>
    <w:rsid w:val="00FA48F6"/>
    <w:rsid w:val="00FA5E40"/>
    <w:rsid w:val="00FA762B"/>
    <w:rsid w:val="00FB08AA"/>
    <w:rsid w:val="00FB0FC1"/>
    <w:rsid w:val="00FB259B"/>
    <w:rsid w:val="00FB3225"/>
    <w:rsid w:val="00FB3885"/>
    <w:rsid w:val="00FB3967"/>
    <w:rsid w:val="00FB4290"/>
    <w:rsid w:val="00FB4AF2"/>
    <w:rsid w:val="00FB69DA"/>
    <w:rsid w:val="00FC288B"/>
    <w:rsid w:val="00FC2978"/>
    <w:rsid w:val="00FC4E41"/>
    <w:rsid w:val="00FC792C"/>
    <w:rsid w:val="00FC7F49"/>
    <w:rsid w:val="00FD10E5"/>
    <w:rsid w:val="00FD1EC6"/>
    <w:rsid w:val="00FD1F13"/>
    <w:rsid w:val="00FD229C"/>
    <w:rsid w:val="00FD3B26"/>
    <w:rsid w:val="00FD4714"/>
    <w:rsid w:val="00FD4DB5"/>
    <w:rsid w:val="00FE1AE1"/>
    <w:rsid w:val="00FE4123"/>
    <w:rsid w:val="00FE4657"/>
    <w:rsid w:val="00FE4E70"/>
    <w:rsid w:val="00FE620D"/>
    <w:rsid w:val="00FE6E1D"/>
    <w:rsid w:val="00FE7716"/>
    <w:rsid w:val="00FF0BD7"/>
    <w:rsid w:val="00FF1F3E"/>
    <w:rsid w:val="00FF308C"/>
    <w:rsid w:val="00FF4059"/>
    <w:rsid w:val="00FF46D4"/>
    <w:rsid w:val="00FF7221"/>
    <w:rsid w:val="00FF7752"/>
    <w:rsid w:val="00FF79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4337"/>
    <o:shapelayout v:ext="edit">
      <o:idmap v:ext="edit" data="1"/>
    </o:shapelayout>
  </w:shapeDefaults>
  <w:decimalSymbol w:val=","/>
  <w:listSeparator w:val=";"/>
  <w14:docId w14:val="5D0F833B"/>
  <w15:docId w15:val="{14D5CD70-3A08-4A32-BB1A-99DEF5AC3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Times New Roman" w:eastAsia="Calibri" w:hAnsi="Calibri"/>
        <w:lang w:bidi="ar-SA" w:eastAsia="en-US" w:val="ro-RO"/>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E52369"/>
    <w:rPr>
      <w:rFonts w:ascii="Times New Roman" w:eastAsia="Times New Roman" w:hAnsi="Times New Roman"/>
      <w:sz w:val="24"/>
      <w:szCs w:val="24"/>
      <w:lang w:eastAsia="ru-RU"/>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293F18"/>
    <w:rPr>
      <w:sz w:val="22"/>
      <w:szCs w:val="22"/>
      <w:lang w:val="ro-RO"/>
    </w:rPr>
  </w:style>
  <w:style w:styleId="Header" w:type="paragraph">
    <w:name w:val="header"/>
    <w:basedOn w:val="Normal"/>
    <w:link w:val="HeaderChar"/>
    <w:unhideWhenUsed/>
    <w:rsid w:val="00322153"/>
    <w:pPr>
      <w:tabs>
        <w:tab w:pos="4677" w:val="center"/>
        <w:tab w:pos="9355" w:val="right"/>
      </w:tabs>
    </w:pPr>
  </w:style>
  <w:style w:customStyle="1" w:styleId="HeaderChar" w:type="character">
    <w:name w:val="Header Char"/>
    <w:basedOn w:val="DefaultParagraphFont"/>
    <w:link w:val="Header"/>
    <w:rsid w:val="00322153"/>
  </w:style>
  <w:style w:styleId="Footer" w:type="paragraph">
    <w:name w:val="footer"/>
    <w:basedOn w:val="Normal"/>
    <w:link w:val="FooterChar"/>
    <w:uiPriority w:val="99"/>
    <w:unhideWhenUsed/>
    <w:rsid w:val="00322153"/>
    <w:pPr>
      <w:tabs>
        <w:tab w:pos="4677" w:val="center"/>
        <w:tab w:pos="9355" w:val="right"/>
      </w:tabs>
    </w:pPr>
  </w:style>
  <w:style w:customStyle="1" w:styleId="FooterChar" w:type="character">
    <w:name w:val="Footer Char"/>
    <w:basedOn w:val="DefaultParagraphFont"/>
    <w:link w:val="Footer"/>
    <w:uiPriority w:val="99"/>
    <w:rsid w:val="00322153"/>
  </w:style>
  <w:style w:styleId="BalloonText" w:type="paragraph">
    <w:name w:val="Balloon Text"/>
    <w:basedOn w:val="Normal"/>
    <w:link w:val="BalloonTextChar"/>
    <w:uiPriority w:val="99"/>
    <w:semiHidden/>
    <w:unhideWhenUsed/>
    <w:rsid w:val="00752B4D"/>
    <w:rPr>
      <w:rFonts w:ascii="Tahoma" w:cs="Tahoma" w:hAnsi="Tahoma"/>
      <w:sz w:val="16"/>
      <w:szCs w:val="16"/>
    </w:rPr>
  </w:style>
  <w:style w:customStyle="1" w:styleId="BalloonTextChar" w:type="character">
    <w:name w:val="Balloon Text Char"/>
    <w:basedOn w:val="DefaultParagraphFont"/>
    <w:link w:val="BalloonText"/>
    <w:uiPriority w:val="99"/>
    <w:semiHidden/>
    <w:rsid w:val="00752B4D"/>
    <w:rPr>
      <w:rFonts w:ascii="Tahoma" w:cs="Tahoma" w:hAnsi="Tahoma"/>
      <w:sz w:val="16"/>
      <w:szCs w:val="16"/>
    </w:rPr>
  </w:style>
  <w:style w:styleId="TableGrid" w:type="table">
    <w:name w:val="Table Grid"/>
    <w:basedOn w:val="TableNormal"/>
    <w:uiPriority w:val="59"/>
    <w:rsid w:val="00752B4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stParagraph" w:type="paragraph">
    <w:name w:val="List Paragraph"/>
    <w:basedOn w:val="Normal"/>
    <w:uiPriority w:val="34"/>
    <w:qFormat/>
    <w:rsid w:val="00E82306"/>
    <w:pPr>
      <w:ind w:left="720"/>
      <w:contextualSpacing/>
    </w:pPr>
  </w:style>
  <w:style w:styleId="FollowedHyperlink" w:type="character">
    <w:name w:val="FollowedHyperlink"/>
    <w:basedOn w:val="DefaultParagraphFont"/>
    <w:uiPriority w:val="99"/>
    <w:semiHidden/>
    <w:unhideWhenUsed/>
    <w:rsid w:val="00FD229C"/>
    <w:rPr>
      <w:color w:themeColor="followedHyperlink" w:val="800080"/>
      <w:u w:val="single"/>
    </w:rPr>
  </w:style>
  <w:style w:styleId="Emphasis" w:type="character">
    <w:name w:val="Emphasis"/>
    <w:basedOn w:val="DefaultParagraphFont"/>
    <w:uiPriority w:val="20"/>
    <w:qFormat/>
    <w:rsid w:val="00843EBE"/>
    <w:rPr>
      <w:i/>
      <w:iCs/>
    </w:rPr>
  </w:style>
  <w:style w:styleId="PlaceholderText" w:type="character">
    <w:name w:val="Placeholder Text"/>
    <w:basedOn w:val="DefaultParagraphFont"/>
    <w:uiPriority w:val="99"/>
    <w:semiHidden/>
    <w:rsid w:val="00475250"/>
    <w:rPr>
      <w:color w:val="808080"/>
    </w:rPr>
  </w:style>
  <w:style w:styleId="Bibliography" w:type="paragraph">
    <w:name w:val="Bibliography"/>
    <w:basedOn w:val="Normal"/>
    <w:next w:val="Normal"/>
    <w:uiPriority w:val="37"/>
    <w:unhideWhenUsed/>
    <w:rsid w:val="00EC6710"/>
    <w:pPr>
      <w:tabs>
        <w:tab w:pos="384" w:val="left"/>
      </w:tabs>
      <w:ind w:hanging="384" w:left="384"/>
    </w:pPr>
  </w:style>
  <w:style w:styleId="UnresolvedMention" w:type="character">
    <w:name w:val="Unresolved Mention"/>
    <w:basedOn w:val="DefaultParagraphFont"/>
    <w:uiPriority w:val="99"/>
    <w:semiHidden/>
    <w:unhideWhenUsed/>
    <w:rsid w:val="00C329B5"/>
    <w:rPr>
      <w:color w:val="605E5C"/>
      <w:shd w:color="auto" w:fill="E1DFDD" w:val="clear"/>
    </w:rPr>
  </w:style>
  <w:style w:customStyle="1" w:styleId="BodyText" w:type="paragraph">
    <w:name w:val="Body Text"/>
    <w:basedOn w:val="Normal"/>
    <w:qFormat/>
    <w:pPr>
      <w:spacing w:after="0" w:before="0" w:line="240" w:lineRule="auto"/>
      <w:ind w:firstLine="708"/>
      <w:jc w:val="both"/>
    </w:pPr>
    <w:rPr>
      <w:lang w:val="ro-RO"/>
    </w:rPr>
  </w:style>
  <w:style w:customStyle="1" w:styleId="FirstParagraph" w:type="paragraph">
    <w:name w:val="First Paragraph"/>
    <w:basedOn w:val="BodyText"/>
    <w:next w:val="BodyText"/>
    <w:qFormat/>
  </w:style>
  <w:style w:customStyle="1" w:styleId="Compact" w:type="paragraph">
    <w:name w:val="Compact"/>
    <w:basedOn w:val="BodyText"/>
    <w:qFormat/>
  </w:style>
  <w:style w:styleId="Heading1" w:type="paragraph">
    <w:name w:val="heading 1"/>
    <w:basedOn w:val="Normal"/>
    <w:next w:val="BodyText"/>
    <w:qFormat/>
    <w:pPr>
      <w:keepNext/>
      <w:spacing w:after="0" w:before="240"/>
      <w:ind w:firstLine="708"/>
      <w:jc w:val="both"/>
      <w:outlineLvl w:val="0"/>
    </w:pPr>
    <w:rPr>
      <w:b/>
      <w:bCs/>
      <w:sz w:val="24"/>
      <w:szCs w:val="24"/>
      <w:lang w:val="ro-RO"/>
    </w:rPr>
  </w:style>
  <w:style w:styleId="Heading2" w:type="paragraph">
    <w:name w:val="heading 2"/>
    <w:basedOn w:val="Normal"/>
    <w:next w:val="BodyText"/>
    <w:qFormat/>
    <w:pPr>
      <w:keepNext/>
      <w:spacing w:after="0" w:before="120"/>
      <w:ind w:firstLine="708"/>
      <w:jc w:val="both"/>
      <w:outlineLvl w:val="1"/>
    </w:pPr>
    <w:rPr>
      <w:b/>
      <w:bCs/>
      <w:i/>
      <w:iCs/>
      <w:sz w:val="24"/>
      <w:szCs w:val="24"/>
      <w:lang w:val="ro-RO"/>
    </w:rPr>
  </w:style>
  <w:style w:customStyle="1" w:styleId="Rezumat" w:type="paragraph">
    <w:name w:val="Rezumat"/>
    <w:basedOn w:val="Normal"/>
    <w:qFormat/>
    <w:pPr>
      <w:tabs>
        <w:tab w:pos="2268" w:val="left"/>
      </w:tabs>
      <w:ind w:right="18"/>
      <w:jc w:val="both"/>
    </w:pPr>
    <w:rPr>
      <w:i/>
      <w:iCs/>
      <w:lang w:val="ro-RO"/>
    </w:rPr>
  </w:style>
  <w:style w:customStyle="1" w:styleId="CuvinteCheie" w:type="paragraph">
    <w:name w:val="CuvinteCheie"/>
    <w:basedOn w:val="Normal"/>
    <w:qFormat/>
    <w:pPr>
      <w:spacing w:after="0" w:before="240"/>
      <w:jc w:val="both"/>
    </w:pPr>
    <w:rPr>
      <w:i/>
      <w:iCs/>
      <w:lang w:val="ro-RO"/>
    </w:rPr>
  </w:style>
  <w:style w:customStyle="1" w:styleId="Ecuatie" w:type="paragraph">
    <w:name w:val="Ecuatie"/>
    <w:basedOn w:val="Normal"/>
    <w:qFormat/>
    <w:pPr>
      <w:tabs>
        <w:tab w:pos="4677" w:val="center"/>
        <w:tab w:pos="9354" w:val="right"/>
      </w:tabs>
      <w:spacing w:after="80" w:before="80"/>
    </w:pPr>
    <w:rPr>
      <w:lang w:val="ro-RO"/>
    </w:rPr>
  </w:style>
  <w:style w:customStyle="1" w:styleId="Multumiri" w:type="paragraph">
    <w:name w:val="Multumiri"/>
    <w:basedOn w:val="Normal"/>
    <w:qFormat/>
    <w:pPr>
      <w:spacing w:after="0" w:before="240"/>
      <w:ind w:firstLine="708"/>
      <w:jc w:val="both"/>
    </w:pPr>
    <w:rPr>
      <w:lang w:val="ro-RO"/>
    </w:rPr>
  </w:style>
  <w:style w:customStyle="1" w:styleId="Referinta" w:type="paragraph">
    <w:name w:val="Referinta"/>
    <w:basedOn w:val="Normal"/>
    <w:qFormat/>
    <w:pPr>
      <w:ind w:hanging="567" w:left="567"/>
      <w:jc w:val="left"/>
    </w:pPr>
    <w:rPr>
      <w:lang w:val="ro-RO"/>
    </w:rPr>
  </w:style>
  <w:style w:customStyle="1" w:styleId="Figure" w:type="paragraph">
    <w:name w:val="Figure"/>
    <w:basedOn w:val="Normal"/>
    <w:qFormat/>
    <w:pPr>
      <w:keepNext/>
      <w:spacing w:after="60" w:before="120"/>
      <w:jc w:val="center"/>
    </w:pPr>
  </w:style>
  <w:style w:customStyle="1" w:styleId="CaptionedFigure" w:type="paragraph">
    <w:name w:val="Captioned Figure"/>
    <w:basedOn w:val="Figure"/>
    <w:qFormat/>
  </w:style>
  <w:style w:customStyle="1" w:styleId="Hyperlink" w:type="character">
    <w:name w:val="Hyperlink"/>
    <w:rPr>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5" Type="http://schemas.openxmlformats.org/officeDocument/2006/relationships/image" Target="media/rId25.png"/><Relationship Id="rId28" Type="http://schemas.openxmlformats.org/officeDocument/2006/relationships/image" Target="media/rId28.png"/><Relationship Id="rId34" Type="http://schemas.openxmlformats.org/officeDocument/2006/relationships/image" Target="media/rId34.png"/><Relationship Id="rId37" Type="http://schemas.openxmlformats.org/officeDocument/2006/relationships/image" Target="media/rId37.png"/><Relationship Id="rId31" Type="http://schemas.openxmlformats.org/officeDocument/2006/relationships/image" Target="media/rId3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_backup_\Desktop\ChemJMold_manuscript_template_0%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ChemJMold_manuscript_template_0 (2).dotx</Template>
  <TotalTime>13</TotalTime>
  <Pages>4</Pages>
  <Words>1392</Words>
  <Characters>8078</Characters>
  <Application>Microsoft Office Word</Application>
  <DocSecurity>0</DocSecurity>
  <Lines>67</Lines>
  <Paragraphs>18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Grizli777</Company>
  <LinksUpToDate>false</LinksUpToDate>
  <CharactersWithSpaces>9452</CharactersWithSpaces>
  <SharedDoc>false</SharedDoc>
  <HLinks>
    <vt:vector size="6" baseType="variant">
      <vt:variant>
        <vt:i4>6029394</vt:i4>
      </vt:variant>
      <vt:variant>
        <vt:i4>3</vt:i4>
      </vt:variant>
      <vt:variant>
        <vt:i4>0</vt:i4>
      </vt:variant>
      <vt:variant>
        <vt:i4>5</vt:i4>
      </vt:variant>
      <vt:variant>
        <vt:lpwstr>http://www.chem.qmul.ac.uk/iupac/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Descompunerea bayesiană a incertitudinii pentru avertizarea timpurie a devierii conceptuale, validată prin XAI</dc:title>
  <dc:creator>Prenumele Numele</dc:creator>
  <dc:language>ro-RO</dc:language>
  <cp:keywords/>
  <dcterms:created xsi:type="dcterms:W3CDTF">2026-10-09T03:53:50Z</dcterms:created>
  <dcterms:modified xsi:type="dcterms:W3CDTF">2026-10-09T03:53:50Z</dcterms:modified>
</cp:coreProperties>
</file>

<file path=docProps/custom.xml><?xml version="1.0" encoding="utf-8"?>
<Properties xmlns="http://schemas.openxmlformats.org/officeDocument/2006/custom-properties" xmlns:vt="http://schemas.openxmlformats.org/officeDocument/2006/docPropsVTypes"/>
</file>