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05" w:rsidRPr="00041705" w:rsidRDefault="00041705" w:rsidP="00041705">
      <w:pPr>
        <w:pStyle w:val="ListParagraph"/>
        <w:rPr>
          <w:rFonts w:ascii="Verdana" w:hAnsi="Verdana"/>
          <w:sz w:val="24"/>
          <w:szCs w:val="24"/>
        </w:rPr>
      </w:pPr>
    </w:p>
    <w:p w:rsidR="00EE39F7" w:rsidRPr="00041705" w:rsidRDefault="00EE39F7" w:rsidP="004A3E04">
      <w:pPr>
        <w:rPr>
          <w:rFonts w:ascii="Verdana" w:hAnsi="Verdana"/>
          <w:b/>
          <w:sz w:val="24"/>
          <w:szCs w:val="24"/>
          <w:u w:val="single"/>
        </w:rPr>
      </w:pPr>
      <w:r w:rsidRPr="00041705">
        <w:rPr>
          <w:rFonts w:ascii="Verdana" w:hAnsi="Verdana"/>
          <w:b/>
          <w:sz w:val="24"/>
          <w:szCs w:val="24"/>
          <w:u w:val="single"/>
        </w:rPr>
        <w:t>Two Way ANOVA –</w:t>
      </w:r>
      <w:r w:rsidR="00041705">
        <w:rPr>
          <w:rFonts w:ascii="Verdana" w:hAnsi="Verdana"/>
          <w:b/>
          <w:sz w:val="24"/>
          <w:szCs w:val="24"/>
          <w:u w:val="single"/>
        </w:rPr>
        <w:t xml:space="preserve"> </w:t>
      </w:r>
      <w:r w:rsidRPr="00041705">
        <w:rPr>
          <w:rFonts w:ascii="Verdana" w:hAnsi="Verdana"/>
          <w:b/>
          <w:sz w:val="24"/>
          <w:szCs w:val="24"/>
          <w:u w:val="single"/>
        </w:rPr>
        <w:t>Randomized Block Design</w:t>
      </w:r>
    </w:p>
    <w:p w:rsidR="004A3E04" w:rsidRPr="004A3E04" w:rsidRDefault="004A3E04" w:rsidP="004A3E04">
      <w:pPr>
        <w:rPr>
          <w:rFonts w:ascii="Verdana" w:hAnsi="Verdana"/>
          <w:sz w:val="24"/>
          <w:szCs w:val="24"/>
        </w:rPr>
      </w:pPr>
      <w:r w:rsidRPr="004A3E04">
        <w:rPr>
          <w:rFonts w:ascii="Verdana" w:hAnsi="Verdana"/>
          <w:sz w:val="24"/>
          <w:szCs w:val="24"/>
        </w:rPr>
        <w:t>In last week’s class we considered the case of a completely randomized experimental design, which was analysed using the one-way ANOVA procedure.</w:t>
      </w:r>
    </w:p>
    <w:p w:rsidR="004A3E04" w:rsidRPr="004A3E04" w:rsidRDefault="004A3E04" w:rsidP="004A3E04">
      <w:pPr>
        <w:rPr>
          <w:rFonts w:ascii="Verdana" w:hAnsi="Verdana"/>
          <w:sz w:val="24"/>
          <w:szCs w:val="24"/>
        </w:rPr>
      </w:pPr>
      <w:r w:rsidRPr="004A3E04">
        <w:rPr>
          <w:rFonts w:ascii="Verdana" w:hAnsi="Verdana"/>
          <w:sz w:val="24"/>
          <w:szCs w:val="24"/>
        </w:rPr>
        <w:t xml:space="preserve">Previously we have discussed the concept of blocking. Recall that blocking helps to mitigate </w:t>
      </w:r>
      <w:r w:rsidR="00EE39F7">
        <w:rPr>
          <w:rFonts w:ascii="Verdana" w:hAnsi="Verdana"/>
          <w:sz w:val="24"/>
          <w:szCs w:val="24"/>
        </w:rPr>
        <w:t xml:space="preserve">or remove </w:t>
      </w:r>
      <w:r w:rsidRPr="004A3E04">
        <w:rPr>
          <w:rFonts w:ascii="Verdana" w:hAnsi="Verdana"/>
          <w:sz w:val="24"/>
          <w:szCs w:val="24"/>
        </w:rPr>
        <w:t>the effect of nuisance variables.</w:t>
      </w:r>
      <w:r w:rsidR="00EE39F7">
        <w:rPr>
          <w:rFonts w:ascii="Verdana" w:hAnsi="Verdana"/>
          <w:sz w:val="24"/>
          <w:szCs w:val="24"/>
        </w:rPr>
        <w:t xml:space="preserve"> However the blocking variable is not of interest itself.</w:t>
      </w:r>
    </w:p>
    <w:p w:rsidR="004A3E04" w:rsidRPr="004A3E04" w:rsidRDefault="004A3E04" w:rsidP="004A3E04">
      <w:pPr>
        <w:rPr>
          <w:rFonts w:ascii="Verdana" w:hAnsi="Verdana"/>
          <w:sz w:val="24"/>
          <w:szCs w:val="24"/>
        </w:rPr>
      </w:pPr>
      <w:r w:rsidRPr="004A3E04">
        <w:rPr>
          <w:rFonts w:ascii="Verdana" w:hAnsi="Verdana"/>
          <w:sz w:val="24"/>
          <w:szCs w:val="24"/>
        </w:rPr>
        <w:t xml:space="preserve">The general procedure for a randomized block design consists of selecting </w:t>
      </w:r>
      <w:r w:rsidRPr="004A3E04">
        <w:rPr>
          <w:rFonts w:ascii="Verdana" w:hAnsi="Verdana"/>
          <w:b/>
          <w:sz w:val="24"/>
          <w:szCs w:val="24"/>
        </w:rPr>
        <w:t>b</w:t>
      </w:r>
      <w:r w:rsidRPr="004A3E04">
        <w:rPr>
          <w:rFonts w:ascii="Verdana" w:hAnsi="Verdana"/>
          <w:sz w:val="24"/>
          <w:szCs w:val="24"/>
        </w:rPr>
        <w:t xml:space="preserve"> blocks and running a randomized design within each block. Recall that this can be described as applying </w:t>
      </w:r>
      <w:proofErr w:type="gramStart"/>
      <w:r w:rsidRPr="004A3E04">
        <w:rPr>
          <w:rFonts w:ascii="Verdana" w:hAnsi="Verdana"/>
          <w:b/>
          <w:i/>
          <w:sz w:val="24"/>
          <w:szCs w:val="24"/>
        </w:rPr>
        <w:t>a</w:t>
      </w:r>
      <w:r w:rsidRPr="004A3E04">
        <w:rPr>
          <w:rFonts w:ascii="Verdana" w:hAnsi="Verdana"/>
          <w:sz w:val="24"/>
          <w:szCs w:val="24"/>
        </w:rPr>
        <w:t xml:space="preserve"> treatments</w:t>
      </w:r>
      <w:proofErr w:type="gramEnd"/>
    </w:p>
    <w:p w:rsidR="004A3E04" w:rsidRPr="004A3E04" w:rsidRDefault="004A3E04" w:rsidP="004A3E04">
      <w:pPr>
        <w:rPr>
          <w:rFonts w:ascii="Verdana" w:hAnsi="Verdana"/>
          <w:sz w:val="24"/>
          <w:szCs w:val="24"/>
        </w:rPr>
      </w:pPr>
      <w:r w:rsidRPr="004A3E04">
        <w:rPr>
          <w:rFonts w:ascii="Verdana" w:hAnsi="Verdana"/>
          <w:sz w:val="24"/>
          <w:szCs w:val="24"/>
        </w:rPr>
        <w:t xml:space="preserve">Following from the statistical model seen in last </w:t>
      </w:r>
      <w:proofErr w:type="gramStart"/>
      <w:r w:rsidRPr="004A3E04">
        <w:rPr>
          <w:rFonts w:ascii="Verdana" w:hAnsi="Verdana"/>
          <w:sz w:val="24"/>
          <w:szCs w:val="24"/>
        </w:rPr>
        <w:t>class,</w:t>
      </w:r>
      <w:proofErr w:type="gramEnd"/>
      <w:r w:rsidRPr="004A3E04">
        <w:rPr>
          <w:rFonts w:ascii="Verdana" w:hAnsi="Verdana"/>
          <w:sz w:val="24"/>
          <w:szCs w:val="24"/>
        </w:rPr>
        <w:t xml:space="preserve"> this can be described using the following model, with the addition of a term </w:t>
      </w:r>
      <w:r w:rsidRPr="004A3E04">
        <w:rPr>
          <w:rFonts w:ascii="Verdana" w:hAnsi="Verdana"/>
          <w:b/>
          <w:i/>
          <w:sz w:val="24"/>
          <w:szCs w:val="24"/>
        </w:rPr>
        <w:t>β</w:t>
      </w:r>
      <w:r w:rsidRPr="004A3E04">
        <w:rPr>
          <w:rFonts w:ascii="Verdana" w:hAnsi="Verdana"/>
          <w:sz w:val="24"/>
          <w:szCs w:val="24"/>
        </w:rPr>
        <w:t xml:space="preserve"> to describe the effect for each block</w:t>
      </w:r>
    </w:p>
    <w:p w:rsidR="0049018D" w:rsidRDefault="004A3E04" w:rsidP="004A3E04">
      <w:r>
        <w:rPr>
          <w:noProof/>
          <w:lang w:eastAsia="en-IE"/>
        </w:rPr>
        <w:drawing>
          <wp:inline distT="0" distB="0" distL="0" distR="0">
            <wp:extent cx="6409390" cy="15149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11612" cy="1515426"/>
                    </a:xfrm>
                    <a:prstGeom prst="rect">
                      <a:avLst/>
                    </a:prstGeom>
                    <a:noFill/>
                    <a:ln w="9525">
                      <a:noFill/>
                      <a:miter lim="800000"/>
                      <a:headEnd/>
                      <a:tailEnd/>
                    </a:ln>
                  </pic:spPr>
                </pic:pic>
              </a:graphicData>
            </a:graphic>
          </wp:inline>
        </w:drawing>
      </w:r>
    </w:p>
    <w:p w:rsidR="004A3E04" w:rsidRPr="00EE39F7" w:rsidRDefault="004A3E04" w:rsidP="004A3E04">
      <w:pPr>
        <w:rPr>
          <w:rFonts w:ascii="Verdana" w:hAnsi="Verdana"/>
          <w:sz w:val="24"/>
          <w:szCs w:val="24"/>
        </w:rPr>
      </w:pPr>
      <w:r w:rsidRPr="00EE39F7">
        <w:rPr>
          <w:rFonts w:ascii="Verdana" w:hAnsi="Verdana"/>
          <w:sz w:val="24"/>
          <w:szCs w:val="24"/>
        </w:rPr>
        <w:t>The terms are the overall mean, the treatment effect term, the block effect term and the random error term (i.e</w:t>
      </w:r>
      <w:r w:rsidR="00EE39F7" w:rsidRPr="00EE39F7">
        <w:rPr>
          <w:rFonts w:ascii="Verdana" w:hAnsi="Verdana"/>
          <w:sz w:val="24"/>
          <w:szCs w:val="24"/>
        </w:rPr>
        <w:t>.</w:t>
      </w:r>
      <w:r w:rsidRPr="00EE39F7">
        <w:rPr>
          <w:rFonts w:ascii="Verdana" w:hAnsi="Verdana"/>
          <w:sz w:val="24"/>
          <w:szCs w:val="24"/>
        </w:rPr>
        <w:t xml:space="preserve"> residual term).The random error terms </w:t>
      </w:r>
      <w:r w:rsidR="00EE39F7" w:rsidRPr="00EE39F7">
        <w:rPr>
          <w:rFonts w:ascii="Verdana" w:hAnsi="Verdana"/>
          <w:sz w:val="24"/>
          <w:szCs w:val="24"/>
        </w:rPr>
        <w:t xml:space="preserve">are </w:t>
      </w:r>
      <w:r w:rsidRPr="00EE39F7">
        <w:rPr>
          <w:rFonts w:ascii="Verdana" w:hAnsi="Verdana"/>
          <w:sz w:val="24"/>
          <w:szCs w:val="24"/>
        </w:rPr>
        <w:t xml:space="preserve">assumed to be normally distributed with mean </w:t>
      </w:r>
      <w:r w:rsidR="00EE39F7" w:rsidRPr="00EE39F7">
        <w:rPr>
          <w:rFonts w:ascii="Verdana" w:hAnsi="Verdana"/>
          <w:sz w:val="24"/>
          <w:szCs w:val="24"/>
        </w:rPr>
        <w:t>o</w:t>
      </w:r>
      <w:r w:rsidRPr="00EE39F7">
        <w:rPr>
          <w:rFonts w:ascii="Verdana" w:hAnsi="Verdana"/>
          <w:sz w:val="24"/>
          <w:szCs w:val="24"/>
        </w:rPr>
        <w:t>f zero, and indepe</w:t>
      </w:r>
      <w:r w:rsidR="00EE39F7" w:rsidRPr="00EE39F7">
        <w:rPr>
          <w:rFonts w:ascii="Verdana" w:hAnsi="Verdana"/>
          <w:sz w:val="24"/>
          <w:szCs w:val="24"/>
        </w:rPr>
        <w:t>n</w:t>
      </w:r>
      <w:r w:rsidRPr="00EE39F7">
        <w:rPr>
          <w:rFonts w:ascii="Verdana" w:hAnsi="Verdana"/>
          <w:sz w:val="24"/>
          <w:szCs w:val="24"/>
        </w:rPr>
        <w:t>dently identical distributed.</w:t>
      </w:r>
      <w:r w:rsidR="00EE39F7" w:rsidRPr="00EE39F7">
        <w:rPr>
          <w:rFonts w:ascii="Verdana" w:hAnsi="Verdana"/>
          <w:sz w:val="24"/>
          <w:szCs w:val="24"/>
        </w:rPr>
        <w:t xml:space="preserve"> </w:t>
      </w:r>
    </w:p>
    <w:p w:rsidR="004A3E04" w:rsidRPr="00EE39F7" w:rsidRDefault="00EE39F7" w:rsidP="004A3E04">
      <w:pPr>
        <w:rPr>
          <w:rFonts w:ascii="Verdana" w:hAnsi="Verdana"/>
          <w:sz w:val="24"/>
          <w:szCs w:val="24"/>
        </w:rPr>
      </w:pPr>
      <w:r>
        <w:rPr>
          <w:rFonts w:ascii="Verdana" w:hAnsi="Verdana"/>
          <w:sz w:val="24"/>
          <w:szCs w:val="24"/>
        </w:rPr>
        <w:t>The Treatment</w:t>
      </w:r>
      <w:r w:rsidR="004A3E04" w:rsidRPr="00EE39F7">
        <w:rPr>
          <w:rFonts w:ascii="Verdana" w:hAnsi="Verdana"/>
          <w:sz w:val="24"/>
          <w:szCs w:val="24"/>
        </w:rPr>
        <w:t xml:space="preserve"> effect and Block effect are deviations from the overall mean, so the expected value of each is zero.</w:t>
      </w:r>
    </w:p>
    <w:p w:rsidR="004A3E04" w:rsidRPr="00EE39F7" w:rsidRDefault="004A3E04" w:rsidP="004A3E04">
      <w:pPr>
        <w:rPr>
          <w:rFonts w:ascii="Verdana" w:hAnsi="Verdana"/>
          <w:sz w:val="24"/>
          <w:szCs w:val="24"/>
        </w:rPr>
      </w:pPr>
      <w:r w:rsidRPr="00EE39F7">
        <w:rPr>
          <w:rFonts w:ascii="Verdana" w:hAnsi="Verdana"/>
          <w:sz w:val="24"/>
          <w:szCs w:val="24"/>
        </w:rPr>
        <w:t>We also assume that treatments and blocks do not interact. (This is in contrast with forthcoming material, where interaction is normally assumed)</w:t>
      </w:r>
    </w:p>
    <w:p w:rsidR="004A3E04" w:rsidRDefault="004A3E04" w:rsidP="004A3E04">
      <w:pPr>
        <w:rPr>
          <w:rFonts w:ascii="Verdana" w:hAnsi="Verdana"/>
          <w:sz w:val="24"/>
          <w:szCs w:val="24"/>
        </w:rPr>
      </w:pPr>
      <w:r w:rsidRPr="00EE39F7">
        <w:rPr>
          <w:rFonts w:ascii="Verdana" w:hAnsi="Verdana"/>
          <w:sz w:val="24"/>
          <w:szCs w:val="24"/>
        </w:rPr>
        <w:t>We are usually interested in testing the equality of treatment effects.</w:t>
      </w:r>
    </w:p>
    <w:p w:rsidR="00EE39F7" w:rsidRDefault="00EE39F7" w:rsidP="004A3E04">
      <w:pPr>
        <w:rPr>
          <w:rFonts w:ascii="Verdana" w:hAnsi="Verdana"/>
          <w:sz w:val="24"/>
          <w:szCs w:val="24"/>
        </w:rPr>
      </w:pPr>
      <w:r>
        <w:rPr>
          <w:rFonts w:ascii="Verdana" w:hAnsi="Verdana"/>
          <w:noProof/>
          <w:sz w:val="24"/>
          <w:szCs w:val="24"/>
          <w:lang w:eastAsia="en-IE"/>
        </w:rPr>
        <w:lastRenderedPageBreak/>
        <w:drawing>
          <wp:inline distT="0" distB="0" distL="0" distR="0">
            <wp:extent cx="4649162" cy="132383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61085" cy="1327228"/>
                    </a:xfrm>
                    <a:prstGeom prst="rect">
                      <a:avLst/>
                    </a:prstGeom>
                    <a:noFill/>
                    <a:ln w="9525">
                      <a:noFill/>
                      <a:miter lim="800000"/>
                      <a:headEnd/>
                      <a:tailEnd/>
                    </a:ln>
                  </pic:spPr>
                </pic:pic>
              </a:graphicData>
            </a:graphic>
          </wp:inline>
        </w:drawing>
      </w:r>
    </w:p>
    <w:p w:rsidR="00EE39F7" w:rsidRDefault="00EE39F7" w:rsidP="004A3E04">
      <w:pPr>
        <w:rPr>
          <w:rFonts w:ascii="Verdana" w:hAnsi="Verdana"/>
          <w:sz w:val="24"/>
          <w:szCs w:val="24"/>
        </w:rPr>
      </w:pPr>
      <w:r>
        <w:rPr>
          <w:rFonts w:ascii="Verdana" w:hAnsi="Verdana"/>
          <w:noProof/>
          <w:sz w:val="24"/>
          <w:szCs w:val="24"/>
          <w:lang w:eastAsia="en-IE"/>
        </w:rPr>
        <w:drawing>
          <wp:inline distT="0" distB="0" distL="0" distR="0">
            <wp:extent cx="6479931" cy="229282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472867" cy="2290324"/>
                    </a:xfrm>
                    <a:prstGeom prst="rect">
                      <a:avLst/>
                    </a:prstGeom>
                    <a:noFill/>
                    <a:ln w="9525">
                      <a:noFill/>
                      <a:miter lim="800000"/>
                      <a:headEnd/>
                      <a:tailEnd/>
                    </a:ln>
                  </pic:spPr>
                </pic:pic>
              </a:graphicData>
            </a:graphic>
          </wp:inline>
        </w:drawing>
      </w:r>
    </w:p>
    <w:p w:rsidR="002821CE" w:rsidRDefault="002821CE" w:rsidP="004A3E04">
      <w:pPr>
        <w:rPr>
          <w:rFonts w:ascii="Verdana" w:hAnsi="Verdana"/>
          <w:sz w:val="24"/>
          <w:szCs w:val="24"/>
        </w:rPr>
      </w:pPr>
    </w:p>
    <w:p w:rsidR="002821CE" w:rsidRPr="00B65D96" w:rsidRDefault="00B65D96" w:rsidP="002821CE">
      <w:pPr>
        <w:autoSpaceDE w:val="0"/>
        <w:autoSpaceDN w:val="0"/>
        <w:adjustRightInd w:val="0"/>
        <w:spacing w:after="0" w:line="240" w:lineRule="auto"/>
        <w:rPr>
          <w:rFonts w:ascii="Verdana" w:hAnsi="Verdana" w:cs="CMR12"/>
          <w:b/>
          <w:sz w:val="24"/>
          <w:szCs w:val="24"/>
          <w:u w:val="single"/>
        </w:rPr>
      </w:pPr>
      <w:r>
        <w:rPr>
          <w:rFonts w:ascii="Verdana" w:hAnsi="Verdana" w:cs="CMR12"/>
          <w:b/>
          <w:sz w:val="24"/>
          <w:szCs w:val="24"/>
          <w:u w:val="single"/>
        </w:rPr>
        <w:t>Example 1</w:t>
      </w:r>
    </w:p>
    <w:p w:rsidR="002821CE" w:rsidRPr="002821CE" w:rsidRDefault="002821CE" w:rsidP="002821CE">
      <w:pPr>
        <w:autoSpaceDE w:val="0"/>
        <w:autoSpaceDN w:val="0"/>
        <w:adjustRightInd w:val="0"/>
        <w:spacing w:after="0" w:line="240" w:lineRule="auto"/>
        <w:rPr>
          <w:rFonts w:ascii="Verdana" w:hAnsi="Verdana" w:cs="CMR12"/>
          <w:sz w:val="24"/>
          <w:szCs w:val="24"/>
        </w:rPr>
      </w:pPr>
    </w:p>
    <w:p w:rsidR="002821CE" w:rsidRPr="002821CE" w:rsidRDefault="002821CE" w:rsidP="002821CE">
      <w:pPr>
        <w:autoSpaceDE w:val="0"/>
        <w:autoSpaceDN w:val="0"/>
        <w:adjustRightInd w:val="0"/>
        <w:spacing w:after="0" w:line="240" w:lineRule="auto"/>
        <w:rPr>
          <w:rFonts w:ascii="Verdana" w:hAnsi="Verdana" w:cs="CMR12"/>
          <w:sz w:val="24"/>
          <w:szCs w:val="24"/>
        </w:rPr>
      </w:pPr>
      <w:r w:rsidRPr="002821CE">
        <w:rPr>
          <w:rFonts w:ascii="Verdana" w:hAnsi="Verdana" w:cs="CMR12"/>
          <w:sz w:val="24"/>
          <w:szCs w:val="24"/>
        </w:rPr>
        <w:t xml:space="preserve">A standard solution was prepared, containing 16.00% (by weight) of chloride. Three titration methods, each with a different technique of end-point determination, were used to analyse the standard solution. </w:t>
      </w:r>
    </w:p>
    <w:p w:rsidR="002821CE" w:rsidRPr="002821CE" w:rsidRDefault="002821CE" w:rsidP="002821CE">
      <w:pPr>
        <w:autoSpaceDE w:val="0"/>
        <w:autoSpaceDN w:val="0"/>
        <w:adjustRightInd w:val="0"/>
        <w:spacing w:after="0" w:line="240" w:lineRule="auto"/>
        <w:rPr>
          <w:rFonts w:ascii="Verdana" w:hAnsi="Verdana" w:cs="CMR12"/>
          <w:sz w:val="24"/>
          <w:szCs w:val="24"/>
        </w:rPr>
      </w:pPr>
    </w:p>
    <w:p w:rsidR="002821CE" w:rsidRPr="002821CE" w:rsidRDefault="002821CE" w:rsidP="002821CE">
      <w:pPr>
        <w:autoSpaceDE w:val="0"/>
        <w:autoSpaceDN w:val="0"/>
        <w:adjustRightInd w:val="0"/>
        <w:spacing w:after="0" w:line="240" w:lineRule="auto"/>
        <w:rPr>
          <w:rFonts w:ascii="Verdana" w:hAnsi="Verdana" w:cs="CMR12"/>
          <w:sz w:val="24"/>
          <w:szCs w:val="24"/>
        </w:rPr>
      </w:pPr>
      <w:r w:rsidRPr="002821CE">
        <w:rPr>
          <w:rFonts w:ascii="Verdana" w:hAnsi="Verdana" w:cs="CMR12"/>
          <w:sz w:val="24"/>
          <w:szCs w:val="24"/>
        </w:rPr>
        <w:t>The procedure was carried out by different clinical analysts. The order of the experiments was randomized. The results for the chloride found (% w/w) are shown below:</w:t>
      </w:r>
    </w:p>
    <w:p w:rsidR="002821CE" w:rsidRDefault="002821CE" w:rsidP="002821CE">
      <w:pPr>
        <w:autoSpaceDE w:val="0"/>
        <w:autoSpaceDN w:val="0"/>
        <w:adjustRightInd w:val="0"/>
        <w:spacing w:after="0" w:line="240" w:lineRule="auto"/>
        <w:jc w:val="center"/>
        <w:rPr>
          <w:rFonts w:ascii="CMR12" w:hAnsi="CMR12" w:cs="CMR12"/>
          <w:sz w:val="24"/>
          <w:szCs w:val="24"/>
        </w:rPr>
      </w:pPr>
    </w:p>
    <w:tbl>
      <w:tblPr>
        <w:tblW w:w="3840" w:type="dxa"/>
        <w:jc w:val="center"/>
        <w:tblInd w:w="87" w:type="dxa"/>
        <w:tblLook w:val="04A0"/>
      </w:tblPr>
      <w:tblGrid>
        <w:gridCol w:w="960"/>
        <w:gridCol w:w="960"/>
        <w:gridCol w:w="960"/>
        <w:gridCol w:w="960"/>
      </w:tblGrid>
      <w:tr w:rsidR="002821CE" w:rsidRPr="000B6F2C" w:rsidTr="002821CE">
        <w:trPr>
          <w:trHeight w:val="315"/>
          <w:jc w:val="center"/>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Pr>
                <w:rFonts w:ascii="CMTT10" w:eastAsia="Times New Roman" w:hAnsi="CMTT10" w:cs="CMTT10"/>
                <w:color w:val="000000"/>
                <w:sz w:val="20"/>
                <w:szCs w:val="20"/>
                <w:lang w:eastAsia="en-IE"/>
              </w:rPr>
              <w:t>Analyst</w:t>
            </w:r>
          </w:p>
        </w:tc>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Method A</w:t>
            </w:r>
          </w:p>
        </w:tc>
        <w:tc>
          <w:tcPr>
            <w:tcW w:w="960" w:type="dxa"/>
            <w:tcBorders>
              <w:top w:val="single" w:sz="8" w:space="0" w:color="auto"/>
              <w:left w:val="nil"/>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Method B</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Method C</w:t>
            </w:r>
          </w:p>
        </w:tc>
      </w:tr>
      <w:tr w:rsidR="002821CE" w:rsidRPr="000B6F2C" w:rsidTr="002821CE">
        <w:trPr>
          <w:trHeight w:val="300"/>
          <w:jc w:val="center"/>
        </w:trPr>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1</w:t>
            </w:r>
          </w:p>
        </w:tc>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16.03</w:t>
            </w:r>
          </w:p>
        </w:tc>
        <w:tc>
          <w:tcPr>
            <w:tcW w:w="960" w:type="dxa"/>
            <w:tcBorders>
              <w:top w:val="nil"/>
              <w:left w:val="nil"/>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16.13</w:t>
            </w:r>
          </w:p>
        </w:tc>
        <w:tc>
          <w:tcPr>
            <w:tcW w:w="960" w:type="dxa"/>
            <w:tcBorders>
              <w:top w:val="nil"/>
              <w:left w:val="nil"/>
              <w:bottom w:val="nil"/>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16.09</w:t>
            </w:r>
          </w:p>
        </w:tc>
      </w:tr>
      <w:tr w:rsidR="002821CE" w:rsidRPr="000B6F2C" w:rsidTr="002821CE">
        <w:trPr>
          <w:trHeight w:val="300"/>
          <w:jc w:val="center"/>
        </w:trPr>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2</w:t>
            </w:r>
          </w:p>
        </w:tc>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16.05</w:t>
            </w:r>
          </w:p>
        </w:tc>
        <w:tc>
          <w:tcPr>
            <w:tcW w:w="960" w:type="dxa"/>
            <w:tcBorders>
              <w:top w:val="nil"/>
              <w:left w:val="nil"/>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16.13</w:t>
            </w:r>
          </w:p>
        </w:tc>
        <w:tc>
          <w:tcPr>
            <w:tcW w:w="960" w:type="dxa"/>
            <w:tcBorders>
              <w:top w:val="nil"/>
              <w:left w:val="nil"/>
              <w:bottom w:val="nil"/>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16.15</w:t>
            </w:r>
          </w:p>
        </w:tc>
      </w:tr>
      <w:tr w:rsidR="002821CE" w:rsidRPr="000B6F2C" w:rsidTr="002821CE">
        <w:trPr>
          <w:trHeight w:val="300"/>
          <w:jc w:val="center"/>
        </w:trPr>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3</w:t>
            </w:r>
          </w:p>
        </w:tc>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16.02</w:t>
            </w:r>
          </w:p>
        </w:tc>
        <w:tc>
          <w:tcPr>
            <w:tcW w:w="960" w:type="dxa"/>
            <w:tcBorders>
              <w:top w:val="nil"/>
              <w:left w:val="nil"/>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15.94</w:t>
            </w:r>
          </w:p>
        </w:tc>
        <w:tc>
          <w:tcPr>
            <w:tcW w:w="960" w:type="dxa"/>
            <w:tcBorders>
              <w:top w:val="nil"/>
              <w:left w:val="nil"/>
              <w:bottom w:val="nil"/>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16.12</w:t>
            </w:r>
          </w:p>
        </w:tc>
      </w:tr>
      <w:tr w:rsidR="002821CE" w:rsidRPr="000B6F2C" w:rsidTr="002821CE">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4</w:t>
            </w:r>
          </w:p>
        </w:tc>
        <w:tc>
          <w:tcPr>
            <w:tcW w:w="960" w:type="dxa"/>
            <w:tcBorders>
              <w:top w:val="nil"/>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16.12</w:t>
            </w:r>
          </w:p>
        </w:tc>
        <w:tc>
          <w:tcPr>
            <w:tcW w:w="960" w:type="dxa"/>
            <w:tcBorders>
              <w:top w:val="nil"/>
              <w:left w:val="nil"/>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15.97</w:t>
            </w:r>
          </w:p>
        </w:tc>
        <w:tc>
          <w:tcPr>
            <w:tcW w:w="960" w:type="dxa"/>
            <w:tcBorders>
              <w:top w:val="nil"/>
              <w:left w:val="nil"/>
              <w:bottom w:val="single" w:sz="8" w:space="0" w:color="auto"/>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w:t>
            </w:r>
            <w:r>
              <w:rPr>
                <w:rFonts w:ascii="CMTT10" w:eastAsia="Times New Roman" w:hAnsi="CMTT10" w:cs="Times New Roman"/>
                <w:color w:val="000000"/>
                <w:sz w:val="20"/>
                <w:szCs w:val="20"/>
                <w:lang w:eastAsia="en-IE"/>
              </w:rPr>
              <w:t>0</w:t>
            </w:r>
          </w:p>
        </w:tc>
      </w:tr>
    </w:tbl>
    <w:p w:rsidR="002821CE" w:rsidRDefault="002821CE" w:rsidP="002821CE">
      <w:pPr>
        <w:autoSpaceDE w:val="0"/>
        <w:autoSpaceDN w:val="0"/>
        <w:adjustRightInd w:val="0"/>
        <w:spacing w:after="0" w:line="240" w:lineRule="auto"/>
        <w:jc w:val="center"/>
      </w:pPr>
    </w:p>
    <w:p w:rsidR="001034D3" w:rsidRDefault="002821CE" w:rsidP="002821CE">
      <w:pPr>
        <w:rPr>
          <w:rFonts w:ascii="Verdana" w:hAnsi="Verdana"/>
          <w:sz w:val="24"/>
          <w:szCs w:val="24"/>
        </w:rPr>
      </w:pPr>
      <w:r>
        <w:rPr>
          <w:rFonts w:ascii="Verdana" w:hAnsi="Verdana"/>
          <w:sz w:val="24"/>
          <w:szCs w:val="24"/>
        </w:rPr>
        <w:t>Here the treatment is the titration method and we are interested in determining if there is uniformity between each method. Four analysts performed an experiment using each of the titration methods. This allows the analysts to remove any effect due to the analysts.</w:t>
      </w:r>
    </w:p>
    <w:p w:rsidR="001034D3" w:rsidRDefault="001034D3" w:rsidP="002821CE">
      <w:pPr>
        <w:rPr>
          <w:rFonts w:ascii="Verdana" w:hAnsi="Verdana"/>
          <w:sz w:val="24"/>
          <w:szCs w:val="24"/>
        </w:rPr>
      </w:pPr>
      <w:r>
        <w:rPr>
          <w:rFonts w:ascii="Verdana" w:hAnsi="Verdana"/>
          <w:sz w:val="24"/>
          <w:szCs w:val="24"/>
        </w:rPr>
        <w:lastRenderedPageBreak/>
        <w:t xml:space="preserve">To construct the model using </w:t>
      </w:r>
      <w:r w:rsidRPr="001034D3">
        <w:rPr>
          <w:rFonts w:ascii="Verdana" w:hAnsi="Verdana"/>
          <w:b/>
          <w:i/>
          <w:sz w:val="24"/>
          <w:szCs w:val="24"/>
        </w:rPr>
        <w:t>R</w:t>
      </w:r>
      <w:r>
        <w:rPr>
          <w:rFonts w:ascii="Verdana" w:hAnsi="Verdana"/>
          <w:sz w:val="24"/>
          <w:szCs w:val="24"/>
        </w:rPr>
        <w:t xml:space="preserve">, we use the </w:t>
      </w:r>
      <w:proofErr w:type="spellStart"/>
      <w:proofErr w:type="gramStart"/>
      <w:r w:rsidRPr="001034D3">
        <w:rPr>
          <w:rFonts w:ascii="Courier New" w:hAnsi="Courier New" w:cs="Courier New"/>
          <w:sz w:val="28"/>
          <w:szCs w:val="28"/>
        </w:rPr>
        <w:t>aov</w:t>
      </w:r>
      <w:proofErr w:type="spellEnd"/>
      <w:r w:rsidRPr="001034D3">
        <w:rPr>
          <w:rFonts w:ascii="Courier New" w:hAnsi="Courier New" w:cs="Courier New"/>
          <w:sz w:val="28"/>
          <w:szCs w:val="28"/>
        </w:rPr>
        <w:t>(</w:t>
      </w:r>
      <w:proofErr w:type="gramEnd"/>
      <w:r w:rsidRPr="001034D3">
        <w:rPr>
          <w:rFonts w:ascii="Courier New" w:hAnsi="Courier New" w:cs="Courier New"/>
          <w:sz w:val="28"/>
          <w:szCs w:val="28"/>
        </w:rPr>
        <w:t>)</w:t>
      </w:r>
      <w:r>
        <w:rPr>
          <w:rFonts w:ascii="Verdana" w:hAnsi="Verdana"/>
          <w:sz w:val="24"/>
          <w:szCs w:val="24"/>
        </w:rPr>
        <w:t xml:space="preserve"> command, specifying the treatment factor and the blocking. Importantly we express the model additively (</w:t>
      </w:r>
      <w:proofErr w:type="spellStart"/>
      <w:r>
        <w:rPr>
          <w:rFonts w:ascii="Verdana" w:hAnsi="Verdana"/>
          <w:sz w:val="24"/>
          <w:szCs w:val="24"/>
        </w:rPr>
        <w:t>i.e</w:t>
      </w:r>
      <w:proofErr w:type="spellEnd"/>
      <w:r>
        <w:rPr>
          <w:rFonts w:ascii="Verdana" w:hAnsi="Verdana"/>
          <w:sz w:val="24"/>
          <w:szCs w:val="24"/>
        </w:rPr>
        <w:t>”</w:t>
      </w:r>
      <w:proofErr w:type="gramStart"/>
      <w:r>
        <w:rPr>
          <w:rFonts w:ascii="Verdana" w:hAnsi="Verdana"/>
          <w:sz w:val="24"/>
          <w:szCs w:val="24"/>
        </w:rPr>
        <w:t>. .</w:t>
      </w:r>
      <w:proofErr w:type="gramEnd"/>
      <w:r>
        <w:rPr>
          <w:rFonts w:ascii="Verdana" w:hAnsi="Verdana"/>
          <w:sz w:val="24"/>
          <w:szCs w:val="24"/>
        </w:rPr>
        <w:t xml:space="preserve"> </w:t>
      </w:r>
      <w:proofErr w:type="spellStart"/>
      <w:r w:rsidRPr="001034D3">
        <w:rPr>
          <w:rFonts w:ascii="Courier New" w:hAnsi="Courier New" w:cs="Courier New"/>
          <w:sz w:val="28"/>
          <w:szCs w:val="28"/>
        </w:rPr>
        <w:t>Meth+Anlt</w:t>
      </w:r>
      <w:proofErr w:type="spellEnd"/>
      <w:proofErr w:type="gramStart"/>
      <w:r>
        <w:rPr>
          <w:rFonts w:ascii="Courier New" w:hAnsi="Courier New" w:cs="Courier New"/>
          <w:sz w:val="28"/>
          <w:szCs w:val="28"/>
        </w:rPr>
        <w:t>..”</w:t>
      </w:r>
      <w:proofErr w:type="gramEnd"/>
      <w:r>
        <w:rPr>
          <w:rFonts w:ascii="Courier New" w:hAnsi="Courier New" w:cs="Courier New"/>
          <w:sz w:val="28"/>
          <w:szCs w:val="28"/>
        </w:rPr>
        <w:t xml:space="preserve"> ).</w:t>
      </w:r>
    </w:p>
    <w:tbl>
      <w:tblPr>
        <w:tblStyle w:val="MediumGrid1-Accent2"/>
        <w:tblW w:w="0" w:type="auto"/>
        <w:tblLook w:val="04A0"/>
      </w:tblPr>
      <w:tblGrid>
        <w:gridCol w:w="9242"/>
      </w:tblGrid>
      <w:tr w:rsidR="001034D3" w:rsidTr="002368B9">
        <w:trPr>
          <w:cnfStyle w:val="100000000000"/>
        </w:trPr>
        <w:tc>
          <w:tcPr>
            <w:cnfStyle w:val="001000000000"/>
            <w:tcW w:w="9242" w:type="dxa"/>
          </w:tcPr>
          <w:p w:rsidR="001034D3" w:rsidRDefault="001034D3" w:rsidP="002368B9">
            <w:pPr>
              <w:rPr>
                <w:rFonts w:ascii="Courier New" w:hAnsi="Courier New" w:cs="Courier New"/>
                <w:sz w:val="28"/>
                <w:szCs w:val="28"/>
              </w:rPr>
            </w:pPr>
          </w:p>
          <w:p w:rsidR="001034D3" w:rsidRDefault="001034D3" w:rsidP="002368B9">
            <w:pPr>
              <w:rPr>
                <w:rFonts w:ascii="Courier New" w:hAnsi="Courier New" w:cs="Courier New"/>
                <w:sz w:val="28"/>
                <w:szCs w:val="28"/>
              </w:rPr>
            </w:pPr>
            <w:r>
              <w:rPr>
                <w:rFonts w:ascii="Courier New" w:hAnsi="Courier New" w:cs="Courier New"/>
                <w:sz w:val="28"/>
                <w:szCs w:val="28"/>
              </w:rPr>
              <w:t xml:space="preserve">&gt; </w:t>
            </w:r>
            <w:r w:rsidRPr="001034D3">
              <w:rPr>
                <w:rFonts w:ascii="Courier New" w:hAnsi="Courier New" w:cs="Courier New"/>
                <w:sz w:val="28"/>
                <w:szCs w:val="28"/>
              </w:rPr>
              <w:t>Model=</w:t>
            </w:r>
            <w:proofErr w:type="spellStart"/>
            <w:r w:rsidRPr="001034D3">
              <w:rPr>
                <w:rFonts w:ascii="Courier New" w:hAnsi="Courier New" w:cs="Courier New"/>
                <w:sz w:val="28"/>
                <w:szCs w:val="28"/>
              </w:rPr>
              <w:t>aov</w:t>
            </w:r>
            <w:proofErr w:type="spellEnd"/>
            <w:r w:rsidRPr="001034D3">
              <w:rPr>
                <w:rFonts w:ascii="Courier New" w:hAnsi="Courier New" w:cs="Courier New"/>
                <w:sz w:val="28"/>
                <w:szCs w:val="28"/>
              </w:rPr>
              <w:t>(</w:t>
            </w:r>
            <w:proofErr w:type="spellStart"/>
            <w:r>
              <w:rPr>
                <w:rFonts w:ascii="Courier New" w:hAnsi="Courier New" w:cs="Courier New"/>
                <w:sz w:val="28"/>
                <w:szCs w:val="28"/>
              </w:rPr>
              <w:t>Titr</w:t>
            </w:r>
            <w:proofErr w:type="spellEnd"/>
            <w:r>
              <w:rPr>
                <w:rFonts w:ascii="Courier New" w:hAnsi="Courier New" w:cs="Courier New"/>
                <w:sz w:val="28"/>
                <w:szCs w:val="28"/>
              </w:rPr>
              <w:t xml:space="preserve"> </w:t>
            </w:r>
            <w:r w:rsidRPr="001034D3">
              <w:rPr>
                <w:rFonts w:ascii="Courier New" w:hAnsi="Courier New" w:cs="Courier New"/>
                <w:sz w:val="28"/>
                <w:szCs w:val="28"/>
              </w:rPr>
              <w:t>~</w:t>
            </w:r>
            <w:r>
              <w:rPr>
                <w:rFonts w:ascii="Courier New" w:hAnsi="Courier New" w:cs="Courier New"/>
                <w:sz w:val="28"/>
                <w:szCs w:val="28"/>
              </w:rPr>
              <w:t xml:space="preserve"> </w:t>
            </w:r>
            <w:r w:rsidRPr="001034D3">
              <w:rPr>
                <w:rFonts w:ascii="Courier New" w:hAnsi="Courier New" w:cs="Courier New"/>
                <w:sz w:val="28"/>
                <w:szCs w:val="28"/>
              </w:rPr>
              <w:t>Meth</w:t>
            </w:r>
            <w:r>
              <w:rPr>
                <w:rFonts w:ascii="Courier New" w:hAnsi="Courier New" w:cs="Courier New"/>
                <w:sz w:val="28"/>
                <w:szCs w:val="28"/>
              </w:rPr>
              <w:t xml:space="preserve"> </w:t>
            </w:r>
            <w:r w:rsidRPr="001034D3">
              <w:rPr>
                <w:rFonts w:ascii="Courier New" w:hAnsi="Courier New" w:cs="Courier New"/>
                <w:sz w:val="28"/>
                <w:szCs w:val="28"/>
              </w:rPr>
              <w:t>+</w:t>
            </w:r>
            <w:r>
              <w:rPr>
                <w:rFonts w:ascii="Courier New" w:hAnsi="Courier New" w:cs="Courier New"/>
                <w:sz w:val="28"/>
                <w:szCs w:val="28"/>
              </w:rPr>
              <w:t xml:space="preserve"> </w:t>
            </w:r>
            <w:proofErr w:type="spellStart"/>
            <w:r w:rsidRPr="001034D3">
              <w:rPr>
                <w:rFonts w:ascii="Courier New" w:hAnsi="Courier New" w:cs="Courier New"/>
                <w:sz w:val="28"/>
                <w:szCs w:val="28"/>
              </w:rPr>
              <w:t>Anlt</w:t>
            </w:r>
            <w:proofErr w:type="spellEnd"/>
            <w:r w:rsidRPr="001034D3">
              <w:rPr>
                <w:rFonts w:ascii="Courier New" w:hAnsi="Courier New" w:cs="Courier New"/>
                <w:sz w:val="28"/>
                <w:szCs w:val="28"/>
              </w:rPr>
              <w:t>)</w:t>
            </w:r>
          </w:p>
          <w:p w:rsidR="001034D3" w:rsidRDefault="001034D3" w:rsidP="002368B9">
            <w:pPr>
              <w:rPr>
                <w:rFonts w:ascii="Courier New" w:hAnsi="Courier New" w:cs="Courier New"/>
                <w:sz w:val="28"/>
                <w:szCs w:val="28"/>
              </w:rPr>
            </w:pPr>
            <w:r>
              <w:rPr>
                <w:rFonts w:ascii="Courier New" w:hAnsi="Courier New" w:cs="Courier New"/>
                <w:sz w:val="28"/>
                <w:szCs w:val="28"/>
              </w:rPr>
              <w:t>&gt;</w:t>
            </w:r>
          </w:p>
          <w:p w:rsidR="001034D3" w:rsidRPr="001034D3" w:rsidRDefault="001034D3" w:rsidP="002368B9">
            <w:pPr>
              <w:rPr>
                <w:rFonts w:ascii="Courier New" w:hAnsi="Courier New" w:cs="Courier New"/>
                <w:sz w:val="28"/>
                <w:szCs w:val="28"/>
              </w:rPr>
            </w:pPr>
            <w:r w:rsidRPr="001034D3">
              <w:rPr>
                <w:rFonts w:ascii="Courier New" w:hAnsi="Courier New" w:cs="Courier New"/>
                <w:sz w:val="28"/>
                <w:szCs w:val="28"/>
              </w:rPr>
              <w:t>&gt; summary(Model)</w:t>
            </w:r>
          </w:p>
          <w:p w:rsidR="001034D3" w:rsidRPr="001034D3" w:rsidRDefault="001034D3" w:rsidP="001034D3">
            <w:pPr>
              <w:rPr>
                <w:rFonts w:ascii="Courier New" w:hAnsi="Courier New" w:cs="Courier New"/>
                <w:sz w:val="28"/>
                <w:szCs w:val="28"/>
              </w:rPr>
            </w:pPr>
            <w:r w:rsidRPr="001034D3">
              <w:rPr>
                <w:rFonts w:ascii="Courier New" w:hAnsi="Courier New" w:cs="Courier New"/>
                <w:sz w:val="28"/>
                <w:szCs w:val="28"/>
              </w:rPr>
              <w:t xml:space="preserve">           </w:t>
            </w:r>
            <w:proofErr w:type="spellStart"/>
            <w:r w:rsidRPr="001034D3">
              <w:rPr>
                <w:rFonts w:ascii="Courier New" w:hAnsi="Courier New" w:cs="Courier New"/>
                <w:sz w:val="28"/>
                <w:szCs w:val="28"/>
              </w:rPr>
              <w:t>Df</w:t>
            </w:r>
            <w:proofErr w:type="spellEnd"/>
            <w:r w:rsidRPr="001034D3">
              <w:rPr>
                <w:rFonts w:ascii="Courier New" w:hAnsi="Courier New" w:cs="Courier New"/>
                <w:sz w:val="28"/>
                <w:szCs w:val="28"/>
              </w:rPr>
              <w:t xml:space="preserve">  Sum Sq  Mean Sq F value Pr(&gt;F)</w:t>
            </w:r>
          </w:p>
          <w:p w:rsidR="001034D3" w:rsidRPr="001034D3" w:rsidRDefault="001034D3" w:rsidP="001034D3">
            <w:pPr>
              <w:rPr>
                <w:rFonts w:ascii="Courier New" w:hAnsi="Courier New" w:cs="Courier New"/>
                <w:sz w:val="28"/>
                <w:szCs w:val="28"/>
              </w:rPr>
            </w:pPr>
            <w:r w:rsidRPr="001034D3">
              <w:rPr>
                <w:rFonts w:ascii="Courier New" w:hAnsi="Courier New" w:cs="Courier New"/>
                <w:sz w:val="28"/>
                <w:szCs w:val="28"/>
              </w:rPr>
              <w:t>Meth         2 0.01202 0.006008   1.279  0.345</w:t>
            </w:r>
          </w:p>
          <w:p w:rsidR="001034D3" w:rsidRPr="001034D3" w:rsidRDefault="001034D3" w:rsidP="001034D3">
            <w:pPr>
              <w:rPr>
                <w:rFonts w:ascii="Courier New" w:hAnsi="Courier New" w:cs="Courier New"/>
                <w:sz w:val="28"/>
                <w:szCs w:val="28"/>
              </w:rPr>
            </w:pPr>
            <w:proofErr w:type="spellStart"/>
            <w:r w:rsidRPr="001034D3">
              <w:rPr>
                <w:rFonts w:ascii="Courier New" w:hAnsi="Courier New" w:cs="Courier New"/>
                <w:sz w:val="28"/>
                <w:szCs w:val="28"/>
              </w:rPr>
              <w:t>Anlt</w:t>
            </w:r>
            <w:proofErr w:type="spellEnd"/>
            <w:r w:rsidRPr="001034D3">
              <w:rPr>
                <w:rFonts w:ascii="Courier New" w:hAnsi="Courier New" w:cs="Courier New"/>
                <w:sz w:val="28"/>
                <w:szCs w:val="28"/>
              </w:rPr>
              <w:t xml:space="preserve">         3 0.01109 0.003697   0.787  0.543</w:t>
            </w:r>
          </w:p>
          <w:p w:rsidR="001034D3" w:rsidRPr="001034D3" w:rsidRDefault="001034D3" w:rsidP="001034D3">
            <w:pPr>
              <w:rPr>
                <w:rFonts w:ascii="Courier New" w:hAnsi="Courier New" w:cs="Courier New"/>
                <w:sz w:val="28"/>
                <w:szCs w:val="28"/>
              </w:rPr>
            </w:pPr>
            <w:r w:rsidRPr="001034D3">
              <w:rPr>
                <w:rFonts w:ascii="Courier New" w:hAnsi="Courier New" w:cs="Courier New"/>
                <w:sz w:val="28"/>
                <w:szCs w:val="28"/>
              </w:rPr>
              <w:t xml:space="preserve">Residuals    6 0.02818 0.004697    </w:t>
            </w:r>
          </w:p>
          <w:p w:rsidR="001034D3" w:rsidRDefault="001034D3" w:rsidP="002368B9">
            <w:pPr>
              <w:rPr>
                <w:rFonts w:ascii="Verdana" w:hAnsi="Verdana"/>
                <w:b w:val="0"/>
                <w:sz w:val="24"/>
                <w:szCs w:val="24"/>
                <w:u w:val="single"/>
              </w:rPr>
            </w:pPr>
          </w:p>
        </w:tc>
      </w:tr>
    </w:tbl>
    <w:p w:rsidR="001034D3" w:rsidRDefault="001034D3" w:rsidP="001034D3">
      <w:pPr>
        <w:rPr>
          <w:rFonts w:ascii="Verdana" w:hAnsi="Verdana"/>
          <w:sz w:val="24"/>
          <w:szCs w:val="24"/>
        </w:rPr>
      </w:pPr>
    </w:p>
    <w:p w:rsidR="001034D3" w:rsidRDefault="001034D3" w:rsidP="001034D3">
      <w:pPr>
        <w:rPr>
          <w:rFonts w:ascii="Verdana" w:hAnsi="Verdana"/>
          <w:sz w:val="24"/>
          <w:szCs w:val="24"/>
        </w:rPr>
      </w:pPr>
      <w:r>
        <w:rPr>
          <w:rFonts w:ascii="Verdana" w:hAnsi="Verdana"/>
          <w:sz w:val="24"/>
          <w:szCs w:val="24"/>
        </w:rPr>
        <w:t xml:space="preserve">This additive model is the appropriate specification if an interaction is not assumed. A variant of this </w:t>
      </w:r>
      <w:r w:rsidRPr="001034D3">
        <w:rPr>
          <w:rFonts w:ascii="Verdana" w:hAnsi="Verdana"/>
          <w:b/>
          <w:i/>
          <w:sz w:val="24"/>
          <w:szCs w:val="24"/>
        </w:rPr>
        <w:t>R</w:t>
      </w:r>
      <w:r>
        <w:rPr>
          <w:rFonts w:ascii="Verdana" w:hAnsi="Verdana"/>
          <w:sz w:val="24"/>
          <w:szCs w:val="24"/>
        </w:rPr>
        <w:t xml:space="preserve"> implementation, that does specify an interaction term, will be discussed in due course.</w:t>
      </w:r>
    </w:p>
    <w:p w:rsidR="001034D3" w:rsidRDefault="001034D3" w:rsidP="001034D3">
      <w:pPr>
        <w:rPr>
          <w:rFonts w:ascii="Verdana" w:hAnsi="Verdana"/>
          <w:sz w:val="24"/>
          <w:szCs w:val="24"/>
        </w:rPr>
      </w:pPr>
      <w:r>
        <w:rPr>
          <w:rFonts w:ascii="Verdana" w:hAnsi="Verdana"/>
          <w:sz w:val="24"/>
          <w:szCs w:val="24"/>
        </w:rPr>
        <w:t xml:space="preserve">Our conclusion of this procedure is that there is no difference in the titration method. </w:t>
      </w:r>
    </w:p>
    <w:p w:rsidR="00B65D96" w:rsidRPr="00B65D96" w:rsidRDefault="00B65D96" w:rsidP="00B65D96">
      <w:pPr>
        <w:autoSpaceDE w:val="0"/>
        <w:autoSpaceDN w:val="0"/>
        <w:adjustRightInd w:val="0"/>
        <w:spacing w:after="0" w:line="240" w:lineRule="auto"/>
        <w:rPr>
          <w:rFonts w:ascii="Verdana" w:hAnsi="Verdana" w:cs="CMR12"/>
          <w:b/>
          <w:sz w:val="24"/>
          <w:szCs w:val="24"/>
          <w:u w:val="single"/>
        </w:rPr>
      </w:pPr>
      <w:r>
        <w:rPr>
          <w:rFonts w:ascii="Verdana" w:hAnsi="Verdana" w:cs="CMR12"/>
          <w:b/>
          <w:sz w:val="24"/>
          <w:szCs w:val="24"/>
          <w:u w:val="single"/>
        </w:rPr>
        <w:t>Example 2</w:t>
      </w:r>
    </w:p>
    <w:p w:rsidR="00B65D96" w:rsidRPr="00AD22F5" w:rsidRDefault="00B65D96" w:rsidP="00B65D96">
      <w:pPr>
        <w:autoSpaceDE w:val="0"/>
        <w:autoSpaceDN w:val="0"/>
        <w:adjustRightInd w:val="0"/>
        <w:spacing w:after="0" w:line="240" w:lineRule="auto"/>
        <w:rPr>
          <w:rFonts w:ascii="Times-Roman" w:hAnsi="Times-Roman" w:cs="Times-Roman"/>
          <w:b/>
          <w:color w:val="3B3839"/>
          <w:sz w:val="20"/>
          <w:szCs w:val="20"/>
          <w:u w:val="single"/>
        </w:rPr>
      </w:pPr>
    </w:p>
    <w:p w:rsidR="00B65D96" w:rsidRPr="00B65D96" w:rsidRDefault="00B65D96" w:rsidP="00B65D96">
      <w:pPr>
        <w:autoSpaceDE w:val="0"/>
        <w:autoSpaceDN w:val="0"/>
        <w:adjustRightInd w:val="0"/>
        <w:spacing w:after="0" w:line="240" w:lineRule="auto"/>
        <w:rPr>
          <w:rFonts w:ascii="Verdana" w:hAnsi="Verdana"/>
          <w:sz w:val="24"/>
          <w:szCs w:val="24"/>
        </w:rPr>
      </w:pPr>
      <w:r w:rsidRPr="00B65D96">
        <w:rPr>
          <w:rFonts w:ascii="Verdana" w:hAnsi="Verdana"/>
          <w:sz w:val="24"/>
          <w:szCs w:val="24"/>
        </w:rPr>
        <w:t>Assume that we have three fertilizers to be tested. We wish to determine if there is any difference is the mean</w:t>
      </w:r>
      <w:r>
        <w:rPr>
          <w:rFonts w:ascii="Times-Roman" w:hAnsi="Times-Roman" w:cs="Times-Roman"/>
          <w:color w:val="3B3839"/>
          <w:sz w:val="20"/>
          <w:szCs w:val="20"/>
        </w:rPr>
        <w:t xml:space="preserve"> </w:t>
      </w:r>
      <w:r w:rsidRPr="00B65D96">
        <w:rPr>
          <w:rFonts w:ascii="Verdana" w:hAnsi="Verdana"/>
          <w:sz w:val="24"/>
          <w:szCs w:val="24"/>
        </w:rPr>
        <w:t>yields for the three different types of fertilizer.</w:t>
      </w:r>
    </w:p>
    <w:p w:rsidR="00B65D96" w:rsidRPr="00B65D96" w:rsidRDefault="00B65D96" w:rsidP="00B65D96">
      <w:pPr>
        <w:rPr>
          <w:rFonts w:ascii="Verdana" w:hAnsi="Verdana"/>
          <w:sz w:val="24"/>
          <w:szCs w:val="24"/>
        </w:rPr>
      </w:pPr>
    </w:p>
    <w:tbl>
      <w:tblPr>
        <w:tblStyle w:val="TableGrid"/>
        <w:tblW w:w="0" w:type="auto"/>
        <w:tblLook w:val="04A0"/>
      </w:tblPr>
      <w:tblGrid>
        <w:gridCol w:w="1848"/>
        <w:gridCol w:w="1848"/>
        <w:gridCol w:w="1848"/>
        <w:gridCol w:w="1849"/>
        <w:gridCol w:w="1849"/>
      </w:tblGrid>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Fertilizer</w:t>
            </w:r>
          </w:p>
        </w:tc>
        <w:tc>
          <w:tcPr>
            <w:tcW w:w="7394" w:type="dxa"/>
            <w:gridSpan w:val="4"/>
          </w:tcPr>
          <w:p w:rsidR="00B65D96" w:rsidRPr="00B65D96" w:rsidRDefault="00B65D96" w:rsidP="002368B9">
            <w:pPr>
              <w:jc w:val="center"/>
              <w:rPr>
                <w:rFonts w:ascii="Verdana" w:hAnsi="Verdana"/>
                <w:sz w:val="24"/>
                <w:szCs w:val="24"/>
              </w:rPr>
            </w:pPr>
            <w:r w:rsidRPr="00B65D96">
              <w:rPr>
                <w:rFonts w:ascii="Verdana" w:hAnsi="Verdana"/>
                <w:sz w:val="24"/>
                <w:szCs w:val="24"/>
              </w:rPr>
              <w:t>Yields</w:t>
            </w:r>
          </w:p>
        </w:tc>
      </w:tr>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A</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5.6</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6.4</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6.6</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5.8</w:t>
            </w:r>
          </w:p>
        </w:tc>
      </w:tr>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B</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5.1</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6.2</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6.4</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5.7</w:t>
            </w:r>
          </w:p>
        </w:tc>
      </w:tr>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C</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5.0</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6.1</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5.8</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5.5</w:t>
            </w:r>
          </w:p>
        </w:tc>
      </w:tr>
    </w:tbl>
    <w:p w:rsidR="00B65D96" w:rsidRPr="00B65D96" w:rsidRDefault="00B65D96" w:rsidP="00B65D96">
      <w:pPr>
        <w:rPr>
          <w:rFonts w:ascii="Verdana" w:hAnsi="Verdana"/>
          <w:sz w:val="24"/>
          <w:szCs w:val="24"/>
        </w:rPr>
      </w:pPr>
    </w:p>
    <w:p w:rsidR="00B65D96" w:rsidRPr="00B65D96" w:rsidRDefault="00B65D96" w:rsidP="00B65D96">
      <w:pPr>
        <w:rPr>
          <w:rFonts w:ascii="Verdana" w:hAnsi="Verdana"/>
          <w:sz w:val="24"/>
          <w:szCs w:val="24"/>
        </w:rPr>
      </w:pPr>
      <w:r w:rsidRPr="00B65D96">
        <w:rPr>
          <w:rFonts w:ascii="Verdana" w:hAnsi="Verdana"/>
          <w:sz w:val="24"/>
          <w:szCs w:val="24"/>
        </w:rPr>
        <w:t xml:space="preserve">The following R output is a </w:t>
      </w:r>
      <w:r w:rsidRPr="00B65D96">
        <w:rPr>
          <w:rFonts w:ascii="Verdana" w:hAnsi="Verdana"/>
          <w:b/>
          <w:i/>
          <w:sz w:val="24"/>
          <w:szCs w:val="24"/>
        </w:rPr>
        <w:t>One</w:t>
      </w:r>
      <w:r>
        <w:rPr>
          <w:rFonts w:ascii="Verdana" w:hAnsi="Verdana"/>
          <w:b/>
          <w:i/>
          <w:sz w:val="24"/>
          <w:szCs w:val="24"/>
        </w:rPr>
        <w:t>-</w:t>
      </w:r>
      <w:r w:rsidRPr="00B65D96">
        <w:rPr>
          <w:rFonts w:ascii="Verdana" w:hAnsi="Verdana"/>
          <w:b/>
          <w:i/>
          <w:sz w:val="24"/>
          <w:szCs w:val="24"/>
        </w:rPr>
        <w:t xml:space="preserve">Way ANOVA </w:t>
      </w:r>
      <w:r w:rsidRPr="00B65D96">
        <w:rPr>
          <w:rFonts w:ascii="Verdana" w:hAnsi="Verdana"/>
          <w:sz w:val="24"/>
          <w:szCs w:val="24"/>
        </w:rPr>
        <w:t>procedure for testing multiple means.</w:t>
      </w:r>
    </w:p>
    <w:tbl>
      <w:tblPr>
        <w:tblStyle w:val="MediumGrid1-Accent2"/>
        <w:tblW w:w="0" w:type="auto"/>
        <w:tblLook w:val="04A0"/>
      </w:tblPr>
      <w:tblGrid>
        <w:gridCol w:w="9242"/>
      </w:tblGrid>
      <w:tr w:rsidR="00B65D96" w:rsidTr="002368B9">
        <w:trPr>
          <w:cnfStyle w:val="100000000000"/>
        </w:trPr>
        <w:tc>
          <w:tcPr>
            <w:cnfStyle w:val="001000000000"/>
            <w:tcW w:w="9242" w:type="dxa"/>
          </w:tcPr>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 xml:space="preserve">&gt; </w:t>
            </w:r>
            <w:proofErr w:type="spellStart"/>
            <w:r w:rsidRPr="00B65D96">
              <w:rPr>
                <w:rFonts w:ascii="Courier New" w:hAnsi="Courier New" w:cs="Courier New"/>
                <w:sz w:val="28"/>
                <w:szCs w:val="28"/>
              </w:rPr>
              <w:t>ModelA</w:t>
            </w:r>
            <w:proofErr w:type="spellEnd"/>
            <w:r w:rsidRPr="00B65D96">
              <w:rPr>
                <w:rFonts w:ascii="Courier New" w:hAnsi="Courier New" w:cs="Courier New"/>
                <w:sz w:val="28"/>
                <w:szCs w:val="28"/>
              </w:rPr>
              <w:t>=</w:t>
            </w:r>
            <w:proofErr w:type="spellStart"/>
            <w:r w:rsidRPr="00B65D96">
              <w:rPr>
                <w:rFonts w:ascii="Courier New" w:hAnsi="Courier New" w:cs="Courier New"/>
                <w:sz w:val="28"/>
                <w:szCs w:val="28"/>
              </w:rPr>
              <w:t>aov</w:t>
            </w:r>
            <w:proofErr w:type="spellEnd"/>
            <w:r w:rsidRPr="00B65D96">
              <w:rPr>
                <w:rFonts w:ascii="Courier New" w:hAnsi="Courier New" w:cs="Courier New"/>
                <w:sz w:val="28"/>
                <w:szCs w:val="28"/>
              </w:rPr>
              <w:t>(Yield~Fert,Study1)</w:t>
            </w:r>
          </w:p>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&gt;</w:t>
            </w:r>
          </w:p>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&gt; summary(</w:t>
            </w:r>
            <w:proofErr w:type="spellStart"/>
            <w:r w:rsidRPr="00B65D96">
              <w:rPr>
                <w:rFonts w:ascii="Courier New" w:hAnsi="Courier New" w:cs="Courier New"/>
                <w:sz w:val="28"/>
                <w:szCs w:val="28"/>
              </w:rPr>
              <w:t>ModelA</w:t>
            </w:r>
            <w:proofErr w:type="spellEnd"/>
            <w:r w:rsidRPr="00B65D96">
              <w:rPr>
                <w:rFonts w:ascii="Courier New" w:hAnsi="Courier New" w:cs="Courier New"/>
                <w:sz w:val="28"/>
                <w:szCs w:val="28"/>
              </w:rPr>
              <w:t>)</w:t>
            </w:r>
          </w:p>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 xml:space="preserve">            </w:t>
            </w:r>
            <w:proofErr w:type="spellStart"/>
            <w:r w:rsidRPr="00B65D96">
              <w:rPr>
                <w:rFonts w:ascii="Courier New" w:hAnsi="Courier New" w:cs="Courier New"/>
                <w:sz w:val="28"/>
                <w:szCs w:val="28"/>
              </w:rPr>
              <w:t>Df</w:t>
            </w:r>
            <w:proofErr w:type="spellEnd"/>
            <w:r w:rsidRPr="00B65D96">
              <w:rPr>
                <w:rFonts w:ascii="Courier New" w:hAnsi="Courier New" w:cs="Courier New"/>
                <w:sz w:val="28"/>
                <w:szCs w:val="28"/>
              </w:rPr>
              <w:t xml:space="preserve"> Sum Sq Mean Sq F value Pr(&gt;F)</w:t>
            </w:r>
          </w:p>
          <w:p w:rsidR="00B65D96" w:rsidRPr="00B65D96" w:rsidRDefault="00B65D96" w:rsidP="002368B9">
            <w:pPr>
              <w:rPr>
                <w:rFonts w:ascii="Courier New" w:hAnsi="Courier New" w:cs="Courier New"/>
                <w:sz w:val="28"/>
                <w:szCs w:val="28"/>
              </w:rPr>
            </w:pPr>
            <w:proofErr w:type="spellStart"/>
            <w:r w:rsidRPr="00B65D96">
              <w:rPr>
                <w:rFonts w:ascii="Courier New" w:hAnsi="Courier New" w:cs="Courier New"/>
                <w:sz w:val="28"/>
                <w:szCs w:val="28"/>
              </w:rPr>
              <w:t>Fert</w:t>
            </w:r>
            <w:proofErr w:type="spellEnd"/>
            <w:r w:rsidRPr="00B65D96">
              <w:rPr>
                <w:rFonts w:ascii="Courier New" w:hAnsi="Courier New" w:cs="Courier New"/>
                <w:sz w:val="28"/>
                <w:szCs w:val="28"/>
              </w:rPr>
              <w:t xml:space="preserve">         2   0.50  0.2500   0.957   0.42</w:t>
            </w:r>
          </w:p>
          <w:p w:rsidR="00B65D96" w:rsidRDefault="00B65D96" w:rsidP="002368B9">
            <w:r w:rsidRPr="00B65D96">
              <w:rPr>
                <w:rFonts w:ascii="Courier New" w:hAnsi="Courier New" w:cs="Courier New"/>
                <w:sz w:val="28"/>
                <w:szCs w:val="28"/>
              </w:rPr>
              <w:t>Residuals    9   2.35  0.2611</w:t>
            </w:r>
            <w:r w:rsidRPr="00AD22F5">
              <w:rPr>
                <w:rFonts w:ascii="Courier New" w:hAnsi="Courier New" w:cs="Courier New"/>
              </w:rPr>
              <w:t xml:space="preserve">  </w:t>
            </w:r>
          </w:p>
        </w:tc>
      </w:tr>
    </w:tbl>
    <w:p w:rsidR="00B65D96" w:rsidRDefault="00B65D96" w:rsidP="00B65D96"/>
    <w:p w:rsidR="00B65D96" w:rsidRDefault="00B65D96" w:rsidP="00B65D96">
      <w:pPr>
        <w:rPr>
          <w:rFonts w:ascii="Verdana" w:hAnsi="Verdana"/>
          <w:sz w:val="24"/>
          <w:szCs w:val="24"/>
        </w:rPr>
      </w:pPr>
      <w:r w:rsidRPr="00B65D96">
        <w:rPr>
          <w:rFonts w:ascii="Verdana" w:hAnsi="Verdana"/>
          <w:sz w:val="24"/>
          <w:szCs w:val="24"/>
        </w:rPr>
        <w:lastRenderedPageBreak/>
        <w:t>Further to this test, we conclude that there are no differences between the three fertilizer types.</w:t>
      </w:r>
    </w:p>
    <w:p w:rsidR="00B65D96" w:rsidRDefault="00B65D96" w:rsidP="00B65D96">
      <w:pPr>
        <w:rPr>
          <w:rFonts w:ascii="Verdana" w:hAnsi="Verdana"/>
          <w:sz w:val="24"/>
          <w:szCs w:val="24"/>
        </w:rPr>
      </w:pPr>
      <w:proofErr w:type="gramStart"/>
      <w:r>
        <w:rPr>
          <w:rFonts w:ascii="Verdana" w:hAnsi="Verdana"/>
          <w:sz w:val="24"/>
          <w:szCs w:val="24"/>
        </w:rPr>
        <w:t>An agricultural analysts points</w:t>
      </w:r>
      <w:proofErr w:type="gramEnd"/>
      <w:r>
        <w:rPr>
          <w:rFonts w:ascii="Verdana" w:hAnsi="Verdana"/>
          <w:sz w:val="24"/>
          <w:szCs w:val="24"/>
        </w:rPr>
        <w:t xml:space="preserve"> out that there should a blocking to account for the different types of field. Field 1 is very boggy, Field 2 and Field 3 are reasonably good, and Field 4 is full of rocks. </w:t>
      </w:r>
    </w:p>
    <w:p w:rsidR="00B65D96" w:rsidRPr="00B65D96" w:rsidRDefault="00B65D96" w:rsidP="00B65D96">
      <w:pPr>
        <w:rPr>
          <w:rFonts w:ascii="Verdana" w:hAnsi="Verdana"/>
          <w:sz w:val="24"/>
          <w:szCs w:val="24"/>
        </w:rPr>
      </w:pPr>
      <w:r>
        <w:rPr>
          <w:rFonts w:ascii="Verdana" w:hAnsi="Verdana"/>
          <w:sz w:val="24"/>
          <w:szCs w:val="24"/>
        </w:rPr>
        <w:t>The procedure was carried out again. Three plots of land in each field were given the fertilizer treatment.</w:t>
      </w:r>
    </w:p>
    <w:p w:rsidR="00B65D96" w:rsidRDefault="00B65D96" w:rsidP="00B65D96">
      <w:r w:rsidRPr="00AD22F5">
        <w:rPr>
          <w:noProof/>
          <w:lang w:eastAsia="en-IE"/>
        </w:rPr>
        <w:drawing>
          <wp:inline distT="0" distB="0" distL="0" distR="0">
            <wp:extent cx="5233406" cy="1238250"/>
            <wp:effectExtent l="19050" t="0" r="534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9885" t="57336" r="22552" b="30805"/>
                    <a:stretch>
                      <a:fillRect/>
                    </a:stretch>
                  </pic:blipFill>
                  <pic:spPr bwMode="auto">
                    <a:xfrm>
                      <a:off x="0" y="0"/>
                      <a:ext cx="5233406" cy="1238250"/>
                    </a:xfrm>
                    <a:prstGeom prst="rect">
                      <a:avLst/>
                    </a:prstGeom>
                    <a:noFill/>
                    <a:ln w="9525">
                      <a:noFill/>
                      <a:miter lim="800000"/>
                      <a:headEnd/>
                      <a:tailEnd/>
                    </a:ln>
                  </pic:spPr>
                </pic:pic>
              </a:graphicData>
            </a:graphic>
          </wp:inline>
        </w:drawing>
      </w:r>
      <w:r w:rsidRPr="007E5810">
        <w:t xml:space="preserve"> </w:t>
      </w:r>
    </w:p>
    <w:p w:rsidR="00B65D96" w:rsidRPr="00B65D96" w:rsidRDefault="00B65D96" w:rsidP="00B65D96">
      <w:pPr>
        <w:rPr>
          <w:rFonts w:ascii="Verdana" w:hAnsi="Verdana"/>
          <w:sz w:val="24"/>
          <w:szCs w:val="24"/>
        </w:rPr>
      </w:pPr>
      <w:r w:rsidRPr="00B65D96">
        <w:rPr>
          <w:rFonts w:ascii="Verdana" w:hAnsi="Verdana"/>
          <w:sz w:val="24"/>
          <w:szCs w:val="24"/>
        </w:rPr>
        <w:t xml:space="preserve">The following R output is a </w:t>
      </w:r>
      <w:r w:rsidRPr="00B65D96">
        <w:rPr>
          <w:rFonts w:ascii="Verdana" w:hAnsi="Verdana"/>
          <w:b/>
          <w:i/>
          <w:sz w:val="24"/>
          <w:szCs w:val="24"/>
        </w:rPr>
        <w:t>Two</w:t>
      </w:r>
      <w:r>
        <w:rPr>
          <w:rFonts w:ascii="Verdana" w:hAnsi="Verdana"/>
          <w:b/>
          <w:i/>
          <w:sz w:val="24"/>
          <w:szCs w:val="24"/>
        </w:rPr>
        <w:t>-</w:t>
      </w:r>
      <w:r w:rsidRPr="00B65D96">
        <w:rPr>
          <w:rFonts w:ascii="Verdana" w:hAnsi="Verdana"/>
          <w:b/>
          <w:i/>
          <w:sz w:val="24"/>
          <w:szCs w:val="24"/>
        </w:rPr>
        <w:t>Way ANOVA</w:t>
      </w:r>
      <w:r w:rsidRPr="00B65D96">
        <w:rPr>
          <w:rFonts w:ascii="Verdana" w:hAnsi="Verdana"/>
          <w:sz w:val="24"/>
          <w:szCs w:val="24"/>
        </w:rPr>
        <w:t xml:space="preserve"> procedure for analysing this data</w:t>
      </w:r>
    </w:p>
    <w:tbl>
      <w:tblPr>
        <w:tblStyle w:val="MediumGrid1-Accent2"/>
        <w:tblW w:w="0" w:type="auto"/>
        <w:tblLook w:val="04A0"/>
      </w:tblPr>
      <w:tblGrid>
        <w:gridCol w:w="9242"/>
      </w:tblGrid>
      <w:tr w:rsidR="00B65D96" w:rsidTr="002368B9">
        <w:trPr>
          <w:cnfStyle w:val="100000000000"/>
        </w:trPr>
        <w:tc>
          <w:tcPr>
            <w:cnfStyle w:val="001000000000"/>
            <w:tcW w:w="9242" w:type="dxa"/>
          </w:tcPr>
          <w:p w:rsidR="00B65D96" w:rsidRPr="007E5810" w:rsidRDefault="00B65D96" w:rsidP="002368B9">
            <w:pPr>
              <w:rPr>
                <w:rFonts w:ascii="Courier New" w:hAnsi="Courier New" w:cs="Courier New"/>
              </w:rPr>
            </w:pPr>
            <w:r w:rsidRPr="007E5810">
              <w:rPr>
                <w:rFonts w:ascii="Courier New" w:hAnsi="Courier New" w:cs="Courier New"/>
              </w:rPr>
              <w:t>&gt; summary(Model2)</w:t>
            </w:r>
          </w:p>
          <w:p w:rsidR="00B65D96" w:rsidRPr="007E5810" w:rsidRDefault="00B65D96" w:rsidP="002368B9">
            <w:pPr>
              <w:rPr>
                <w:rFonts w:ascii="Courier New" w:hAnsi="Courier New" w:cs="Courier New"/>
              </w:rPr>
            </w:pPr>
            <w:r w:rsidRPr="007E5810">
              <w:rPr>
                <w:rFonts w:ascii="Courier New" w:hAnsi="Courier New" w:cs="Courier New"/>
              </w:rPr>
              <w:t xml:space="preserve">            </w:t>
            </w:r>
            <w:proofErr w:type="spellStart"/>
            <w:r w:rsidRPr="007E5810">
              <w:rPr>
                <w:rFonts w:ascii="Courier New" w:hAnsi="Courier New" w:cs="Courier New"/>
              </w:rPr>
              <w:t>Df</w:t>
            </w:r>
            <w:proofErr w:type="spellEnd"/>
            <w:r w:rsidRPr="007E5810">
              <w:rPr>
                <w:rFonts w:ascii="Courier New" w:hAnsi="Courier New" w:cs="Courier New"/>
              </w:rPr>
              <w:t xml:space="preserve"> Sum Sq Mean Sq F value   Pr(&gt;F)    </w:t>
            </w:r>
          </w:p>
          <w:p w:rsidR="00B65D96" w:rsidRPr="007E5810" w:rsidRDefault="00B65D96" w:rsidP="002368B9">
            <w:pPr>
              <w:rPr>
                <w:rFonts w:ascii="Courier New" w:hAnsi="Courier New" w:cs="Courier New"/>
              </w:rPr>
            </w:pPr>
            <w:proofErr w:type="spellStart"/>
            <w:r w:rsidRPr="007E5810">
              <w:rPr>
                <w:rFonts w:ascii="Courier New" w:hAnsi="Courier New" w:cs="Courier New"/>
              </w:rPr>
              <w:t>Fert</w:t>
            </w:r>
            <w:proofErr w:type="spellEnd"/>
            <w:r w:rsidRPr="007E5810">
              <w:rPr>
                <w:rFonts w:ascii="Courier New" w:hAnsi="Courier New" w:cs="Courier New"/>
              </w:rPr>
              <w:t xml:space="preserve">         2 0.5000  0.2500   10.23 0.011667 *  </w:t>
            </w:r>
          </w:p>
          <w:p w:rsidR="00B65D96" w:rsidRPr="007E5810" w:rsidRDefault="00B65D96" w:rsidP="002368B9">
            <w:pPr>
              <w:rPr>
                <w:rFonts w:ascii="Courier New" w:hAnsi="Courier New" w:cs="Courier New"/>
              </w:rPr>
            </w:pPr>
            <w:r w:rsidRPr="007E5810">
              <w:rPr>
                <w:rFonts w:ascii="Courier New" w:hAnsi="Courier New" w:cs="Courier New"/>
              </w:rPr>
              <w:t>Block        3 2.2033  0.7344   30.05 0.000519 ***</w:t>
            </w:r>
          </w:p>
          <w:p w:rsidR="00B65D96" w:rsidRDefault="00B65D96" w:rsidP="002368B9">
            <w:r w:rsidRPr="007E5810">
              <w:rPr>
                <w:rFonts w:ascii="Courier New" w:hAnsi="Courier New" w:cs="Courier New"/>
              </w:rPr>
              <w:t xml:space="preserve">Residuals    6 0.1467  0.0244                     </w:t>
            </w:r>
          </w:p>
        </w:tc>
      </w:tr>
    </w:tbl>
    <w:p w:rsidR="00B65D96" w:rsidRPr="00B65D96" w:rsidRDefault="00B65D96" w:rsidP="00B65D96">
      <w:pPr>
        <w:rPr>
          <w:rFonts w:ascii="Verdana" w:hAnsi="Verdana"/>
          <w:sz w:val="24"/>
          <w:szCs w:val="24"/>
        </w:rPr>
      </w:pPr>
    </w:p>
    <w:p w:rsidR="00B65D96" w:rsidRDefault="00B65D96" w:rsidP="00B65D96">
      <w:pPr>
        <w:rPr>
          <w:rFonts w:ascii="Verdana" w:hAnsi="Verdana"/>
          <w:sz w:val="24"/>
          <w:szCs w:val="24"/>
        </w:rPr>
      </w:pPr>
      <w:r w:rsidRPr="00B65D96">
        <w:rPr>
          <w:rFonts w:ascii="Verdana" w:hAnsi="Verdana"/>
          <w:sz w:val="24"/>
          <w:szCs w:val="24"/>
        </w:rPr>
        <w:t>This output informs us that there is a difference between fertilizer treatments, contrary to what was previously thought.</w:t>
      </w:r>
    </w:p>
    <w:p w:rsidR="000267D1" w:rsidRPr="00B65D96" w:rsidRDefault="000267D1" w:rsidP="00B65D96">
      <w:pPr>
        <w:rPr>
          <w:rFonts w:ascii="Verdana" w:hAnsi="Verdana"/>
          <w:sz w:val="24"/>
          <w:szCs w:val="24"/>
        </w:rPr>
      </w:pPr>
    </w:p>
    <w:p w:rsidR="001034D3" w:rsidRPr="001034D3" w:rsidRDefault="001034D3" w:rsidP="001034D3">
      <w:pPr>
        <w:rPr>
          <w:rFonts w:ascii="Verdana" w:hAnsi="Verdana"/>
          <w:sz w:val="24"/>
          <w:szCs w:val="24"/>
        </w:rPr>
      </w:pPr>
    </w:p>
    <w:sectPr w:rsidR="001034D3" w:rsidRPr="001034D3"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FAE"/>
    <w:multiLevelType w:val="hybridMultilevel"/>
    <w:tmpl w:val="EB56C8C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9AA1B7D"/>
    <w:multiLevelType w:val="hybridMultilevel"/>
    <w:tmpl w:val="EB56C8C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6675132"/>
    <w:multiLevelType w:val="hybridMultilevel"/>
    <w:tmpl w:val="EB56C8C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9018D"/>
    <w:rsid w:val="000267D1"/>
    <w:rsid w:val="00041705"/>
    <w:rsid w:val="001034D3"/>
    <w:rsid w:val="001348FA"/>
    <w:rsid w:val="001B506A"/>
    <w:rsid w:val="001C5319"/>
    <w:rsid w:val="002821CE"/>
    <w:rsid w:val="002A7E08"/>
    <w:rsid w:val="002E306F"/>
    <w:rsid w:val="002F36A0"/>
    <w:rsid w:val="004254FA"/>
    <w:rsid w:val="0049018D"/>
    <w:rsid w:val="004A3E04"/>
    <w:rsid w:val="00652B57"/>
    <w:rsid w:val="006E7F63"/>
    <w:rsid w:val="007C40A0"/>
    <w:rsid w:val="007F2604"/>
    <w:rsid w:val="00841181"/>
    <w:rsid w:val="008E4E09"/>
    <w:rsid w:val="00AE54DA"/>
    <w:rsid w:val="00AF75BE"/>
    <w:rsid w:val="00B65D96"/>
    <w:rsid w:val="00BB0539"/>
    <w:rsid w:val="00BE3187"/>
    <w:rsid w:val="00C9680D"/>
    <w:rsid w:val="00D9197A"/>
    <w:rsid w:val="00DB1BC1"/>
    <w:rsid w:val="00E714F9"/>
    <w:rsid w:val="00EE39F7"/>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E04"/>
    <w:rPr>
      <w:rFonts w:ascii="Tahoma" w:hAnsi="Tahoma" w:cs="Tahoma"/>
      <w:sz w:val="16"/>
      <w:szCs w:val="16"/>
    </w:rPr>
  </w:style>
  <w:style w:type="table" w:styleId="MediumGrid1-Accent2">
    <w:name w:val="Medium Grid 1 Accent 2"/>
    <w:basedOn w:val="TableNormal"/>
    <w:uiPriority w:val="67"/>
    <w:rsid w:val="0004170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TableGrid">
    <w:name w:val="Table Grid"/>
    <w:basedOn w:val="TableNormal"/>
    <w:uiPriority w:val="59"/>
    <w:rsid w:val="0004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1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cp:lastModifiedBy>
  <cp:revision>3</cp:revision>
  <dcterms:created xsi:type="dcterms:W3CDTF">2012-11-19T09:51:00Z</dcterms:created>
  <dcterms:modified xsi:type="dcterms:W3CDTF">2016-10-05T18:53:00Z</dcterms:modified>
</cp:coreProperties>
</file>