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1D04E3">
      <w:r>
        <w:t>MA4605 Experimental Design Questions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13758" w:rsidTr="00813758">
        <w:tc>
          <w:tcPr>
            <w:tcW w:w="9242" w:type="dxa"/>
          </w:tcPr>
          <w:p w:rsidR="00813758" w:rsidRDefault="00813758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Design of experiments and analysis of variance - one and two way ANOVA, interaction, factorial designs, responses and factors,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Plackett-Burman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design, response surface methodology.</w:t>
            </w:r>
          </w:p>
        </w:tc>
      </w:tr>
    </w:tbl>
    <w:p w:rsidR="00813758" w:rsidRDefault="00813758"/>
    <w:sectPr w:rsidR="0081375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4E3"/>
    <w:rsid w:val="001348FA"/>
    <w:rsid w:val="001B506A"/>
    <w:rsid w:val="001C5319"/>
    <w:rsid w:val="001D04E3"/>
    <w:rsid w:val="002A7E08"/>
    <w:rsid w:val="002E306F"/>
    <w:rsid w:val="004254FA"/>
    <w:rsid w:val="00652B57"/>
    <w:rsid w:val="006917FA"/>
    <w:rsid w:val="006E7F63"/>
    <w:rsid w:val="007C40A0"/>
    <w:rsid w:val="00813758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2012-11-06T14:08:00Z</dcterms:created>
  <dcterms:modified xsi:type="dcterms:W3CDTF">2012-11-06T16:50:00Z</dcterms:modified>
</cp:coreProperties>
</file>