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44" w:rsidRDefault="00BB2044" w:rsidP="00BB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" w:eastAsia="en-IE"/>
        </w:rPr>
      </w:pPr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Limit of Blank (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), Limit of Detection (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LoD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), and Lim</w:t>
      </w:r>
      <w:bookmarkStart w:id="0" w:name="_GoBack"/>
      <w:bookmarkEnd w:id="0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it of Quantitation (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LoQ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) are terms used to describe the smallest concentration of a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measurand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that can be reliably measured by an analytical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procedure.</w:t>
      </w:r>
      <w:proofErr w:type="spellEnd"/>
    </w:p>
    <w:p w:rsidR="00BB2044" w:rsidRPr="00BB2044" w:rsidRDefault="00BB2044" w:rsidP="00BB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" w:eastAsia="en-IE"/>
        </w:rPr>
      </w:pP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is the highest </w:t>
      </w:r>
      <w:r w:rsidRPr="00BB2044">
        <w:rPr>
          <w:rFonts w:ascii="Verdana" w:eastAsia="Times New Roman" w:hAnsi="Verdana" w:cs="Times New Roman"/>
          <w:i/>
          <w:iCs/>
          <w:sz w:val="24"/>
          <w:szCs w:val="24"/>
          <w:lang w:val="en" w:eastAsia="en-IE"/>
        </w:rPr>
        <w:t>apparent</w:t>
      </w:r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analyte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concentration expected to be found when replicates of a blank sample containing no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analyte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are tested.</w:t>
      </w:r>
    </w:p>
    <w:p w:rsidR="00BB2044" w:rsidRPr="00BB2044" w:rsidRDefault="00BB2044" w:rsidP="00BB2044">
      <w:pPr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</w:pPr>
      <w:proofErr w:type="spellStart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 xml:space="preserve"> = </w:t>
      </w:r>
      <w:proofErr w:type="spellStart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mean</w:t>
      </w:r>
      <w:r w:rsidRPr="00BB2044">
        <w:rPr>
          <w:rFonts w:ascii="Verdana" w:eastAsia="Times New Roman" w:hAnsi="Verdana" w:cs="Times New Roman"/>
          <w:b/>
          <w:i/>
          <w:sz w:val="24"/>
          <w:szCs w:val="24"/>
          <w:vertAlign w:val="subscript"/>
          <w:lang w:val="en" w:eastAsia="en-IE"/>
        </w:rPr>
        <w:t>blank</w:t>
      </w:r>
      <w:proofErr w:type="spellEnd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 xml:space="preserve"> + 1.645(</w:t>
      </w:r>
      <w:proofErr w:type="spellStart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SD</w:t>
      </w:r>
      <w:r w:rsidRPr="00BB2044">
        <w:rPr>
          <w:rFonts w:ascii="Verdana" w:eastAsia="Times New Roman" w:hAnsi="Verdana" w:cs="Times New Roman"/>
          <w:b/>
          <w:i/>
          <w:sz w:val="24"/>
          <w:szCs w:val="24"/>
          <w:vertAlign w:val="subscript"/>
          <w:lang w:val="en" w:eastAsia="en-IE"/>
        </w:rPr>
        <w:t>blank</w:t>
      </w:r>
      <w:proofErr w:type="spellEnd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)</w:t>
      </w:r>
    </w:p>
    <w:p w:rsidR="00BB2044" w:rsidRPr="00BB2044" w:rsidRDefault="00BB2044" w:rsidP="00BB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" w:eastAsia="en-IE"/>
        </w:rPr>
      </w:pP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LoD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is the lowest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analyte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concentration likely to be reliably distinguished from the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and at which detection is feasible.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LoD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is determined by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utilising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both the measured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and test replicates of a sample known to contain a low concentration of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analyte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.</w:t>
      </w:r>
    </w:p>
    <w:p w:rsidR="00BB2044" w:rsidRPr="00BB2044" w:rsidRDefault="00BB2044" w:rsidP="00BB2044">
      <w:pPr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</w:pPr>
      <w:proofErr w:type="spellStart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LoD</w:t>
      </w:r>
      <w:proofErr w:type="spellEnd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 xml:space="preserve"> = </w:t>
      </w:r>
      <w:proofErr w:type="spellStart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LoB</w:t>
      </w:r>
      <w:proofErr w:type="spellEnd"/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 xml:space="preserve"> + 1.645(SD </w:t>
      </w:r>
      <w:r w:rsidRPr="00BB2044">
        <w:rPr>
          <w:rFonts w:ascii="Verdana" w:eastAsia="Times New Roman" w:hAnsi="Verdana" w:cs="Times New Roman"/>
          <w:b/>
          <w:i/>
          <w:sz w:val="24"/>
          <w:szCs w:val="24"/>
          <w:vertAlign w:val="subscript"/>
          <w:lang w:val="en" w:eastAsia="en-IE"/>
        </w:rPr>
        <w:t>low concentration sample</w:t>
      </w:r>
      <w:r w:rsidRPr="00BB2044">
        <w:rPr>
          <w:rFonts w:ascii="Verdana" w:eastAsia="Times New Roman" w:hAnsi="Verdana" w:cs="Times New Roman"/>
          <w:b/>
          <w:i/>
          <w:sz w:val="24"/>
          <w:szCs w:val="24"/>
          <w:lang w:val="en" w:eastAsia="en-IE"/>
        </w:rPr>
        <w:t>)</w:t>
      </w:r>
    </w:p>
    <w:p w:rsidR="00BB2044" w:rsidRPr="00BB2044" w:rsidRDefault="00BB2044" w:rsidP="00BB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" w:eastAsia="en-IE"/>
        </w:rPr>
      </w:pP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LoQ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is the lowest concentration at which the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analyte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can not only be reliably detected but at which some predefined goals for bias and imprecision are met. The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LoQ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may be equivalent to the </w:t>
      </w:r>
      <w:proofErr w:type="spellStart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>LoD</w:t>
      </w:r>
      <w:proofErr w:type="spellEnd"/>
      <w:r w:rsidRPr="00BB2044">
        <w:rPr>
          <w:rFonts w:ascii="Verdana" w:eastAsia="Times New Roman" w:hAnsi="Verdana" w:cs="Times New Roman"/>
          <w:sz w:val="24"/>
          <w:szCs w:val="24"/>
          <w:lang w:val="en" w:eastAsia="en-IE"/>
        </w:rPr>
        <w:t xml:space="preserve"> or it could be at a much higher concentration.</w:t>
      </w:r>
    </w:p>
    <w:p w:rsidR="00630B5A" w:rsidRPr="00BB2044" w:rsidRDefault="00BB2044">
      <w:pPr>
        <w:rPr>
          <w:rFonts w:ascii="Verdana" w:hAnsi="Verdana"/>
        </w:rPr>
      </w:pPr>
    </w:p>
    <w:sectPr w:rsidR="00630B5A" w:rsidRPr="00BB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AD4"/>
    <w:multiLevelType w:val="multilevel"/>
    <w:tmpl w:val="430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44"/>
    <w:rsid w:val="0052366E"/>
    <w:rsid w:val="00811413"/>
    <w:rsid w:val="00B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20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2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9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5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0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2012-09-23T22:06:00Z</dcterms:created>
  <dcterms:modified xsi:type="dcterms:W3CDTF">2012-09-23T22:09:00Z</dcterms:modified>
</cp:coreProperties>
</file>