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E5" w:rsidRDefault="00601EE5" w:rsidP="00601EE5">
      <w:pPr>
        <w:outlineLvl w:val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01EE5" w:rsidRDefault="00601EE5" w:rsidP="00601EE5">
      <w:pPr>
        <w:outlineLvl w:val="0"/>
        <w:rPr>
          <w:b/>
          <w:u w:val="single"/>
        </w:rPr>
      </w:pPr>
      <w:r>
        <w:rPr>
          <w:b/>
          <w:u w:val="single"/>
        </w:rPr>
        <w:t xml:space="preserve">Lecture 7A Part 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 xml:space="preserve"> – Method of Standard Additions</w:t>
      </w:r>
    </w:p>
    <w:p w:rsidR="00601EE5" w:rsidRPr="00B81255" w:rsidRDefault="00601EE5" w:rsidP="00601EE5">
      <w:pPr>
        <w:outlineLvl w:val="0"/>
        <w:rPr>
          <w:b/>
          <w:u w:val="single"/>
        </w:rPr>
      </w:pPr>
      <w:r>
        <w:rPr>
          <w:b/>
          <w:u w:val="single"/>
        </w:rPr>
        <w:t>Extrapolation</w:t>
      </w:r>
    </w:p>
    <w:p w:rsidR="00601EE5" w:rsidRDefault="00601EE5" w:rsidP="00601EE5">
      <w:pPr>
        <w:outlineLvl w:val="0"/>
      </w:pPr>
      <w:r>
        <w:t>Extrapolation is the estimation of a</w:t>
      </w:r>
      <w:r w:rsidRPr="00601EE5">
        <w:t xml:space="preserve"> value of a </w:t>
      </w:r>
      <w:r>
        <w:t>response variable (outside</w:t>
      </w:r>
      <w:r w:rsidRPr="00601EE5">
        <w:t xml:space="preserve"> known range</w:t>
      </w:r>
      <w:r>
        <w:t xml:space="preserve"> of responses</w:t>
      </w:r>
      <w:r w:rsidRPr="00601EE5">
        <w:t xml:space="preserve">) from values </w:t>
      </w:r>
      <w:r>
        <w:t>within the</w:t>
      </w:r>
      <w:r w:rsidRPr="00601EE5">
        <w:t xml:space="preserve"> known range by assuming that the estimated value follows logically from the known values.</w:t>
      </w:r>
    </w:p>
    <w:p w:rsidR="00601EE5" w:rsidRPr="00601EE5" w:rsidRDefault="00601EE5" w:rsidP="00601EE5">
      <w:pPr>
        <w:outlineLvl w:val="0"/>
      </w:pPr>
      <w:r>
        <w:t>This is often considered to a fallacy. However, in some circumstance, it aids analysis.</w:t>
      </w:r>
    </w:p>
    <w:p w:rsidR="00601EE5" w:rsidRDefault="00601EE5" w:rsidP="00601EE5">
      <w:pPr>
        <w:outlineLvl w:val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601EE5" w:rsidRPr="00B81255" w:rsidRDefault="00601EE5" w:rsidP="00601EE5">
      <w:pPr>
        <w:outlineLvl w:val="0"/>
        <w:rPr>
          <w:b/>
          <w:u w:val="single"/>
        </w:rPr>
      </w:pPr>
      <w:r w:rsidRPr="00B81255">
        <w:rPr>
          <w:b/>
          <w:u w:val="single"/>
        </w:rPr>
        <w:t>The method of standard additions</w:t>
      </w:r>
    </w:p>
    <w:p w:rsidR="00601EE5" w:rsidRDefault="00601EE5" w:rsidP="00601EE5">
      <w:r>
        <w:t xml:space="preserve">Suppose that we wish to determine the concentration of silver in samples of photographic waste by atomic-absorption spectrometry. Using the methods outlined previously, an analyst could calibrate the spectrometer with some aqueous solutions of a pure silver salt and use the resulting calibration graph in the determination of the silver in the test samples. </w:t>
      </w:r>
    </w:p>
    <w:p w:rsidR="00601EE5" w:rsidRDefault="00601EE5" w:rsidP="00601EE5">
      <w:r>
        <w:t xml:space="preserve">This method is only valid, however, if a pure aqueous solution of silver, and a photographic waste sample containing the same concentration of silver, give the same absorbance values. </w:t>
      </w:r>
    </w:p>
    <w:p w:rsidR="00601EE5" w:rsidRDefault="00601EE5" w:rsidP="00601EE5">
      <w:r>
        <w:t>In other words, in using pure solutions to establish the calibration graph it is assumed that there are no ’</w:t>
      </w:r>
      <w:r w:rsidRPr="00601EE5">
        <w:rPr>
          <w:b/>
          <w:i/>
        </w:rPr>
        <w:t>matrix effects’</w:t>
      </w:r>
      <w:r>
        <w:t>, i.e. no reduction or enhancement of the silver absorbance signal by other components ( in short – contamination)</w:t>
      </w:r>
    </w:p>
    <w:p w:rsidR="00601EE5" w:rsidRDefault="00601EE5" w:rsidP="00601EE5">
      <w:r>
        <w:t>In many areas of analysis such an assumption is frequently invalid. Matrix effects occur even with methods such as plasma spectrometry, which have a reputation for being relatively free from interferences.</w:t>
      </w:r>
    </w:p>
    <w:p w:rsidR="00601EE5" w:rsidRDefault="00601EE5" w:rsidP="00601EE5">
      <w:r>
        <w:t xml:space="preserve">The solution to this problem is that all the analytical measurements, including the establishment of the calibration graph, must in some way be performed using the sample itself. </w:t>
      </w:r>
    </w:p>
    <w:p w:rsidR="00601EE5" w:rsidRDefault="00601EE5" w:rsidP="00601EE5">
      <w:r>
        <w:t xml:space="preserve">This is achieved in practice by using the </w:t>
      </w:r>
      <w:r w:rsidRPr="00601EE5">
        <w:rPr>
          <w:b/>
          <w:i/>
        </w:rPr>
        <w:t>method of standard additions</w:t>
      </w:r>
      <w:r>
        <w:t xml:space="preserve">. The method is widely practised in atomic absorption and emission spectrometry and has also found application in electrochemical analysis and many other areas. </w:t>
      </w:r>
    </w:p>
    <w:p w:rsidR="00601EE5" w:rsidRDefault="00601EE5" w:rsidP="00601EE5">
      <w:r>
        <w:t xml:space="preserve">Equal volumes of the sample solution are taken, all but one </w:t>
      </w:r>
      <w:proofErr w:type="gramStart"/>
      <w:r>
        <w:t>are</w:t>
      </w:r>
      <w:proofErr w:type="gramEnd"/>
      <w:r>
        <w:t xml:space="preserve"> separately 'spiked' with known and different amounts of the analyte, and all are then diluted to the same volume. </w:t>
      </w:r>
    </w:p>
    <w:p w:rsidR="00601EE5" w:rsidRDefault="00601EE5" w:rsidP="00601EE5">
      <w:r>
        <w:t xml:space="preserve">The instrument signals are then determined for all these solutions and the results plotted as shown in Figure 5.9. </w:t>
      </w:r>
    </w:p>
    <w:p w:rsidR="00601EE5" w:rsidRDefault="00601EE5" w:rsidP="00601EE5">
      <w:r w:rsidRPr="00601EE5">
        <w:lastRenderedPageBreak/>
        <w:drawing>
          <wp:inline distT="0" distB="0" distL="0" distR="0">
            <wp:extent cx="5277569" cy="2322821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26" t="15261" r="16659" b="55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9" cy="232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E5" w:rsidRDefault="00601EE5" w:rsidP="00601EE5">
      <w:r>
        <w:t xml:space="preserve">As usual, the signal is plotted on the y-axis; in this case the x-axis is graduated in terms of the amounts of analyte added (either as an absolute weight or as a concentration). </w:t>
      </w:r>
    </w:p>
    <w:p w:rsidR="00601EE5" w:rsidRDefault="00601EE5" w:rsidP="00601EE5">
      <w:r>
        <w:t>The (</w:t>
      </w:r>
      <w:proofErr w:type="spellStart"/>
      <w:r>
        <w:t>unweighted</w:t>
      </w:r>
      <w:proofErr w:type="spellEnd"/>
      <w:r>
        <w:t xml:space="preserve">) regression line is calculated in the normal way, but space is provided for it to be extrapolated to the point on the x-axis at which </w:t>
      </w:r>
      <w:r w:rsidRPr="00601EE5">
        <w:rPr>
          <w:b/>
          <w:i/>
        </w:rPr>
        <w:t>y= 0</w:t>
      </w:r>
      <w:r>
        <w:t xml:space="preserve">. This negative intercept on the x-axis corresponds to the amount of the analyte in the test sample. Inspection of the figure shows that this value is given by </w:t>
      </w:r>
      <w:r w:rsidRPr="00601EE5">
        <w:rPr>
          <w:b/>
          <w:i/>
        </w:rPr>
        <w:t>a/b</w:t>
      </w:r>
      <w:r>
        <w:t>, the ratio of the intercept and the slope of the regression line.</w:t>
      </w:r>
    </w:p>
    <w:p w:rsidR="00601EE5" w:rsidRDefault="00601EE5" w:rsidP="00601EE5">
      <w:r w:rsidRPr="00CB2F6D">
        <w:rPr>
          <w:noProof/>
          <w:lang w:eastAsia="en-IE"/>
        </w:rPr>
        <w:drawing>
          <wp:inline distT="0" distB="0" distL="0" distR="0">
            <wp:extent cx="5277569" cy="2322821"/>
            <wp:effectExtent l="19050" t="0" r="0" b="0"/>
            <wp:docPr id="1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26" t="15261" r="16659" b="55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69" cy="232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E5" w:rsidRDefault="00601EE5">
      <w:r>
        <w:br w:type="page"/>
      </w:r>
    </w:p>
    <w:p w:rsidR="00601EE5" w:rsidRDefault="00601EE5" w:rsidP="00601EE5"/>
    <w:p w:rsidR="00601EE5" w:rsidRDefault="00601EE5" w:rsidP="00601EE5">
      <w:r>
        <w:rPr>
          <w:noProof/>
          <w:lang w:eastAsia="en-IE"/>
        </w:rPr>
        <w:drawing>
          <wp:inline distT="0" distB="0" distL="0" distR="0">
            <wp:extent cx="5605373" cy="16569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26" t="45905" r="13515" b="32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373" cy="1656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E5" w:rsidRDefault="00601EE5" w:rsidP="00601EE5">
      <w:r w:rsidRPr="00052EF9">
        <w:rPr>
          <w:noProof/>
          <w:lang w:eastAsia="en-IE"/>
        </w:rPr>
        <w:drawing>
          <wp:inline distT="0" distB="0" distL="0" distR="0">
            <wp:extent cx="5388442" cy="1043796"/>
            <wp:effectExtent l="19050" t="0" r="2708" b="0"/>
            <wp:docPr id="1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926" t="66884" r="15588" b="19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2" cy="10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E5" w:rsidRDefault="00601EE5" w:rsidP="00601EE5">
      <w:r>
        <w:rPr>
          <w:noProof/>
          <w:lang w:eastAsia="en-IE"/>
        </w:rPr>
        <w:drawing>
          <wp:inline distT="0" distB="0" distL="0" distR="0">
            <wp:extent cx="5139546" cy="3248148"/>
            <wp:effectExtent l="19050" t="0" r="3954" b="0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4431" t="27510" r="18193" b="32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46" cy="324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EE5" w:rsidRDefault="00601EE5" w:rsidP="00601EE5"/>
    <w:p w:rsidR="00AF75BE" w:rsidRDefault="00AF75BE"/>
    <w:p w:rsidR="00601EE5" w:rsidRDefault="00601EE5"/>
    <w:p w:rsidR="00601EE5" w:rsidRDefault="00601EE5"/>
    <w:p w:rsidR="00601EE5" w:rsidRDefault="00601EE5"/>
    <w:p w:rsidR="00601EE5" w:rsidRDefault="00601EE5"/>
    <w:p w:rsidR="00601EE5" w:rsidRDefault="00601EE5"/>
    <w:p w:rsidR="00601EE5" w:rsidRDefault="00601EE5" w:rsidP="00601EE5"/>
    <w:p w:rsidR="00060BCD" w:rsidRDefault="00060BCD" w:rsidP="00060BCD">
      <w:pPr>
        <w:outlineLvl w:val="0"/>
        <w:rPr>
          <w:b/>
          <w:u w:val="single"/>
        </w:rPr>
      </w:pPr>
      <w:r>
        <w:rPr>
          <w:b/>
          <w:u w:val="single"/>
        </w:rPr>
        <w:t>Lecture 7A Part B – ANOVA for Regression</w:t>
      </w:r>
    </w:p>
    <w:p w:rsidR="00E45978" w:rsidRDefault="00E45978" w:rsidP="00E45978">
      <w:pPr>
        <w:autoSpaceDE w:val="0"/>
        <w:autoSpaceDN w:val="0"/>
        <w:adjustRightInd w:val="0"/>
        <w:spacing w:after="0" w:line="240" w:lineRule="auto"/>
      </w:pPr>
      <w:r w:rsidRPr="00E45978">
        <w:t>In the ANOVA procedure, a hypothesis test (known as an F test) is used to test for the significance of the overall model. That is, it is</w:t>
      </w:r>
      <w:r>
        <w:t xml:space="preserve"> </w:t>
      </w:r>
      <w:r w:rsidRPr="00E45978">
        <w:t>used to test the null hypothesis that there is no relationship in the population between the (several) independent</w:t>
      </w:r>
      <w:r>
        <w:t xml:space="preserve"> </w:t>
      </w:r>
      <w:r w:rsidRPr="00E45978">
        <w:t xml:space="preserve">variables taken as a group and the one dependent variable. </w:t>
      </w:r>
    </w:p>
    <w:p w:rsidR="00E45978" w:rsidRDefault="00E45978" w:rsidP="00E45978">
      <w:pPr>
        <w:autoSpaceDE w:val="0"/>
        <w:autoSpaceDN w:val="0"/>
        <w:adjustRightInd w:val="0"/>
        <w:spacing w:after="0" w:line="240" w:lineRule="auto"/>
      </w:pPr>
    </w:p>
    <w:p w:rsidR="00E45978" w:rsidRPr="00E45978" w:rsidRDefault="00E45978" w:rsidP="00E45978">
      <w:pPr>
        <w:autoSpaceDE w:val="0"/>
        <w:autoSpaceDN w:val="0"/>
        <w:adjustRightInd w:val="0"/>
        <w:spacing w:after="0" w:line="240" w:lineRule="auto"/>
      </w:pPr>
      <w:r w:rsidRPr="00E45978">
        <w:t>Specifically, the null hypothesis states that all of the</w:t>
      </w:r>
      <w:r>
        <w:t xml:space="preserve"> c</w:t>
      </w:r>
      <w:r w:rsidRPr="00E45978">
        <w:t>oefficients in the regression equation for the population are equal to zero. Therefore, for the case</w:t>
      </w:r>
      <w:r>
        <w:t xml:space="preserve"> </w:t>
      </w:r>
      <w:r w:rsidRPr="00E45978">
        <w:t>of two independent variables, or predictors, the null hypothesis with respect to the F test is H</w:t>
      </w:r>
      <w:r w:rsidRPr="00E45978">
        <w:rPr>
          <w:vertAlign w:val="subscript"/>
        </w:rPr>
        <w:t>0</w:t>
      </w:r>
      <w:r w:rsidRPr="00E45978">
        <w:t xml:space="preserve">: </w:t>
      </w:r>
      <w:r>
        <w:t>β</w:t>
      </w:r>
      <w:r w:rsidRPr="00E45978">
        <w:rPr>
          <w:vertAlign w:val="subscript"/>
        </w:rPr>
        <w:t>1</w:t>
      </w:r>
      <w:r>
        <w:t>= β</w:t>
      </w:r>
      <w:r w:rsidRPr="00E45978">
        <w:rPr>
          <w:vertAlign w:val="subscript"/>
        </w:rPr>
        <w:t>2</w:t>
      </w:r>
      <w:r>
        <w:t>= 0</w:t>
      </w:r>
    </w:p>
    <w:p w:rsidR="00E45978" w:rsidRPr="00E45978" w:rsidRDefault="00E45978" w:rsidP="00E45978">
      <w:pPr>
        <w:autoSpaceDE w:val="0"/>
        <w:autoSpaceDN w:val="0"/>
        <w:adjustRightInd w:val="0"/>
        <w:spacing w:after="0" w:line="240" w:lineRule="auto"/>
      </w:pPr>
    </w:p>
    <w:p w:rsidR="00A54FA6" w:rsidRPr="00A54FA6" w:rsidRDefault="00A54FA6" w:rsidP="00A54FA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54FA6">
        <w:rPr>
          <w:b/>
          <w:u w:val="single"/>
        </w:rPr>
        <w:t>ANOVA for SLR</w:t>
      </w:r>
    </w:p>
    <w:p w:rsidR="00A54FA6" w:rsidRDefault="00601EE5" w:rsidP="00A54FA6">
      <w:pPr>
        <w:autoSpaceDE w:val="0"/>
        <w:autoSpaceDN w:val="0"/>
        <w:adjustRightInd w:val="0"/>
        <w:spacing w:after="0" w:line="240" w:lineRule="auto"/>
      </w:pPr>
      <w:r>
        <w:t xml:space="preserve">When the </w:t>
      </w:r>
      <w:r w:rsidRPr="00601EE5">
        <w:rPr>
          <w:b/>
          <w:i/>
        </w:rPr>
        <w:t>ordinary least-squares</w:t>
      </w:r>
      <w:r>
        <w:t xml:space="preserve"> criterion is used to determine the best straight line through a single set of data points there is one unique solution, so the calculations involved </w:t>
      </w:r>
      <w:r w:rsidR="00E45978">
        <w:t xml:space="preserve">are relatively straightforward. 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</w:p>
    <w:p w:rsidR="00E45978" w:rsidRDefault="00A54FA6" w:rsidP="00A54FA6">
      <w:pPr>
        <w:autoSpaceDE w:val="0"/>
        <w:autoSpaceDN w:val="0"/>
        <w:adjustRightInd w:val="0"/>
        <w:spacing w:after="0" w:line="240" w:lineRule="auto"/>
      </w:pPr>
      <w:r>
        <w:t>When</w:t>
      </w:r>
      <w:r w:rsidR="00E45978" w:rsidRPr="00E45978">
        <w:t xml:space="preserve"> there is only one independent variable in the regression model, then the </w:t>
      </w:r>
      <w:r>
        <w:t>ANOVA procedure</w:t>
      </w:r>
      <w:r w:rsidR="00E45978" w:rsidRPr="00E45978">
        <w:t xml:space="preserve"> is equivalent to a two-tail t</w:t>
      </w:r>
      <w:r>
        <w:t>-</w:t>
      </w:r>
      <w:r w:rsidR="00E45978" w:rsidRPr="00E45978">
        <w:t>test directed at the slope (H</w:t>
      </w:r>
      <w:r w:rsidR="00E45978" w:rsidRPr="00E45978">
        <w:rPr>
          <w:vertAlign w:val="subscript"/>
        </w:rPr>
        <w:t>0</w:t>
      </w:r>
      <w:r w:rsidR="00E45978" w:rsidRPr="00E45978">
        <w:t xml:space="preserve">: </w:t>
      </w:r>
      <w:r w:rsidR="00E45978">
        <w:t>β</w:t>
      </w:r>
      <w:r w:rsidR="00E45978" w:rsidRPr="00E45978">
        <w:rPr>
          <w:vertAlign w:val="subscript"/>
        </w:rPr>
        <w:t>1</w:t>
      </w:r>
      <w:r w:rsidR="00E45978">
        <w:t>= 0</w:t>
      </w:r>
      <w:r w:rsidR="00E45978" w:rsidRPr="00E45978">
        <w:t xml:space="preserve">). Therefore, use of the </w:t>
      </w:r>
      <w:r>
        <w:t>ANOVA procedure</w:t>
      </w:r>
      <w:r w:rsidR="00E45978" w:rsidRPr="00E45978">
        <w:t xml:space="preserve"> is </w:t>
      </w:r>
      <w:r>
        <w:t xml:space="preserve">often </w:t>
      </w:r>
      <w:r w:rsidR="00E45978" w:rsidRPr="00E45978">
        <w:t>not required in simple regression</w:t>
      </w:r>
      <w:r>
        <w:t xml:space="preserve"> </w:t>
      </w:r>
      <w:r w:rsidR="00E45978" w:rsidRPr="00E45978">
        <w:t>analysis</w:t>
      </w:r>
      <w:r>
        <w:t xml:space="preserve"> in practice</w:t>
      </w:r>
      <w:r w:rsidR="00E45978" w:rsidRPr="00E45978">
        <w:t>.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</w:p>
    <w:p w:rsidR="00A54FA6" w:rsidRPr="00A54FA6" w:rsidRDefault="00A54FA6" w:rsidP="00A54FA6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54FA6">
        <w:rPr>
          <w:b/>
          <w:u w:val="single"/>
        </w:rPr>
        <w:t>Separating Variances</w:t>
      </w:r>
    </w:p>
    <w:p w:rsidR="00E45978" w:rsidRDefault="00E45978" w:rsidP="00601EE5">
      <w:r>
        <w:t>The ANOVA method</w:t>
      </w:r>
      <w:r w:rsidR="00601EE5">
        <w:t xml:space="preserve"> helps us to choose the best way of plotting a curve from</w:t>
      </w:r>
      <w:r>
        <w:t xml:space="preserve"> </w:t>
      </w:r>
      <w:r w:rsidR="00601EE5">
        <w:t>amongst the many that are available. Analysis of variance (ANOVA) provides such a</w:t>
      </w:r>
      <w:r>
        <w:t xml:space="preserve"> </w:t>
      </w:r>
      <w:r w:rsidR="00601EE5">
        <w:t>method in all cases where we maintain the assumption that the errors occur only in</w:t>
      </w:r>
      <w:r>
        <w:t xml:space="preserve"> the y-direction. I</w:t>
      </w:r>
      <w:r w:rsidR="00601EE5">
        <w:t>n such situations there are two sources of y-direction variation in a</w:t>
      </w:r>
      <w:r>
        <w:t xml:space="preserve"> </w:t>
      </w:r>
      <w:r w:rsidR="00601EE5">
        <w:t xml:space="preserve">calibration plot. </w:t>
      </w:r>
    </w:p>
    <w:p w:rsidR="00E45978" w:rsidRDefault="00601EE5" w:rsidP="00E45978">
      <w:pPr>
        <w:pStyle w:val="ListParagraph"/>
        <w:numPr>
          <w:ilvl w:val="0"/>
          <w:numId w:val="1"/>
        </w:numPr>
      </w:pPr>
      <w:r>
        <w:t>The first is the variation due to regression, i.e. due to the relationship</w:t>
      </w:r>
      <w:r w:rsidR="00E45978">
        <w:t xml:space="preserve"> </w:t>
      </w:r>
      <w:r>
        <w:t xml:space="preserve">between the instrument signal, y, and the analyte concentration, x. </w:t>
      </w:r>
      <w:r w:rsidR="002B123C">
        <w:t xml:space="preserve"> (</w:t>
      </w:r>
      <w:r w:rsidR="002B123C" w:rsidRPr="002B123C">
        <w:rPr>
          <w:b/>
          <w:i/>
        </w:rPr>
        <w:t>SSR</w:t>
      </w:r>
      <w:r w:rsidR="002B123C">
        <w:t>)</w:t>
      </w:r>
    </w:p>
    <w:p w:rsidR="00E45978" w:rsidRDefault="00601EE5" w:rsidP="00E45978">
      <w:pPr>
        <w:pStyle w:val="ListParagraph"/>
        <w:numPr>
          <w:ilvl w:val="0"/>
          <w:numId w:val="1"/>
        </w:numPr>
      </w:pPr>
      <w:r>
        <w:t>The second is</w:t>
      </w:r>
      <w:r w:rsidR="00E45978">
        <w:t xml:space="preserve"> </w:t>
      </w:r>
      <w:r>
        <w:t>the random experimental e</w:t>
      </w:r>
      <w:r w:rsidR="00E45978">
        <w:t>rr</w:t>
      </w:r>
      <w:r>
        <w:t>or in the y-values, which is called the variation about</w:t>
      </w:r>
      <w:r w:rsidR="00E45978">
        <w:t xml:space="preserve"> </w:t>
      </w:r>
      <w:r>
        <w:t>regression</w:t>
      </w:r>
      <w:r w:rsidR="002B123C">
        <w:t xml:space="preserve"> (</w:t>
      </w:r>
      <w:r w:rsidR="002B123C" w:rsidRPr="002B123C">
        <w:rPr>
          <w:b/>
          <w:i/>
        </w:rPr>
        <w:t>SSE</w:t>
      </w:r>
      <w:r w:rsidR="002B123C">
        <w:t>)</w:t>
      </w:r>
      <w:r>
        <w:t>.</w:t>
      </w:r>
      <w:r w:rsidR="002B123C">
        <w:t xml:space="preserve"> </w:t>
      </w:r>
      <w:r>
        <w:t xml:space="preserve"> </w:t>
      </w:r>
    </w:p>
    <w:p w:rsidR="002B123C" w:rsidRDefault="002B123C" w:rsidP="002B123C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2B123C" w:rsidTr="002B123C">
        <w:tc>
          <w:tcPr>
            <w:tcW w:w="9242" w:type="dxa"/>
          </w:tcPr>
          <w:p w:rsidR="002B123C" w:rsidRPr="002B123C" w:rsidRDefault="002B123C" w:rsidP="002B123C">
            <w:pPr>
              <w:pStyle w:val="ListParagraph"/>
              <w:ind w:left="0"/>
              <w:rPr>
                <w:i/>
                <w:u w:val="single"/>
              </w:rPr>
            </w:pPr>
            <w:r w:rsidRPr="002B123C">
              <w:rPr>
                <w:i/>
                <w:u w:val="single"/>
              </w:rPr>
              <w:t xml:space="preserve"> Important </w:t>
            </w:r>
          </w:p>
          <w:p w:rsidR="002B123C" w:rsidRDefault="002B123C" w:rsidP="002B123C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2B123C">
              <w:rPr>
                <w:b/>
                <w:i/>
              </w:rPr>
              <w:t>TSS =  SSR +SSE</w:t>
            </w:r>
          </w:p>
          <w:p w:rsidR="002B123C" w:rsidRPr="002B123C" w:rsidRDefault="002B123C" w:rsidP="002B123C">
            <w:pPr>
              <w:pStyle w:val="ListParagraph"/>
              <w:ind w:left="0"/>
              <w:jc w:val="center"/>
              <w:rPr>
                <w:b/>
                <w:i/>
              </w:rPr>
            </w:pPr>
          </w:p>
        </w:tc>
      </w:tr>
    </w:tbl>
    <w:p w:rsidR="002B123C" w:rsidRDefault="002B123C" w:rsidP="002B123C">
      <w:pPr>
        <w:pStyle w:val="ListParagraph"/>
      </w:pPr>
    </w:p>
    <w:p w:rsidR="002B123C" w:rsidRDefault="00E45978" w:rsidP="00601EE5">
      <w:r>
        <w:t>ANOVA is a powerful method for separating two sources of variation in such situations</w:t>
      </w:r>
      <w:r w:rsidR="002B123C">
        <w:t>.</w:t>
      </w:r>
    </w:p>
    <w:p w:rsidR="00A54FA6" w:rsidRPr="00A54FA6" w:rsidRDefault="00A54FA6" w:rsidP="00A54FA6">
      <w:pPr>
        <w:autoSpaceDE w:val="0"/>
        <w:autoSpaceDN w:val="0"/>
        <w:adjustRightInd w:val="0"/>
        <w:spacing w:after="0" w:line="240" w:lineRule="auto"/>
      </w:pPr>
      <w:r w:rsidRPr="00A54FA6">
        <w:t xml:space="preserve">If there is no regression effect in the population, then the fitted value (sloped) line differs from </w:t>
      </w:r>
      <w:proofErr w:type="gramStart"/>
      <w:r w:rsidRPr="00A54FA6">
        <w:t>the  mean</w:t>
      </w:r>
      <w:proofErr w:type="gramEnd"/>
      <w:r w:rsidRPr="00A54FA6">
        <w:t xml:space="preserve"> (horizontal) line purely by chance. It follows that the variance estimate based on the differences - called </w:t>
      </w:r>
      <w:r w:rsidRPr="00A54FA6">
        <w:rPr>
          <w:b/>
          <w:i/>
        </w:rPr>
        <w:t>mean square regression (MSR),</w:t>
      </w:r>
      <w:r w:rsidRPr="00A54FA6">
        <w:t xml:space="preserve"> would be different only by chance from the variance estimate based on the residuals called </w:t>
      </w:r>
      <w:r w:rsidRPr="00A54FA6">
        <w:rPr>
          <w:b/>
          <w:i/>
        </w:rPr>
        <w:t xml:space="preserve">mean square error (MSE). 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AdvPS6F00" w:hAnsi="AdvPS6F00" w:cs="AdvPS6F00"/>
          <w:sz w:val="21"/>
          <w:szCs w:val="21"/>
        </w:rPr>
      </w:pP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  <w:r w:rsidRPr="00A54FA6">
        <w:t>On the other hand, if there is a regression effect, then the mean square regression is inflated in value as compared with the mean square</w:t>
      </w:r>
      <w:r>
        <w:t xml:space="preserve"> </w:t>
      </w:r>
      <w:r w:rsidRPr="00A54FA6">
        <w:t xml:space="preserve">error. 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lastRenderedPageBreak/>
        <w:drawing>
          <wp:inline distT="0" distB="0" distL="0" distR="0">
            <wp:extent cx="4521430" cy="2329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261" t="41767" r="26453" b="19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65" cy="23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  <w:r>
        <w:t xml:space="preserve">The following table </w:t>
      </w:r>
      <w:r w:rsidRPr="00A54FA6">
        <w:t>presents the standard format for the analysis of variance table that is used to test for the</w:t>
      </w:r>
      <w:r>
        <w:t xml:space="preserve"> </w:t>
      </w:r>
      <w:r w:rsidRPr="00A54FA6">
        <w:t xml:space="preserve">significance of an overall regression effect. The degrees of freedom </w:t>
      </w:r>
      <w:r w:rsidRPr="00A54FA6">
        <w:rPr>
          <w:b/>
          <w:i/>
        </w:rPr>
        <w:t xml:space="preserve">k </w:t>
      </w:r>
      <w:r w:rsidRPr="00A54FA6">
        <w:t>associated with MSR in the table is</w:t>
      </w:r>
      <w:r>
        <w:t xml:space="preserve"> </w:t>
      </w:r>
      <w:r w:rsidRPr="00A54FA6">
        <w:t xml:space="preserve">the number of independent variables in the multiple regression equation. 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</w:pPr>
      <w:r w:rsidRPr="00A54FA6">
        <w:t>As indicated in the table, the test</w:t>
      </w:r>
      <w:r>
        <w:t xml:space="preserve"> </w:t>
      </w:r>
      <w:r w:rsidRPr="00A54FA6">
        <w:t>statistic is</w:t>
      </w:r>
      <w:r>
        <w:t xml:space="preserve"> the ratio of the two values. The p-value for the test statistic is provided in code output.</w:t>
      </w:r>
    </w:p>
    <w:p w:rsidR="00A54FA6" w:rsidRDefault="00A54FA6" w:rsidP="00601EE5"/>
    <w:p w:rsidR="00A54FA6" w:rsidRDefault="00A54FA6" w:rsidP="00601EE5">
      <w:r>
        <w:rPr>
          <w:noProof/>
          <w:lang w:eastAsia="en-IE"/>
        </w:rPr>
        <w:drawing>
          <wp:inline distT="0" distB="0" distL="0" distR="0">
            <wp:extent cx="5372459" cy="1136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5620" t="55422" r="13222" b="24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61" cy="113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A54FA6">
        <w:t xml:space="preserve">The ANOVA table can be obtained for the regression model with the </w:t>
      </w:r>
      <w:proofErr w:type="spellStart"/>
      <w:proofErr w:type="gramStart"/>
      <w:r w:rsidRPr="00A54FA6">
        <w:t>anova</w:t>
      </w:r>
      <w:proofErr w:type="spellEnd"/>
      <w:r w:rsidRPr="00A54FA6">
        <w:t>(</w:t>
      </w:r>
      <w:proofErr w:type="gramEnd"/>
      <w:r w:rsidRPr="00A54FA6">
        <w:t>) command</w:t>
      </w:r>
      <w:r>
        <w:t>, when the model is specified. From this week’s lab:</w:t>
      </w: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Verdana" w:hAnsi="Verdana" w:cs="CMMI10"/>
          <w:color w:val="FF0000"/>
          <w:sz w:val="20"/>
          <w:szCs w:val="20"/>
        </w:rPr>
      </w:pP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A54FA6" w:rsidTr="00CA10FC">
        <w:trPr>
          <w:cnfStyle w:val="100000000000"/>
        </w:trPr>
        <w:tc>
          <w:tcPr>
            <w:cnfStyle w:val="001000000000"/>
            <w:tcW w:w="9242" w:type="dxa"/>
          </w:tcPr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anova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FitA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>Analysis of Variance Table</w:t>
            </w: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Response: </w:t>
            </w: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Abso</w:t>
            </w:r>
            <w:proofErr w:type="spellEnd"/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  Sum Sq Mean Sq F value    Pr(&gt;F)    </w:t>
            </w: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Conc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       1 0.44327 </w:t>
            </w: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0.44327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  8979.5 2.481e-09 ***</w:t>
            </w: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Residuals  5 0.00025 0.00005                      </w:t>
            </w:r>
          </w:p>
          <w:p w:rsidR="00A54FA6" w:rsidRPr="00F62E1A" w:rsidRDefault="00A54FA6" w:rsidP="00CA10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F62E1A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:rsidR="00A54FA6" w:rsidRDefault="00A54FA6" w:rsidP="00CA10FC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proofErr w:type="spellStart"/>
            <w:r w:rsidRPr="00F62E1A">
              <w:rPr>
                <w:rFonts w:ascii="Courier New" w:hAnsi="Courier New" w:cs="Courier New"/>
                <w:sz w:val="20"/>
                <w:szCs w:val="20"/>
              </w:rPr>
              <w:t>Signif</w:t>
            </w:r>
            <w:proofErr w:type="spellEnd"/>
            <w:r w:rsidRPr="00F62E1A"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  <w:proofErr w:type="gramStart"/>
            <w:r w:rsidRPr="00F62E1A">
              <w:rPr>
                <w:rFonts w:ascii="Courier New" w:hAnsi="Courier New" w:cs="Courier New"/>
                <w:sz w:val="20"/>
                <w:szCs w:val="20"/>
              </w:rPr>
              <w:t>codes</w:t>
            </w:r>
            <w:proofErr w:type="gramEnd"/>
            <w:r w:rsidRPr="00F62E1A">
              <w:rPr>
                <w:rFonts w:ascii="Courier New" w:hAnsi="Courier New" w:cs="Courier New"/>
                <w:sz w:val="20"/>
                <w:szCs w:val="20"/>
              </w:rPr>
              <w:t>:  0 ‘***’ 0.001 ‘**’ 0.01 ‘*’ 0.05 ‘.’ 0.1 ‘ ’ 1</w:t>
            </w:r>
          </w:p>
        </w:tc>
      </w:tr>
    </w:tbl>
    <w:p w:rsidR="00A54FA6" w:rsidRPr="00093B6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A54FA6" w:rsidRDefault="00A54FA6" w:rsidP="00A54FA6">
      <w:pPr>
        <w:autoSpaceDE w:val="0"/>
        <w:autoSpaceDN w:val="0"/>
        <w:adjustRightInd w:val="0"/>
        <w:spacing w:after="0" w:line="240" w:lineRule="auto"/>
        <w:rPr>
          <w:rFonts w:ascii="Verdana" w:hAnsi="Verdana" w:cs="CMMI10"/>
          <w:color w:val="FF0000"/>
          <w:sz w:val="20"/>
          <w:szCs w:val="20"/>
        </w:rPr>
      </w:pPr>
    </w:p>
    <w:p w:rsidR="00F10FA8" w:rsidRDefault="00F10FA8" w:rsidP="00601EE5"/>
    <w:p w:rsidR="00F10FA8" w:rsidRDefault="00F10FA8">
      <w:r>
        <w:br w:type="page"/>
      </w:r>
    </w:p>
    <w:p w:rsidR="00F10FA8" w:rsidRDefault="00F10FA8">
      <w:r>
        <w:lastRenderedPageBreak/>
        <w:t xml:space="preserve">Sample Question </w:t>
      </w:r>
      <w:proofErr w:type="gramStart"/>
      <w:r>
        <w:t>( Q6d</w:t>
      </w:r>
      <w:proofErr w:type="gramEnd"/>
      <w:r>
        <w:t xml:space="preserve"> Autumn 2008/09 Dr. N Coffey)</w:t>
      </w:r>
    </w:p>
    <w:p w:rsidR="00F10FA8" w:rsidRDefault="00F10FA8">
      <w:r>
        <w:rPr>
          <w:noProof/>
          <w:lang w:eastAsia="en-IE"/>
        </w:rPr>
        <w:drawing>
          <wp:inline distT="0" distB="0" distL="0" distR="0">
            <wp:extent cx="5381086" cy="18301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134" t="38755" r="19698" b="33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44" cy="183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FA6" w:rsidRDefault="00F10FA8" w:rsidP="00F10FA8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CMR10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139546" cy="4386473"/>
            <wp:effectExtent l="19050" t="0" r="3954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552" t="12851" r="20149" b="2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71" cy="43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  <w:r>
        <w:t xml:space="preserve">Sample size </w:t>
      </w:r>
      <w:r w:rsidRPr="00F10FA8">
        <w:rPr>
          <w:b/>
          <w:i/>
        </w:rPr>
        <w:t>n = 22</w:t>
      </w: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  <w:r>
        <w:t xml:space="preserve">Number of independent variables  </w:t>
      </w:r>
    </w:p>
    <w:p w:rsidR="00F10FA8" w:rsidRDefault="00F10FA8" w:rsidP="00F10F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F10FA8">
        <w:rPr>
          <w:b/>
          <w:i/>
        </w:rPr>
        <w:t>k = 3</w:t>
      </w:r>
    </w:p>
    <w:p w:rsidR="00F10FA8" w:rsidRPr="00F10FA8" w:rsidRDefault="00F10FA8" w:rsidP="00F10F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F10FA8">
        <w:rPr>
          <w:b/>
          <w:i/>
        </w:rPr>
        <w:t>df1 = k = 3</w:t>
      </w:r>
    </w:p>
    <w:p w:rsidR="00F10FA8" w:rsidRPr="00F10FA8" w:rsidRDefault="00F10FA8" w:rsidP="00F10F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i/>
        </w:rPr>
      </w:pPr>
      <w:r w:rsidRPr="00F10FA8">
        <w:rPr>
          <w:b/>
          <w:i/>
        </w:rPr>
        <w:t>df2 = n-k-1 =18</w:t>
      </w: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  <w:r>
        <w:t>(I will give the p-value also, and expect you to express your conclusions on whether or not slope estimates are jointly significant)</w:t>
      </w:r>
    </w:p>
    <w:p w:rsidR="00F10FA8" w:rsidRDefault="00F10FA8" w:rsidP="00F10FA8">
      <w:pPr>
        <w:autoSpaceDE w:val="0"/>
        <w:autoSpaceDN w:val="0"/>
        <w:adjustRightInd w:val="0"/>
        <w:spacing w:after="0" w:line="240" w:lineRule="auto"/>
      </w:pPr>
    </w:p>
    <w:sectPr w:rsidR="00F10FA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66B2D"/>
    <w:multiLevelType w:val="hybridMultilevel"/>
    <w:tmpl w:val="B792D0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6078D"/>
    <w:multiLevelType w:val="hybridMultilevel"/>
    <w:tmpl w:val="C4C06C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1EE5"/>
    <w:rsid w:val="00060BCD"/>
    <w:rsid w:val="001348FA"/>
    <w:rsid w:val="001B506A"/>
    <w:rsid w:val="001C5319"/>
    <w:rsid w:val="002A7E08"/>
    <w:rsid w:val="002B123C"/>
    <w:rsid w:val="002E306F"/>
    <w:rsid w:val="004254FA"/>
    <w:rsid w:val="00601EE5"/>
    <w:rsid w:val="00652B57"/>
    <w:rsid w:val="006E7F63"/>
    <w:rsid w:val="007C40A0"/>
    <w:rsid w:val="00841181"/>
    <w:rsid w:val="00A32D94"/>
    <w:rsid w:val="00A54FA6"/>
    <w:rsid w:val="00AE54DA"/>
    <w:rsid w:val="00AF75BE"/>
    <w:rsid w:val="00BB0539"/>
    <w:rsid w:val="00BE3187"/>
    <w:rsid w:val="00C9680D"/>
    <w:rsid w:val="00D155B8"/>
    <w:rsid w:val="00D9197A"/>
    <w:rsid w:val="00DB1BC1"/>
    <w:rsid w:val="00E45978"/>
    <w:rsid w:val="00E714F9"/>
    <w:rsid w:val="00F10FA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E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978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A54F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2B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1B975-0D83-47AD-8E1B-5861F3EA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cp:lastPrinted>2012-10-22T15:37:00Z</cp:lastPrinted>
  <dcterms:created xsi:type="dcterms:W3CDTF">2012-10-22T10:49:00Z</dcterms:created>
  <dcterms:modified xsi:type="dcterms:W3CDTF">2012-10-22T16:05:00Z</dcterms:modified>
</cp:coreProperties>
</file>