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MA4605</w:t>
            </w: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 </w:t>
            </w:r>
            <w:proofErr w:type="spellStart"/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Chemometrics</w:t>
            </w:r>
            <w:proofErr w:type="spellEnd"/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November 2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vertAlign w:val="superscript"/>
                <w:lang w:eastAsia="en-IE"/>
              </w:rPr>
              <w:t>nd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 2012</w:t>
            </w: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 xml:space="preserve">Duration </w:t>
            </w: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45 minutes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 w:rsidRPr="00585EFE"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20 Marks</w:t>
            </w: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Group 1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</w:p>
        </w:tc>
      </w:tr>
      <w:tr w:rsidR="00585EFE" w:rsidTr="00585EFE"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  <w:t>Answer All Questions</w:t>
            </w:r>
          </w:p>
        </w:tc>
        <w:tc>
          <w:tcPr>
            <w:tcW w:w="4621" w:type="dxa"/>
          </w:tcPr>
          <w:p w:rsidR="00585EFE" w:rsidRPr="00585EFE" w:rsidRDefault="00585EFE" w:rsidP="003C6FDC">
            <w:pPr>
              <w:rPr>
                <w:rFonts w:ascii="Verdana" w:eastAsia="Times New Roman" w:hAnsi="Verdana" w:cs="Courier New"/>
                <w:b/>
                <w:i/>
                <w:color w:val="000000"/>
                <w:sz w:val="20"/>
                <w:szCs w:val="20"/>
                <w:lang w:eastAsia="en-IE"/>
              </w:rPr>
            </w:pPr>
          </w:p>
        </w:tc>
      </w:tr>
    </w:tbl>
    <w:p w:rsidR="00585EFE" w:rsidRDefault="00585EFE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</w:p>
    <w:p w:rsidR="00646266" w:rsidRPr="00646266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Inference </w:t>
      </w:r>
      <w:proofErr w:type="gramStart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Procedures  -</w:t>
      </w:r>
      <w:proofErr w:type="gramEnd"/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</w:t>
      </w:r>
      <w:r w:rsidR="00646266" w:rsidRP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1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</w:t>
      </w:r>
      <w:r w:rsidR="00646266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test of a specific blood factor has been devised so that, for adults in the UK and Ireland, the test score is </w:t>
      </w:r>
      <w:proofErr w:type="gramStart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Normally</w:t>
      </w:r>
      <w:proofErr w:type="gramEnd"/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distributed with mean 100 and standard deviation 10.</w:t>
      </w:r>
    </w:p>
    <w:p w:rsidR="003C6FDC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A clinical research organization needs to test whether the mean score of sufferers from a particular disease differs from the mean score of the general population on this test.  </w:t>
      </w:r>
    </w:p>
    <w:p w:rsidR="00AF75BE" w:rsidRPr="00646266" w:rsidRDefault="003C6FDC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study has obtained the following test scores for 12 randomly selected patients suffering from the disease.</w:t>
      </w:r>
      <w:r w:rsidR="00646266" w:rsidRPr="0064626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</w:p>
    <w:p w:rsidR="003C6FDC" w:rsidRPr="00646266" w:rsidRDefault="00546BF7" w:rsidP="00646266">
      <w:pPr>
        <w:jc w:val="center"/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</w:pP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119 131 11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5 107 125 9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6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128 </w:t>
      </w:r>
      <w:r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9</w:t>
      </w:r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9 103 </w:t>
      </w:r>
      <w:proofErr w:type="spellStart"/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103</w:t>
      </w:r>
      <w:proofErr w:type="spellEnd"/>
      <w:r w:rsidR="003C6FDC" w:rsidRPr="0064626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 xml:space="preserve"> 105 109</w:t>
      </w:r>
    </w:p>
    <w:p w:rsidR="00646266" w:rsidRDefault="00646266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see</w:t>
      </w:r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 w:rsidRPr="00646266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DAT49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Compute a 99% confidence interval for the mean of patient’s blood factor scores.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[</w:t>
      </w:r>
      <w:r w:rsidR="00CA6D31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2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Mark</w:t>
      </w:r>
      <w:r w:rsid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3C6FDC" w:rsidRDefault="003C6FDC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We wish to determine whether or not the mean score for patients is significantly different from the general population. Us</w:t>
      </w:r>
      <w:r w:rsidR="00546BF7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ing the confidence interval, perform a hypothesis test. State your null and alternative hypothesis clearly.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[3 Marks]</w:t>
      </w: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437325" w:rsidRPr="00437325" w:rsidRDefault="00437325" w:rsidP="00437325">
      <w:pPr>
        <w:pStyle w:val="ListParagraph"/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646266" w:rsidRPr="00437325" w:rsidRDefault="00546BF7" w:rsidP="00437325">
      <w:pPr>
        <w:pStyle w:val="ListParagraph"/>
        <w:numPr>
          <w:ilvl w:val="0"/>
          <w:numId w:val="9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Perform a hypo</w:t>
      </w:r>
      <w:r w:rsidR="00646266" w:rsidRPr="00437325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thesis test for this procedure, using a significance level of 5%. What is the p-value? [1 Mark]</w:t>
      </w:r>
    </w:p>
    <w:p w:rsidR="00546BF7" w:rsidRDefault="00546BF7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5708FD" w:rsidRPr="00CA6D31" w:rsidRDefault="005708FD" w:rsidP="003C6FDC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Linear Models 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2</w:t>
      </w:r>
      <w:r w:rsidR="00CA6D31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(</w:t>
      </w:r>
      <w:r w:rsidR="00B47DF6" w:rsidRPr="00CA6D31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6 Marks)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Data on the velocity of an enzymatic reaction were obtained by 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Treloar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(1974). The number of counts per minute of radioactive product from the reaction was measured as a function of substrate concentration in parts per million (</w:t>
      </w:r>
      <w:proofErr w:type="spellStart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ppm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 and from these counts the initial rate (or velocity) of the reaction was calculated (counts/min/min).</w:t>
      </w:r>
      <w:r w:rsidRPr="005708FD">
        <w:rPr>
          <w:rFonts w:ascii="Verdana" w:eastAsia="Times New Roman" w:hAnsi="Verdana" w:cs="Courier New"/>
          <w:sz w:val="20"/>
          <w:szCs w:val="20"/>
          <w:lang w:eastAsia="en-IE"/>
        </w:rPr>
        <w:t> </w:t>
      </w:r>
    </w:p>
    <w:p w:rsidR="005708FD" w:rsidRDefault="005708FD" w:rsidP="003C6FDC">
      <w:pPr>
        <w:rPr>
          <w:rFonts w:ascii="Verdana" w:eastAsia="Times New Roman" w:hAnsi="Verdana" w:cs="Courier New"/>
          <w:sz w:val="20"/>
          <w:szCs w:val="20"/>
          <w:lang w:eastAsia="en-IE"/>
        </w:rPr>
      </w:pPr>
    </w:p>
    <w:tbl>
      <w:tblPr>
        <w:tblStyle w:val="TableGrid"/>
        <w:tblW w:w="0" w:type="auto"/>
        <w:tblLook w:val="04A0"/>
      </w:tblPr>
      <w:tblGrid>
        <w:gridCol w:w="675"/>
        <w:gridCol w:w="1134"/>
        <w:gridCol w:w="5122"/>
        <w:gridCol w:w="2311"/>
      </w:tblGrid>
      <w:tr w:rsidR="005708FD" w:rsidTr="005708FD">
        <w:tc>
          <w:tcPr>
            <w:tcW w:w="675" w:type="dxa"/>
          </w:tcPr>
          <w:p w:rsidR="005708FD" w:rsidRDefault="005708FD" w:rsidP="005708FD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</w:t>
            </w:r>
          </w:p>
        </w:tc>
        <w:tc>
          <w:tcPr>
            <w:tcW w:w="5122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Description</w:t>
            </w:r>
          </w:p>
        </w:tc>
        <w:tc>
          <w:tcPr>
            <w:tcW w:w="2311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Data Set</w:t>
            </w: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1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Conc</w:t>
            </w:r>
            <w:proofErr w:type="spellEnd"/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>S</w:t>
            </w:r>
            <w:r w:rsidRPr="005708FD">
              <w:rPr>
                <w:rFonts w:ascii="Verdana" w:hAnsi="Verdana"/>
                <w:color w:val="000000"/>
              </w:rPr>
              <w:t>ubstrate concentration</w:t>
            </w:r>
            <w:r>
              <w:rPr>
                <w:rFonts w:ascii="Verdana" w:hAnsi="Verdana"/>
                <w:color w:val="000000"/>
              </w:rPr>
              <w:t xml:space="preserve"> (</w:t>
            </w:r>
            <w:proofErr w:type="spellStart"/>
            <w:r w:rsidRPr="005708FD">
              <w:rPr>
                <w:rFonts w:ascii="Verdana" w:hAnsi="Verdana"/>
                <w:color w:val="000000"/>
              </w:rPr>
              <w:t>ppm</w:t>
            </w:r>
            <w:proofErr w:type="spellEnd"/>
            <w:r w:rsidRPr="005708FD">
              <w:rPr>
                <w:rFonts w:ascii="Verdana" w:hAnsi="Verdana"/>
                <w:color w:val="000000"/>
              </w:rPr>
              <w:t>)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DAT57</w:t>
            </w:r>
          </w:p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</w:tr>
      <w:tr w:rsidR="005708FD" w:rsidTr="005708FD">
        <w:tc>
          <w:tcPr>
            <w:tcW w:w="675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2</w:t>
            </w:r>
          </w:p>
        </w:tc>
        <w:tc>
          <w:tcPr>
            <w:tcW w:w="1134" w:type="dxa"/>
          </w:tcPr>
          <w:p w:rsid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Rate</w:t>
            </w:r>
          </w:p>
        </w:tc>
        <w:tc>
          <w:tcPr>
            <w:tcW w:w="5122" w:type="dxa"/>
          </w:tcPr>
          <w:p w:rsidR="005708FD" w:rsidRPr="005708FD" w:rsidRDefault="005708FD" w:rsidP="005708FD">
            <w:pPr>
              <w:pStyle w:val="HTMLPreformatted"/>
              <w:rPr>
                <w:rFonts w:ascii="Verdana" w:hAnsi="Verdana"/>
                <w:color w:val="000000"/>
              </w:rPr>
            </w:pPr>
            <w:r w:rsidRPr="005708FD">
              <w:rPr>
                <w:rFonts w:ascii="Verdana" w:hAnsi="Verdana"/>
                <w:color w:val="000000"/>
              </w:rPr>
              <w:t>Reaction velocity (counts/min/min)</w:t>
            </w:r>
          </w:p>
          <w:p w:rsidR="005708FD" w:rsidRPr="005708FD" w:rsidRDefault="005708FD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</w:p>
        </w:tc>
        <w:tc>
          <w:tcPr>
            <w:tcW w:w="2311" w:type="dxa"/>
          </w:tcPr>
          <w:p w:rsidR="005708FD" w:rsidRDefault="003A55F6" w:rsidP="003C6FDC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DAT51</w:t>
            </w:r>
          </w:p>
        </w:tc>
      </w:tr>
    </w:tbl>
    <w:p w:rsidR="005708FD" w:rsidRDefault="005708FD" w:rsidP="003C6FDC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08FD" w:rsidRPr="005708FD" w:rsidRDefault="005708FD" w:rsidP="005708FD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Fit a linear model to the data, where </w:t>
      </w:r>
      <w:proofErr w:type="spellStart"/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Conc</w:t>
      </w:r>
      <w:proofErr w:type="spellEnd"/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independent variable and </w:t>
      </w:r>
      <w:r w:rsidRPr="00B47DF6">
        <w:rPr>
          <w:rFonts w:ascii="Verdana" w:eastAsia="Times New Roman" w:hAnsi="Verdana" w:cs="Courier New"/>
          <w:b/>
          <w:i/>
          <w:color w:val="000000"/>
          <w:sz w:val="20"/>
          <w:szCs w:val="20"/>
          <w:lang w:eastAsia="en-IE"/>
        </w:rPr>
        <w:t>Rate</w:t>
      </w:r>
      <w:r w:rsidRPr="005708FD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is the dependent variable</w:t>
      </w:r>
    </w:p>
    <w:p w:rsidR="005708FD" w:rsidRPr="00B47DF6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 for this fitted model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[1 Mark]</w:t>
      </w:r>
    </w:p>
    <w:p w:rsidR="005708FD" w:rsidRDefault="005708FD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B47DF6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Determine 95% confidence intervals for regression estimates</w:t>
      </w:r>
      <w:r w:rsid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 [2 Marks]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What are the p-values associated with each of the regression coefficients? [1 Mark]</w:t>
      </w:r>
    </w:p>
    <w:p w:rsidR="00CA6D31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For the slope estimate, interpret the corresponding p-value.[ 1 Mark]</w:t>
      </w:r>
    </w:p>
    <w:p w:rsidR="00CA6D31" w:rsidRPr="00B47DF6" w:rsidRDefault="00CA6D31" w:rsidP="00B47DF6">
      <w:pPr>
        <w:pStyle w:val="ListParagraph"/>
        <w:numPr>
          <w:ilvl w:val="0"/>
          <w:numId w:val="2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Compute the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Akaike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Information Criterion (AIC) for this fitted Model [ 1 Mark]</w:t>
      </w: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br w:type="page"/>
      </w:r>
    </w:p>
    <w:p w:rsidR="00B47DF6" w:rsidRPr="00574228" w:rsidRDefault="005A29F4" w:rsidP="005708FD">
      <w:pP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</w:pPr>
      <w:r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lastRenderedPageBreak/>
        <w:t xml:space="preserve">Multiple Linear Regression and ANOVA </w:t>
      </w:r>
      <w:r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- 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Question 3 (</w:t>
      </w:r>
      <w:r w:rsidR="00437325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>8</w:t>
      </w:r>
      <w:r w:rsidR="00B47DF6" w:rsidRPr="00574228">
        <w:rPr>
          <w:rFonts w:ascii="Verdana" w:eastAsia="Times New Roman" w:hAnsi="Verdana" w:cs="Courier New"/>
          <w:b/>
          <w:color w:val="000000"/>
          <w:sz w:val="20"/>
          <w:szCs w:val="20"/>
          <w:u w:val="single"/>
          <w:lang w:eastAsia="en-IE"/>
        </w:rPr>
        <w:t xml:space="preserve"> Marks)</w:t>
      </w:r>
    </w:p>
    <w:p w:rsidR="00CA6D31" w:rsidRDefault="00CA6D31" w:rsidP="00CA6D31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Olive oil is compose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d, in part,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of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(triglycerides or fats)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. </w:t>
      </w:r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The major fatty acids in olive oil </w:t>
      </w:r>
      <w:proofErr w:type="spellStart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triacylglycerols</w:t>
      </w:r>
      <w:proofErr w:type="spellEnd"/>
      <w:r w:rsidRPr="00CA6D31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are: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Oleic Acid - a mon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ounsaturated omega-9 fatty acid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DAT72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-a polyunsaturated omega-6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DAT10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Palmitic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DAT69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CA6D31" w:rsidRPr="00574228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Stearic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saturated fatty acid 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DAT60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</w:t>
      </w:r>
    </w:p>
    <w:p w:rsidR="00B47DF6" w:rsidRDefault="00CA6D31" w:rsidP="003A55F6">
      <w:pPr>
        <w:pStyle w:val="ListParagraph"/>
        <w:numPr>
          <w:ilvl w:val="0"/>
          <w:numId w:val="10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proofErr w:type="spellStart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Linolenic</w:t>
      </w:r>
      <w:proofErr w:type="spellEnd"/>
      <w:r w:rsidRP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Acid - a polyunsaturated omega-3 fatty acid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(</w:t>
      </w:r>
      <w:r w:rsidR="00574228"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DAT7</w:t>
      </w:r>
      <w:r w:rsidR="00574228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8)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 sample of 40 brands of olive were sampled and given a quality rating (</w:t>
      </w:r>
      <w:r w:rsidRPr="00574228">
        <w:rPr>
          <w:rFonts w:ascii="Courier New" w:eastAsia="Times New Roman" w:hAnsi="Courier New" w:cs="Courier New"/>
          <w:color w:val="000000"/>
          <w:sz w:val="20"/>
          <w:szCs w:val="20"/>
          <w:lang w:eastAsia="en-IE"/>
        </w:rPr>
        <w:t>DAT47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).</w:t>
      </w:r>
    </w:p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Using the quality 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rating as a dependent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variable, fit a linear model to predict the quality of olive oil using the following sets of independent variables.</w:t>
      </w:r>
    </w:p>
    <w:tbl>
      <w:tblPr>
        <w:tblStyle w:val="TableGrid"/>
        <w:tblW w:w="0" w:type="auto"/>
        <w:tblLook w:val="04A0"/>
      </w:tblPr>
      <w:tblGrid>
        <w:gridCol w:w="932"/>
        <w:gridCol w:w="7681"/>
      </w:tblGrid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Model</w:t>
            </w:r>
          </w:p>
        </w:tc>
        <w:tc>
          <w:tcPr>
            <w:tcW w:w="7681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Variables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A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proofErr w:type="spellStart"/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Palmitic</w:t>
            </w:r>
            <w:proofErr w:type="spellEnd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574228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69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),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Linoleic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DAT60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  <w:tr w:rsidR="00574228" w:rsidTr="00574228">
        <w:tc>
          <w:tcPr>
            <w:tcW w:w="932" w:type="dxa"/>
          </w:tcPr>
          <w:p w:rsidR="00574228" w:rsidRDefault="00574228" w:rsidP="00574228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B</w:t>
            </w:r>
          </w:p>
        </w:tc>
        <w:tc>
          <w:tcPr>
            <w:tcW w:w="7681" w:type="dxa"/>
          </w:tcPr>
          <w:p w:rsidR="00574228" w:rsidRDefault="002B108A" w:rsidP="002B108A">
            <w:pP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Oleic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72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, </w:t>
            </w:r>
            <w:proofErr w:type="spellStart"/>
            <w:r w:rsidR="00574228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Stearic</w:t>
            </w:r>
            <w:proofErr w:type="spellEnd"/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 xml:space="preserve"> (</w:t>
            </w:r>
            <w:r w:rsidR="00E263BF" w:rsidRPr="00E263B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E"/>
              </w:rPr>
              <w:t>DAT10</w:t>
            </w:r>
            <w:r w:rsidR="00E263BF">
              <w:rPr>
                <w:rFonts w:ascii="Verdana" w:eastAsia="Times New Roman" w:hAnsi="Verdana" w:cs="Courier New"/>
                <w:color w:val="000000"/>
                <w:sz w:val="20"/>
                <w:szCs w:val="20"/>
                <w:lang w:eastAsia="en-IE"/>
              </w:rPr>
              <w:t>)</w:t>
            </w:r>
          </w:p>
        </w:tc>
      </w:tr>
    </w:tbl>
    <w:p w:rsidR="00574228" w:rsidRDefault="00574228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574228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regression equations for both fitted models A and B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 ]</w:t>
      </w:r>
    </w:p>
    <w:p w:rsidR="00E263BF" w:rsidRPr="002B108A" w:rsidRDefault="00E263BF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Write down the adjusted R square values for both linear models</w:t>
      </w:r>
      <w:r w:rsid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E263BF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Which of the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two models better fits the data?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Explain your answer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[2 Marks]</w:t>
      </w:r>
    </w:p>
    <w:p w:rsidR="002B108A" w:rsidRPr="002B108A" w:rsidRDefault="002B108A" w:rsidP="002B108A">
      <w:pPr>
        <w:pStyle w:val="ListParagraph"/>
        <w:numPr>
          <w:ilvl w:val="0"/>
          <w:numId w:val="6"/>
        </w:num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Complete the </w:t>
      </w:r>
      <w:r w:rsidRPr="002B108A">
        <w:rPr>
          <w:rFonts w:ascii="Verdana" w:eastAsia="Times New Roman" w:hAnsi="Verdana" w:cs="Courier New"/>
          <w:i/>
          <w:color w:val="000000"/>
          <w:sz w:val="20"/>
          <w:szCs w:val="20"/>
          <w:lang w:eastAsia="en-IE"/>
        </w:rPr>
        <w:t>Analysis of Variance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t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able for fitted model B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>.</w:t>
      </w:r>
      <w:r w:rsidRPr="002B108A"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  <w:t xml:space="preserve"> [ 2 Marks ]</w:t>
      </w:r>
    </w:p>
    <w:p w:rsidR="002B108A" w:rsidRDefault="002B108A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tbl>
      <w:tblPr>
        <w:tblW w:w="9149" w:type="dxa"/>
        <w:tblInd w:w="93" w:type="dxa"/>
        <w:tblLook w:val="04A0"/>
      </w:tblPr>
      <w:tblGrid>
        <w:gridCol w:w="1149"/>
        <w:gridCol w:w="754"/>
        <w:gridCol w:w="1526"/>
        <w:gridCol w:w="1219"/>
        <w:gridCol w:w="1715"/>
        <w:gridCol w:w="1327"/>
        <w:gridCol w:w="1459"/>
      </w:tblGrid>
      <w:tr w:rsidR="00E263BF" w:rsidRPr="00E263BF" w:rsidTr="00E263BF">
        <w:trPr>
          <w:trHeight w:val="300"/>
        </w:trPr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proofErr w:type="spellStart"/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Df</w:t>
            </w:r>
            <w:proofErr w:type="spellEnd"/>
          </w:p>
        </w:tc>
        <w:tc>
          <w:tcPr>
            <w:tcW w:w="15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Sum Sq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Mean Sq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F value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Pr(&gt;F)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E"/>
              </w:rPr>
              <w:t>(asterisks)</w:t>
            </w: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DAT72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483222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&lt; 2.2e-16</w:t>
            </w: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DAT10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1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29173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  <w:tr w:rsidR="00E263BF" w:rsidRPr="00E263BF" w:rsidTr="00E263BF">
        <w:trPr>
          <w:trHeight w:val="300"/>
        </w:trPr>
        <w:tc>
          <w:tcPr>
            <w:tcW w:w="1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Residuals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  <w:r w:rsidRPr="00E263BF">
              <w:rPr>
                <w:rFonts w:ascii="Calibri" w:eastAsia="Times New Roman" w:hAnsi="Calibri" w:cs="Times New Roman"/>
                <w:color w:val="000000"/>
                <w:lang w:eastAsia="en-IE"/>
              </w:rPr>
              <w:t>57157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  <w:tc>
          <w:tcPr>
            <w:tcW w:w="1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263BF" w:rsidRPr="00E263BF" w:rsidRDefault="00E263BF" w:rsidP="00E263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E"/>
              </w:rPr>
            </w:pPr>
          </w:p>
        </w:tc>
      </w:tr>
    </w:tbl>
    <w:p w:rsidR="00E263BF" w:rsidRDefault="00E263BF" w:rsidP="00E263BF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E263BF" w:rsidRDefault="00E263BF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p w:rsidR="002B108A" w:rsidRPr="00574228" w:rsidRDefault="002B108A" w:rsidP="00574228">
      <w:pPr>
        <w:rPr>
          <w:rFonts w:ascii="Verdana" w:eastAsia="Times New Roman" w:hAnsi="Verdana" w:cs="Courier New"/>
          <w:color w:val="000000"/>
          <w:sz w:val="20"/>
          <w:szCs w:val="20"/>
          <w:lang w:eastAsia="en-IE"/>
        </w:rPr>
      </w:pPr>
    </w:p>
    <w:sectPr w:rsidR="002B108A" w:rsidRPr="0057422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165C9"/>
    <w:multiLevelType w:val="hybridMultilevel"/>
    <w:tmpl w:val="4EF442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04EC9"/>
    <w:multiLevelType w:val="hybridMultilevel"/>
    <w:tmpl w:val="977AB492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6172C"/>
    <w:multiLevelType w:val="hybridMultilevel"/>
    <w:tmpl w:val="72407538"/>
    <w:lvl w:ilvl="0" w:tplc="18090011">
      <w:start w:val="1"/>
      <w:numFmt w:val="decimal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240FA"/>
    <w:multiLevelType w:val="hybridMultilevel"/>
    <w:tmpl w:val="03E8373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C3C5A"/>
    <w:multiLevelType w:val="hybridMultilevel"/>
    <w:tmpl w:val="205835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7787B"/>
    <w:multiLevelType w:val="hybridMultilevel"/>
    <w:tmpl w:val="9E8A7D4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3A6209"/>
    <w:multiLevelType w:val="hybridMultilevel"/>
    <w:tmpl w:val="7F6E12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71403A"/>
    <w:multiLevelType w:val="hybridMultilevel"/>
    <w:tmpl w:val="4824E5C6"/>
    <w:lvl w:ilvl="0" w:tplc="18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7F26387"/>
    <w:multiLevelType w:val="hybridMultilevel"/>
    <w:tmpl w:val="0F28F7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4849DE"/>
    <w:multiLevelType w:val="hybridMultilevel"/>
    <w:tmpl w:val="7B68B4FC"/>
    <w:lvl w:ilvl="0" w:tplc="983A81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C0227"/>
    <w:rsid w:val="001348FA"/>
    <w:rsid w:val="001B506A"/>
    <w:rsid w:val="001C5319"/>
    <w:rsid w:val="002A7E08"/>
    <w:rsid w:val="002B108A"/>
    <w:rsid w:val="002E306F"/>
    <w:rsid w:val="003A55F6"/>
    <w:rsid w:val="003C6FDC"/>
    <w:rsid w:val="004254FA"/>
    <w:rsid w:val="00437325"/>
    <w:rsid w:val="00546BF7"/>
    <w:rsid w:val="005708FD"/>
    <w:rsid w:val="00574228"/>
    <w:rsid w:val="00585EFE"/>
    <w:rsid w:val="005A29F4"/>
    <w:rsid w:val="00646266"/>
    <w:rsid w:val="00652B57"/>
    <w:rsid w:val="006E7F63"/>
    <w:rsid w:val="007C40A0"/>
    <w:rsid w:val="007F3103"/>
    <w:rsid w:val="00841181"/>
    <w:rsid w:val="009B7617"/>
    <w:rsid w:val="00AE54DA"/>
    <w:rsid w:val="00AF75BE"/>
    <w:rsid w:val="00B47DF6"/>
    <w:rsid w:val="00BB0539"/>
    <w:rsid w:val="00BE3187"/>
    <w:rsid w:val="00C9680D"/>
    <w:rsid w:val="00CA6D31"/>
    <w:rsid w:val="00D9197A"/>
    <w:rsid w:val="00DB1BC1"/>
    <w:rsid w:val="00DC0227"/>
    <w:rsid w:val="00E263BF"/>
    <w:rsid w:val="00E714F9"/>
    <w:rsid w:val="00F95188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2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227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apple-converted-space">
    <w:name w:val="apple-converted-space"/>
    <w:basedOn w:val="DefaultParagraphFont"/>
    <w:rsid w:val="005708FD"/>
  </w:style>
  <w:style w:type="table" w:styleId="TableGrid">
    <w:name w:val="Table Grid"/>
    <w:basedOn w:val="TableNormal"/>
    <w:uiPriority w:val="59"/>
    <w:rsid w:val="005708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08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3</cp:revision>
  <cp:lastPrinted>2012-11-01T20:28:00Z</cp:lastPrinted>
  <dcterms:created xsi:type="dcterms:W3CDTF">2012-11-02T19:42:00Z</dcterms:created>
  <dcterms:modified xsi:type="dcterms:W3CDTF">2012-11-02T19:44:00Z</dcterms:modified>
</cp:coreProperties>
</file>