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Default="00255477">
      <w:r>
        <w:t>Weighted and Non-linear regression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B573CD" w:rsidTr="00B573CD">
        <w:trPr>
          <w:cnfStyle w:val="100000000000"/>
        </w:trPr>
        <w:tc>
          <w:tcPr>
            <w:cnfStyle w:val="001000000000"/>
            <w:tcW w:w="9242" w:type="dxa"/>
          </w:tcPr>
          <w:p w:rsidR="00B573CD" w:rsidRDefault="00B573CD"/>
        </w:tc>
      </w:tr>
    </w:tbl>
    <w:p w:rsidR="00255477" w:rsidRDefault="00255477"/>
    <w:p w:rsidR="00B573CD" w:rsidRDefault="00B573CD"/>
    <w:p w:rsidR="00B573CD" w:rsidRDefault="00B573CD"/>
    <w:p w:rsidR="00B573CD" w:rsidRDefault="00B573CD" w:rsidP="00B573CD"/>
    <w:tbl>
      <w:tblPr>
        <w:tblStyle w:val="MediumGrid1-Accent2"/>
        <w:tblW w:w="0" w:type="auto"/>
        <w:tblLook w:val="04A0"/>
      </w:tblPr>
      <w:tblGrid>
        <w:gridCol w:w="9242"/>
      </w:tblGrid>
      <w:tr w:rsidR="00B573CD" w:rsidTr="007B4860">
        <w:trPr>
          <w:cnfStyle w:val="100000000000"/>
        </w:trPr>
        <w:tc>
          <w:tcPr>
            <w:cnfStyle w:val="001000000000"/>
            <w:tcW w:w="9242" w:type="dxa"/>
          </w:tcPr>
          <w:p w:rsidR="00B573CD" w:rsidRDefault="00B573CD" w:rsidP="007B4860"/>
        </w:tc>
      </w:tr>
    </w:tbl>
    <w:p w:rsidR="00B573CD" w:rsidRDefault="00B573CD" w:rsidP="00B573CD"/>
    <w:p w:rsidR="00B573CD" w:rsidRDefault="00B573CD"/>
    <w:p w:rsidR="00B573CD" w:rsidRDefault="00B573CD"/>
    <w:p w:rsidR="00B573CD" w:rsidRDefault="00B573CD"/>
    <w:p w:rsidR="00B573CD" w:rsidRDefault="00B573CD" w:rsidP="00B573CD"/>
    <w:tbl>
      <w:tblPr>
        <w:tblStyle w:val="MediumGrid1-Accent2"/>
        <w:tblW w:w="0" w:type="auto"/>
        <w:tblLook w:val="04A0"/>
      </w:tblPr>
      <w:tblGrid>
        <w:gridCol w:w="9242"/>
      </w:tblGrid>
      <w:tr w:rsidR="00B573CD" w:rsidTr="007B4860">
        <w:trPr>
          <w:cnfStyle w:val="100000000000"/>
        </w:trPr>
        <w:tc>
          <w:tcPr>
            <w:cnfStyle w:val="001000000000"/>
            <w:tcW w:w="9242" w:type="dxa"/>
          </w:tcPr>
          <w:p w:rsidR="00B573CD" w:rsidRDefault="00B573CD" w:rsidP="007B4860"/>
        </w:tc>
      </w:tr>
    </w:tbl>
    <w:p w:rsidR="00B573CD" w:rsidRDefault="00B573CD" w:rsidP="00B573CD"/>
    <w:p w:rsidR="00B573CD" w:rsidRDefault="00B573CD"/>
    <w:p w:rsidR="00B573CD" w:rsidRDefault="00B573CD"/>
    <w:p w:rsidR="00B573CD" w:rsidRDefault="00B573CD" w:rsidP="00B573CD"/>
    <w:tbl>
      <w:tblPr>
        <w:tblStyle w:val="MediumGrid1-Accent2"/>
        <w:tblW w:w="0" w:type="auto"/>
        <w:tblLook w:val="04A0"/>
      </w:tblPr>
      <w:tblGrid>
        <w:gridCol w:w="9242"/>
      </w:tblGrid>
      <w:tr w:rsidR="00B573CD" w:rsidTr="007B4860">
        <w:trPr>
          <w:cnfStyle w:val="100000000000"/>
        </w:trPr>
        <w:tc>
          <w:tcPr>
            <w:cnfStyle w:val="001000000000"/>
            <w:tcW w:w="9242" w:type="dxa"/>
          </w:tcPr>
          <w:p w:rsidR="00B573CD" w:rsidRDefault="00B573CD" w:rsidP="007B4860"/>
        </w:tc>
      </w:tr>
    </w:tbl>
    <w:p w:rsidR="00B573CD" w:rsidRDefault="00B573CD" w:rsidP="00B573CD"/>
    <w:p w:rsidR="00B573CD" w:rsidRDefault="00B573CD"/>
    <w:sectPr w:rsidR="00B573CD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5477"/>
    <w:rsid w:val="001348FA"/>
    <w:rsid w:val="001B506A"/>
    <w:rsid w:val="001C5319"/>
    <w:rsid w:val="00255477"/>
    <w:rsid w:val="002A7E08"/>
    <w:rsid w:val="002E306F"/>
    <w:rsid w:val="004254FA"/>
    <w:rsid w:val="00652B57"/>
    <w:rsid w:val="006E7F63"/>
    <w:rsid w:val="007C40A0"/>
    <w:rsid w:val="00841181"/>
    <w:rsid w:val="00AB0D20"/>
    <w:rsid w:val="00AE54DA"/>
    <w:rsid w:val="00AF75BE"/>
    <w:rsid w:val="00B573CD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B57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University of Limerick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2012-09-26T11:13:00Z</dcterms:created>
  <dcterms:modified xsi:type="dcterms:W3CDTF">2012-09-26T11:14:00Z</dcterms:modified>
</cp:coreProperties>
</file>