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LegmaMiteo — Firmware Stazione base</w:t>
      </w:r>
    </w:p>
    <w:p>
      <w:pPr>
        <w:spacing w:after="300"/>
      </w:pPr>
      <w:r>
        <w:rPr>
          <w:i/>
          <w:iCs/>
        </w:rPr>
        <w:t xml:space="preserve">Stazione-001-V2 — BMP180 + SD + MQTT su TLS + Deep Sleep</w:t>
      </w:r>
    </w:p>
    <w:p>
      <w:pPr>
        <w:pStyle w:val="Heading1"/>
        <w:spacing w:after="150" w:before="300"/>
      </w:pPr>
      <w:r>
        <w:t xml:space="preserve">1. Panoramica</w:t>
      </w:r>
    </w:p>
    <w:p>
      <w:pPr>
        <w:spacing w:after="120"/>
      </w:pPr>
      <w:r>
        <w:t xml:space="preserve">Questo documento descrive il funzionamento del firmware della stazione meteo base del progetto LegmaMiteo, basato su ESP32-S3-WROOM-1-N16R8. La stazione legge un dato di temperatura/pressione dal sensore BMP180, lo invia via MQTT (su TLS, tramite Tailscale Funnel) e, se la rete non è disponibile, lo salva in coda su microSD per un invio successivo. Il ciclo di funzionamento si basa interamente sul deep sleep: ad ogni risveglio la scheda riparte da un reset completo (WiFi e MQTT si riconnettono da zero), mentre alcune variabili sopravvivono al sonno grazie alla RTC memory.</w:t>
      </w:r>
    </w:p>
    <w:p>
      <w:pPr>
        <w:pStyle w:val="Heading1"/>
        <w:spacing w:after="150" w:before="300"/>
      </w:pPr>
      <w:r>
        <w:t xml:space="preserve">2. Architettura del ciclo</w:t>
      </w:r>
    </w:p>
    <w:p>
      <w:pPr>
        <w:spacing w:after="120"/>
      </w:pPr>
      <w:r>
        <w:t xml:space="preserve">Non esiste un loop continuo: la funzione loop() non viene mai eseguita. Tutta la logica gira dentro setup(), che al termine chiama sempre goToDeepSleep(). Ad ogni risveglio la sequenza è:</w:t>
      </w:r>
    </w:p>
    <w:p>
      <w:pPr>
        <w:pStyle w:val="ListParagraph"/>
        <w:numPr>
          <w:ilvl w:val="0"/>
          <w:numId w:val="1"/>
        </w:numPr>
        <w:spacing w:after="80"/>
      </w:pPr>
      <w:r>
        <w:t xml:space="preserve">Avvio seriale e LED RGB (il colore precedente resta acceso finché non viene aggiornato)</w:t>
      </w:r>
    </w:p>
    <w:p>
      <w:pPr>
        <w:pStyle w:val="ListParagraph"/>
        <w:numPr>
          <w:ilvl w:val="0"/>
          <w:numId w:val="1"/>
        </w:numPr>
        <w:spacing w:after="80"/>
      </w:pPr>
      <w:r>
        <w:t xml:space="preserve">Impostazione del fuso orario (configTime), sempre, anche senza WiFi</w:t>
      </w:r>
    </w:p>
    <w:p>
      <w:pPr>
        <w:pStyle w:val="ListParagraph"/>
        <w:numPr>
          <w:ilvl w:val="0"/>
          <w:numId w:val="1"/>
        </w:numPr>
        <w:spacing w:after="80"/>
      </w:pPr>
      <w:r>
        <w:t xml:space="preserve">Inizializzazione I2C (BMP180) e SPI (microSD)</w:t>
      </w:r>
    </w:p>
    <w:p>
      <w:pPr>
        <w:pStyle w:val="ListParagraph"/>
        <w:numPr>
          <w:ilvl w:val="0"/>
          <w:numId w:val="1"/>
        </w:numPr>
        <w:spacing w:after="80"/>
      </w:pPr>
      <w:r>
        <w:t xml:space="preserve">Configurazione del client MQTT (server, buffer, timeout)</w:t>
      </w:r>
    </w:p>
    <w:p>
      <w:pPr>
        <w:pStyle w:val="ListParagraph"/>
        <w:numPr>
          <w:ilvl w:val="0"/>
          <w:numId w:val="1"/>
        </w:numPr>
        <w:spacing w:after="80"/>
      </w:pPr>
      <w:r>
        <w:t xml:space="preserve">Tentativo di connessione WiFi, poi MQTT</w:t>
      </w:r>
    </w:p>
    <w:p>
      <w:pPr>
        <w:pStyle w:val="ListParagraph"/>
        <w:numPr>
          <w:ilvl w:val="0"/>
          <w:numId w:val="1"/>
        </w:numPr>
        <w:spacing w:after="80"/>
      </w:pPr>
      <w:r>
        <w:t xml:space="preserve">Lettura del sensore e invio o salvataggio locale del dato live</w:t>
      </w:r>
    </w:p>
    <w:p>
      <w:pPr>
        <w:pStyle w:val="ListParagraph"/>
        <w:numPr>
          <w:ilvl w:val="0"/>
          <w:numId w:val="1"/>
        </w:numPr>
        <w:spacing w:after="80"/>
      </w:pPr>
      <w:r>
        <w:t xml:space="preserve">Se la connessione MQTT è attiva, invio del backlog accumulato su SD</w:t>
      </w:r>
    </w:p>
    <w:p>
      <w:pPr>
        <w:pStyle w:val="ListParagraph"/>
        <w:numPr>
          <w:ilvl w:val="0"/>
          <w:numId w:val="1"/>
        </w:numPr>
        <w:spacing w:after="80"/>
      </w:pPr>
      <w:r>
        <w:t xml:space="preserve">Disconnessione pulita e ingresso in deep sleep per il tempo restante del ciclo (10 secondi target)</w:t>
      </w:r>
    </w:p>
    <w:p>
      <w:pPr>
        <w:pStyle w:val="Heading1"/>
        <w:spacing w:after="150" w:before="300"/>
      </w:pPr>
      <w:r>
        <w:t xml:space="preserve">3. Piedinatura (pin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c>
          <w:tcPr>
            <w:tcW w:type="dxa" w:w="3000"/>
            <w:shd w:fill="DDEBF7" w:val="clear"/>
          </w:tcPr>
          <w:p>
            <w:r>
              <w:rPr>
                <w:b/>
                <w:bCs/>
              </w:rPr>
              <w:t xml:space="preserve">Funzione</w:t>
            </w:r>
          </w:p>
        </w:tc>
        <w:tc>
          <w:tcPr>
            <w:tcW w:type="dxa" w:w="3000"/>
            <w:shd w:fill="DDEBF7" w:val="clear"/>
          </w:tcPr>
          <w:p>
            <w:r>
              <w:rPr>
                <w:b/>
                <w:bCs/>
              </w:rPr>
              <w:t xml:space="preserve">Pin GPIO</w:t>
            </w:r>
          </w:p>
        </w:tc>
        <w:tc>
          <w:tcPr>
            <w:tcW w:type="dxa" w:w="3500"/>
            <w:shd w:fill="DDEBF7" w:val="clear"/>
          </w:tcPr>
          <w:p>
            <w:r>
              <w:rPr>
                <w:b/>
                <w:bCs/>
              </w:rPr>
              <w:t xml:space="preserve">Note</w:t>
            </w:r>
          </w:p>
        </w:tc>
      </w:tr>
      <w:tr>
        <w:tc>
          <w:tcPr>
            <w:tcW w:type="dxa" w:w="3000"/>
          </w:tcPr>
          <w:p>
            <w:r>
              <w:rPr>
                <w:b w:val="false"/>
                <w:bCs w:val="false"/>
              </w:rPr>
              <w:t xml:space="preserve">I2C SDA (BMP180)</w:t>
            </w:r>
          </w:p>
        </w:tc>
        <w:tc>
          <w:tcPr>
            <w:tcW w:type="dxa" w:w="3000"/>
          </w:tcPr>
          <w:p>
            <w:r>
              <w:rPr>
                <w:b w:val="false"/>
                <w:bCs w:val="false"/>
              </w:rPr>
              <w:t xml:space="preserve">4</w:t>
            </w:r>
          </w:p>
        </w:tc>
        <w:tc>
          <w:tcPr>
            <w:tcW w:type="dxa" w:w="3500"/>
          </w:tcPr>
          <w:p>
            <w:r>
              <w:rPr>
                <w:b w:val="false"/>
                <w:bCs w:val="false"/>
              </w:rPr>
              <w:t xml:space="preserve"/>
            </w:r>
          </w:p>
        </w:tc>
      </w:tr>
      <w:tr>
        <w:tc>
          <w:tcPr>
            <w:tcW w:type="dxa" w:w="3000"/>
          </w:tcPr>
          <w:p>
            <w:r>
              <w:rPr>
                <w:b w:val="false"/>
                <w:bCs w:val="false"/>
              </w:rPr>
              <w:t xml:space="preserve">I2C SCL (BMP180)</w:t>
            </w:r>
          </w:p>
        </w:tc>
        <w:tc>
          <w:tcPr>
            <w:tcW w:type="dxa" w:w="3000"/>
          </w:tcPr>
          <w:p>
            <w:r>
              <w:rPr>
                <w:b w:val="false"/>
                <w:bCs w:val="false"/>
              </w:rPr>
              <w:t xml:space="preserve">5</w:t>
            </w:r>
          </w:p>
        </w:tc>
        <w:tc>
          <w:tcPr>
            <w:tcW w:type="dxa" w:w="3500"/>
          </w:tcPr>
          <w:p>
            <w:r>
              <w:rPr>
                <w:b w:val="false"/>
                <w:bCs w:val="false"/>
              </w:rPr>
              <w:t xml:space="preserve"/>
            </w:r>
          </w:p>
        </w:tc>
      </w:tr>
      <w:tr>
        <w:tc>
          <w:tcPr>
            <w:tcW w:type="dxa" w:w="3000"/>
          </w:tcPr>
          <w:p>
            <w:r>
              <w:rPr>
                <w:b w:val="false"/>
                <w:bCs w:val="false"/>
              </w:rPr>
              <w:t xml:space="preserve">SPI MISO (SD)</w:t>
            </w:r>
          </w:p>
        </w:tc>
        <w:tc>
          <w:tcPr>
            <w:tcW w:type="dxa" w:w="3000"/>
          </w:tcPr>
          <w:p>
            <w:r>
              <w:rPr>
                <w:b w:val="false"/>
                <w:bCs w:val="false"/>
              </w:rPr>
              <w:t xml:space="preserve">16</w:t>
            </w:r>
          </w:p>
        </w:tc>
        <w:tc>
          <w:tcPr>
            <w:tcW w:type="dxa" w:w="3500"/>
          </w:tcPr>
          <w:p>
            <w:r>
              <w:rPr>
                <w:b w:val="false"/>
                <w:bCs w:val="false"/>
              </w:rPr>
              <w:t xml:space="preserve"/>
            </w:r>
          </w:p>
        </w:tc>
      </w:tr>
      <w:tr>
        <w:tc>
          <w:tcPr>
            <w:tcW w:type="dxa" w:w="3000"/>
          </w:tcPr>
          <w:p>
            <w:r>
              <w:rPr>
                <w:b w:val="false"/>
                <w:bCs w:val="false"/>
              </w:rPr>
              <w:t xml:space="preserve">SPI CLK (SD)</w:t>
            </w:r>
          </w:p>
        </w:tc>
        <w:tc>
          <w:tcPr>
            <w:tcW w:type="dxa" w:w="3000"/>
          </w:tcPr>
          <w:p>
            <w:r>
              <w:rPr>
                <w:b w:val="false"/>
                <w:bCs w:val="false"/>
              </w:rPr>
              <w:t xml:space="preserve">17</w:t>
            </w:r>
          </w:p>
        </w:tc>
        <w:tc>
          <w:tcPr>
            <w:tcW w:type="dxa" w:w="3500"/>
          </w:tcPr>
          <w:p>
            <w:r>
              <w:rPr>
                <w:b w:val="false"/>
                <w:bCs w:val="false"/>
              </w:rPr>
              <w:t xml:space="preserve"/>
            </w:r>
          </w:p>
        </w:tc>
      </w:tr>
      <w:tr>
        <w:tc>
          <w:tcPr>
            <w:tcW w:type="dxa" w:w="3000"/>
          </w:tcPr>
          <w:p>
            <w:r>
              <w:rPr>
                <w:b w:val="false"/>
                <w:bCs w:val="false"/>
              </w:rPr>
              <w:t xml:space="preserve">SPI MOSI (SD)</w:t>
            </w:r>
          </w:p>
        </w:tc>
        <w:tc>
          <w:tcPr>
            <w:tcW w:type="dxa" w:w="3000"/>
          </w:tcPr>
          <w:p>
            <w:r>
              <w:rPr>
                <w:b w:val="false"/>
                <w:bCs w:val="false"/>
              </w:rPr>
              <w:t xml:space="preserve">15</w:t>
            </w:r>
          </w:p>
        </w:tc>
        <w:tc>
          <w:tcPr>
            <w:tcW w:type="dxa" w:w="3500"/>
          </w:tcPr>
          <w:p>
            <w:r>
              <w:rPr>
                <w:b w:val="false"/>
                <w:bCs w:val="false"/>
              </w:rPr>
              <w:t xml:space="preserve"/>
            </w:r>
          </w:p>
        </w:tc>
      </w:tr>
      <w:tr>
        <w:tc>
          <w:tcPr>
            <w:tcW w:type="dxa" w:w="3000"/>
          </w:tcPr>
          <w:p>
            <w:r>
              <w:rPr>
                <w:b w:val="false"/>
                <w:bCs w:val="false"/>
              </w:rPr>
              <w:t xml:space="preserve">Chip Select SD</w:t>
            </w:r>
          </w:p>
        </w:tc>
        <w:tc>
          <w:tcPr>
            <w:tcW w:type="dxa" w:w="3000"/>
          </w:tcPr>
          <w:p>
            <w:r>
              <w:rPr>
                <w:b w:val="false"/>
                <w:bCs w:val="false"/>
              </w:rPr>
              <w:t xml:space="preserve">18</w:t>
            </w:r>
          </w:p>
        </w:tc>
        <w:tc>
          <w:tcPr>
            <w:tcW w:type="dxa" w:w="3500"/>
          </w:tcPr>
          <w:p>
            <w:r>
              <w:rPr>
                <w:b w:val="false"/>
                <w:bCs w:val="false"/>
              </w:rPr>
              <w:t xml:space="preserve"/>
            </w:r>
          </w:p>
        </w:tc>
      </w:tr>
      <w:tr>
        <w:tc>
          <w:tcPr>
            <w:tcW w:type="dxa" w:w="3000"/>
          </w:tcPr>
          <w:p>
            <w:r>
              <w:rPr>
                <w:b w:val="false"/>
                <w:bCs w:val="false"/>
              </w:rPr>
              <w:t xml:space="preserve">LED RGB WS2812</w:t>
            </w:r>
          </w:p>
        </w:tc>
        <w:tc>
          <w:tcPr>
            <w:tcW w:type="dxa" w:w="3000"/>
          </w:tcPr>
          <w:p>
            <w:r>
              <w:rPr>
                <w:b w:val="false"/>
                <w:bCs w:val="false"/>
              </w:rPr>
              <w:t xml:space="preserve">48</w:t>
            </w:r>
          </w:p>
        </w:tc>
        <w:tc>
          <w:tcPr>
            <w:tcW w:type="dxa" w:w="3500"/>
          </w:tcPr>
          <w:p>
            <w:r>
              <w:rPr>
                <w:b w:val="false"/>
                <w:bCs w:val="false"/>
              </w:rPr>
              <w:t xml:space="preserve">38 su alcuni cloni (es. Freenove)</w:t>
            </w:r>
          </w:p>
        </w:tc>
      </w:tr>
    </w:tbl>
    <w:p>
      <w:pPr>
        <w:spacing w:after="200"/>
      </w:pPr>
    </w:p>
    <w:p>
      <w:pPr>
        <w:pStyle w:val="Heading1"/>
        <w:spacing w:after="150" w:before="300"/>
      </w:pPr>
      <w:r>
        <w:t xml:space="preserve">4. Gestione del tempo (NTP + fallback HTTP)</w:t>
      </w:r>
    </w:p>
    <w:p>
      <w:pPr>
        <w:spacing w:after="120"/>
      </w:pPr>
      <w:r>
        <w:t xml:space="preserve">La sincronizzazione dell'orario avviene tramite NTP (time.google.com, con pool.ntp.org e time.cloudflare.com come server secondari passati a configTime). Il flag timeSynchronized, conservato in RTC memory, evita di ripetere la sincronizzazione NTP ad ogni ciclo una volta riuscita.</w:t>
      </w:r>
    </w:p>
    <w:p>
      <w:pPr>
        <w:spacing w:after="120"/>
      </w:pPr>
      <w:r>
        <w:t xml:space="preserve">Se NTP fallisce (tipico su reti che filtrano UDP, come un hotspot Windows con ICS), il firmware tenta un fallback via HTTPS verso timeapi.io, che restituisce l'orario in JSON e lo imposta manualmente con settimeofday().</w:t>
      </w:r>
    </w:p>
    <w:p>
      <w:pPr>
        <w:spacing w:after="120"/>
      </w:pPr>
      <w:r>
        <w:t xml:space="preserve">Nota importante: configTime() viene chiamato incondizionatamente all'inizio di ogni ciclo, anche se timeSynchronized è già true, altrimenti l'offset GMT+DST non verrebbe applicato correttamente nel boot corrente e i timestamp salvati su SD risulterebbero sfasati.</w:t>
      </w:r>
    </w:p>
    <w:p>
      <w:pPr>
        <w:pStyle w:val="Heading1"/>
        <w:spacing w:after="150" w:before="300"/>
      </w:pPr>
      <w:r>
        <w:t xml:space="preserve">5. Connessione WiFi e diagnostica LED</w:t>
      </w:r>
    </w:p>
    <w:p>
      <w:pPr>
        <w:spacing w:after="120"/>
      </w:pPr>
      <w:r>
        <w:t xml:space="preserve">La connessione WiFi viene tentata una sola volta per ciclo (nessun retry loop prolungato, per non consumare batteria). In caso di fallimento, il firmware distingue due situazioni tramite una scansione delle reti visibili (ssidVisibileInAria):</w:t>
      </w:r>
    </w:p>
    <w:p>
      <w:pPr>
        <w:pStyle w:val="ListParagraph"/>
        <w:numPr>
          <w:ilvl w:val="0"/>
          <w:numId w:val="1"/>
        </w:numPr>
        <w:spacing w:after="80"/>
      </w:pPr>
      <w:r>
        <w:t xml:space="preserve">Rete non rilevata nell'aria → LED viola/magenta (router spento o fuori portata)</w:t>
      </w:r>
    </w:p>
    <w:p>
      <w:pPr>
        <w:pStyle w:val="ListParagraph"/>
        <w:numPr>
          <w:ilvl w:val="0"/>
          <w:numId w:val="1"/>
        </w:numPr>
        <w:spacing w:after="80"/>
      </w:pPr>
      <w:r>
        <w:t xml:space="preserve">Rete rilevata ma connessione fallita → LED rosso (segnale instabile o credenziali errate)</w:t>
      </w:r>
    </w:p>
    <w:p>
      <w:pPr>
        <w:spacing w:after="120"/>
      </w:pPr>
      <w:r>
        <w:t xml:space="preserve">In caso di successo, il colore del LED riflette la qualità del segnale (RSSI):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c>
          <w:tcPr>
            <w:tcW w:type="dxa" w:w="3500"/>
            <w:shd w:fill="DDEBF7" w:val="clear"/>
          </w:tcPr>
          <w:p>
            <w:r>
              <w:rPr>
                <w:b/>
                <w:bCs/>
              </w:rPr>
              <w:t xml:space="preserve">Colore</w:t>
            </w:r>
          </w:p>
        </w:tc>
        <w:tc>
          <w:tcPr>
            <w:tcW w:type="dxa" w:w="3000"/>
            <w:shd w:fill="DDEBF7" w:val="clear"/>
          </w:tcPr>
          <w:p>
            <w:r>
              <w:rPr>
                <w:b/>
                <w:bCs/>
              </w:rPr>
              <w:t xml:space="preserve">Significato</w:t>
            </w:r>
          </w:p>
        </w:tc>
        <w:tc>
          <w:tcPr>
            <w:tcW w:type="dxa" w:w="3000"/>
            <w:shd w:fill="DDEBF7" w:val="clear"/>
          </w:tcPr>
          <w:p>
            <w:r>
              <w:rPr>
                <w:b/>
                <w:bCs/>
              </w:rPr>
              <w:t xml:space="preserve">Condizione</w:t>
            </w:r>
          </w:p>
        </w:tc>
      </w:tr>
      <w:tr>
        <w:tc>
          <w:tcPr>
            <w:tcW w:type="dxa" w:w="3500"/>
          </w:tcPr>
          <w:p>
            <w:r>
              <w:rPr>
                <w:b w:val="false"/>
                <w:bCs w:val="false"/>
              </w:rPr>
              <w:t xml:space="preserve">Blu/Azzurro</w:t>
            </w:r>
          </w:p>
        </w:tc>
        <w:tc>
          <w:tcPr>
            <w:tcW w:type="dxa" w:w="3000"/>
          </w:tcPr>
          <w:p>
            <w:r>
              <w:rPr>
                <w:b w:val="false"/>
                <w:bCs w:val="false"/>
              </w:rPr>
              <w:t xml:space="preserve">Segnale WiFi perfetto</w:t>
            </w:r>
          </w:p>
        </w:tc>
        <w:tc>
          <w:tcPr>
            <w:tcW w:type="dxa" w:w="3000"/>
          </w:tcPr>
          <w:p>
            <w:r>
              <w:rPr>
                <w:b w:val="false"/>
                <w:bCs w:val="false"/>
              </w:rPr>
              <w:t xml:space="preserve">RSSI ≥ -55 dBm</w:t>
            </w:r>
          </w:p>
        </w:tc>
      </w:tr>
      <w:tr>
        <w:tc>
          <w:tcPr>
            <w:tcW w:type="dxa" w:w="3500"/>
          </w:tcPr>
          <w:p>
            <w:r>
              <w:rPr>
                <w:b w:val="false"/>
                <w:bCs w:val="false"/>
              </w:rPr>
              <w:t xml:space="preserve">Verde</w:t>
            </w:r>
          </w:p>
        </w:tc>
        <w:tc>
          <w:tcPr>
            <w:tcW w:type="dxa" w:w="3000"/>
          </w:tcPr>
          <w:p>
            <w:r>
              <w:rPr>
                <w:b w:val="false"/>
                <w:bCs w:val="false"/>
              </w:rPr>
              <w:t xml:space="preserve">Segnale WiFi ottimo</w:t>
            </w:r>
          </w:p>
        </w:tc>
        <w:tc>
          <w:tcPr>
            <w:tcW w:type="dxa" w:w="3000"/>
          </w:tcPr>
          <w:p>
            <w:r>
              <w:rPr>
                <w:b w:val="false"/>
                <w:bCs w:val="false"/>
              </w:rPr>
              <w:t xml:space="preserve">RSSI ≥ -65 dBm</w:t>
            </w:r>
          </w:p>
        </w:tc>
      </w:tr>
      <w:tr>
        <w:tc>
          <w:tcPr>
            <w:tcW w:type="dxa" w:w="3500"/>
          </w:tcPr>
          <w:p>
            <w:r>
              <w:rPr>
                <w:b w:val="false"/>
                <w:bCs w:val="false"/>
              </w:rPr>
              <w:t xml:space="preserve">Giallo</w:t>
            </w:r>
          </w:p>
        </w:tc>
        <w:tc>
          <w:tcPr>
            <w:tcW w:type="dxa" w:w="3000"/>
          </w:tcPr>
          <w:p>
            <w:r>
              <w:rPr>
                <w:b w:val="false"/>
                <w:bCs w:val="false"/>
              </w:rPr>
              <w:t xml:space="preserve">Segnale WiFi medio</w:t>
            </w:r>
          </w:p>
        </w:tc>
        <w:tc>
          <w:tcPr>
            <w:tcW w:type="dxa" w:w="3000"/>
          </w:tcPr>
          <w:p>
            <w:r>
              <w:rPr>
                <w:b w:val="false"/>
                <w:bCs w:val="false"/>
              </w:rPr>
              <w:t xml:space="preserve">RSSI ≥ -75 dBm</w:t>
            </w:r>
          </w:p>
        </w:tc>
      </w:tr>
      <w:tr>
        <w:tc>
          <w:tcPr>
            <w:tcW w:type="dxa" w:w="3500"/>
          </w:tcPr>
          <w:p>
            <w:r>
              <w:rPr>
                <w:b w:val="false"/>
                <w:bCs w:val="false"/>
              </w:rPr>
              <w:t xml:space="preserve">Rosso</w:t>
            </w:r>
          </w:p>
        </w:tc>
        <w:tc>
          <w:tcPr>
            <w:tcW w:type="dxa" w:w="3000"/>
          </w:tcPr>
          <w:p>
            <w:r>
              <w:rPr>
                <w:b w:val="false"/>
                <w:bCs w:val="false"/>
              </w:rPr>
              <w:t xml:space="preserve">Segnale WiFi scarso, oppure rete rilevata ma connessione fallita</w:t>
            </w:r>
          </w:p>
        </w:tc>
        <w:tc>
          <w:tcPr>
            <w:tcW w:type="dxa" w:w="3000"/>
          </w:tcPr>
          <w:p>
            <w:r>
              <w:rPr>
                <w:b w:val="false"/>
                <w:bCs w:val="false"/>
              </w:rPr>
              <w:t xml:space="preserve">RSSI &lt; -75 dBm</w:t>
            </w:r>
          </w:p>
        </w:tc>
      </w:tr>
      <w:tr>
        <w:tc>
          <w:tcPr>
            <w:tcW w:type="dxa" w:w="3500"/>
          </w:tcPr>
          <w:p>
            <w:r>
              <w:rPr>
                <w:b w:val="false"/>
                <w:bCs w:val="false"/>
              </w:rPr>
              <w:t xml:space="preserve">Viola/Magenta</w:t>
            </w:r>
          </w:p>
        </w:tc>
        <w:tc>
          <w:tcPr>
            <w:tcW w:type="dxa" w:w="3000"/>
          </w:tcPr>
          <w:p>
            <w:r>
              <w:rPr>
                <w:b w:val="false"/>
                <w:bCs w:val="false"/>
              </w:rPr>
              <w:t xml:space="preserve">SSID configurato non rilevato nell'aria</w:t>
            </w:r>
          </w:p>
        </w:tc>
        <w:tc>
          <w:tcPr>
            <w:tcW w:type="dxa" w:w="3000"/>
          </w:tcPr>
          <w:p>
            <w:r>
              <w:rPr>
                <w:b w:val="false"/>
                <w:bCs w:val="false"/>
              </w:rPr>
              <w:t xml:space="preserve">Router spento o fuori portata</w:t>
            </w:r>
          </w:p>
        </w:tc>
      </w:tr>
      <w:tr>
        <w:tc>
          <w:tcPr>
            <w:tcW w:type="dxa" w:w="3500"/>
          </w:tcPr>
          <w:p>
            <w:r>
              <w:rPr>
                <w:b w:val="false"/>
                <w:bCs w:val="false"/>
              </w:rPr>
              <w:t xml:space="preserve">Arancione</w:t>
            </w:r>
          </w:p>
        </w:tc>
        <w:tc>
          <w:tcPr>
            <w:tcW w:type="dxa" w:w="3000"/>
          </w:tcPr>
          <w:p>
            <w:r>
              <w:rPr>
                <w:b w:val="false"/>
                <w:bCs w:val="false"/>
              </w:rPr>
              <w:t xml:space="preserve">WiFi OK ma broker MQTT non raggiungibile</w:t>
            </w:r>
          </w:p>
        </w:tc>
        <w:tc>
          <w:tcPr>
            <w:tcW w:type="dxa" w:w="3000"/>
          </w:tcPr>
          <w:p>
            <w:r>
              <w:rPr>
                <w:b w:val="false"/>
                <w:bCs w:val="false"/>
              </w:rPr>
              <w:t xml:space="preserve">Server/tunnel/credenziali</w:t>
            </w:r>
          </w:p>
        </w:tc>
      </w:tr>
    </w:tbl>
    <w:p>
      <w:pPr>
        <w:spacing w:after="200"/>
      </w:pPr>
    </w:p>
    <w:p>
      <w:pPr>
        <w:pStyle w:val="Heading1"/>
        <w:spacing w:after="150" w:before="300"/>
      </w:pPr>
      <w:r>
        <w:t xml:space="preserve">6. Connessione MQTT su TLS</w:t>
      </w:r>
    </w:p>
    <w:p>
      <w:pPr>
        <w:spacing w:after="120"/>
      </w:pPr>
      <w:r>
        <w:t xml:space="preserve">Il broker MQTT è raggiunto tramite Tailscale Funnel in modalità tls-terminated-tcp: dall'esterno risulta un endpoint pubblico su porta 8443, con TLS terminato da Tailscale usando un certificato pubblico valido. Internamente il traffico prosegue in chiaro verso Mosquitto sulla porta 1883.</w:t>
      </w:r>
    </w:p>
    <w:p>
      <w:pPr>
        <w:spacing w:after="120"/>
      </w:pPr>
      <w:r>
        <w:t xml:space="preserve">Nel firmware questo si traduce in un normale WiFiClientSecure. Attualmente è impostato setInsecure(), che salta la verifica del certificato: utile in fase di test, ma per un deployment definitivo andrebbe sostituito con setCACert() puntato alla root CA reale. Il timeout del client è impostato a 10 secondi per assorbire il tempo aggiuntivo dell'handshake TLS.</w:t>
      </w:r>
    </w:p>
    <w:p>
      <w:pPr>
        <w:spacing w:after="120"/>
      </w:pPr>
      <w:r>
        <w:t xml:space="preserve">Se il WiFi funziona ma la connessione MQTT fallisce, il LED passa ad arancione: questo colore è distinto dalla scala verde/giallo/rosso del segnale WiFi, perché segnala un problema più a monte (server spento, tunnel caduto, credenziali errate) e non di potenza del segnale.</w:t>
      </w:r>
    </w:p>
    <w:p>
      <w:pPr>
        <w:pStyle w:val="Heading1"/>
        <w:spacing w:after="150" w:before="300"/>
      </w:pPr>
      <w:r>
        <w:t xml:space="preserve">7. Gestione del backlog su microSD</w:t>
      </w:r>
    </w:p>
    <w:p>
      <w:pPr>
        <w:spacing w:after="120"/>
      </w:pPr>
      <w:r>
        <w:t xml:space="preserve">Quando l'invio MQTT non è possibile, il dato viene scritto in append nel file /backup.jsonl (una riga JSON per lettura). Quando la connessione torna disponibile, la funzione svuotaCodaSD() invia i dati accumulati.</w:t>
      </w:r>
    </w:p>
    <w:p>
      <w:pPr>
        <w:spacing w:after="120"/>
      </w:pPr>
      <w:r>
        <w:t xml:space="preserve">Il punto chiave dell'ottimizzazione è l'offset persistente sdReadOffset, salvato in RTC memory: invece di ricopiare l'intero file ad ogni ciclo, il firmware riprende la lettura esattamente da dove si era fermato con file.seek(sdReadOffset). Questo ha ridotto il tempo di ciclo da circa 43 secondi a circa 7 secondi nei test.</w:t>
      </w:r>
    </w:p>
    <w:p>
      <w:pPr>
        <w:spacing w:after="120"/>
      </w:pPr>
      <w:r>
        <w:t xml:space="preserve">Alcuni dettagli di comportamento:</w:t>
      </w:r>
    </w:p>
    <w:p>
      <w:pPr>
        <w:pStyle w:val="ListParagraph"/>
        <w:numPr>
          <w:ilvl w:val="0"/>
          <w:numId w:val="1"/>
        </w:numPr>
        <w:spacing w:after="80"/>
      </w:pPr>
      <w:r>
        <w:t xml:space="preserve">L'invio da SD ha un budget di tempo di 6 secondi per ciclo (SD_FLUSH_TIME_BUDGET_MS), non un numero fisso di righe: con connessione buona vengono inviati più dati nello stesso tempo</w:t>
      </w:r>
    </w:p>
    <w:p>
      <w:pPr>
        <w:pStyle w:val="ListParagraph"/>
        <w:numPr>
          <w:ilvl w:val="0"/>
          <w:numId w:val="1"/>
        </w:numPr>
        <w:spacing w:after="80"/>
      </w:pPr>
      <w:r>
        <w:t xml:space="preserve">Tra un invio e l'altro c'è una pausa di 50ms per non sovraccaricare la pipeline Mosquitto → Telegraf → InfluxDB → Grafana</w:t>
      </w:r>
    </w:p>
    <w:p>
      <w:pPr>
        <w:pStyle w:val="ListParagraph"/>
        <w:numPr>
          <w:ilvl w:val="0"/>
          <w:numId w:val="1"/>
        </w:numPr>
        <w:spacing w:after="80"/>
      </w:pPr>
      <w:r>
        <w:t xml:space="preserve">L'offset avanza SOLO dopo un invio riuscito: se la connessione cade a metà, la riga non inviata viene ritentata al ciclo successivo</w:t>
      </w:r>
    </w:p>
    <w:p>
      <w:pPr>
        <w:pStyle w:val="ListParagraph"/>
        <w:numPr>
          <w:ilvl w:val="0"/>
          <w:numId w:val="1"/>
        </w:numPr>
        <w:spacing w:after="80"/>
      </w:pPr>
      <w:r>
        <w:t xml:space="preserve">Se il file viene svuotato completamente, viene eliminato subito con SD.remove()</w:t>
      </w:r>
    </w:p>
    <w:p>
      <w:pPr>
        <w:pStyle w:val="ListParagraph"/>
        <w:numPr>
          <w:ilvl w:val="0"/>
          <w:numId w:val="1"/>
        </w:numPr>
        <w:spacing w:after="80"/>
      </w:pPr>
      <w:r>
        <w:t xml:space="preserve">Una compattazione fisica del file avviene solo periodicamente, ogni 200KB di dati processati (SD_COMPACT_THRESHOLD_BYTES), per ammortizzare il costo della riscrittura su molti cicli invece di farla ogni volta</w:t>
      </w:r>
    </w:p>
    <w:p>
      <w:pPr>
        <w:pStyle w:val="Heading1"/>
        <w:spacing w:after="150" w:before="300"/>
      </w:pPr>
      <w:r>
        <w:t xml:space="preserve">8. Acquisizione dati e pubblicazione</w:t>
      </w:r>
    </w:p>
    <w:p>
      <w:pPr>
        <w:spacing w:after="120"/>
      </w:pPr>
      <w:r>
        <w:t xml:space="preserve">La funzione handleDataCycle() legge temperatura e pressione dal BMP180 e costruisce un payload JSON con ArduinoJson. I campi di umidità, luce, vento e pioggia sono presenti nello schema ma non ancora popolati da sensori reali (impostati a 0.0), in previsione dei moduli aggiuntivi MOD-AIR e sensori esterni.</w:t>
      </w:r>
    </w:p>
    <w:p>
      <w:pPr>
        <w:spacing w:after="120"/>
      </w:pPr>
      <w:r>
        <w:t xml:space="preserve">Se la connessione MQTT è attiva, il dato viene pubblicato subito sul topic station/&lt;STATION_ID&gt;/base. Solo se la pubblicazione fallisce o MQTT non è disponibile, il dato viene scritto su SD. La lettura live viene sempre gestita prima dello svuotamento del backlog SD, per evitare che un backlog lungo ritardi il dato più recente.</w:t>
      </w:r>
    </w:p>
    <w:p>
      <w:pPr>
        <w:pStyle w:val="Heading1"/>
        <w:spacing w:after="150" w:before="300"/>
      </w:pPr>
      <w:r>
        <w:t xml:space="preserve">9. Deep sleep e durata del ciclo</w:t>
      </w:r>
    </w:p>
    <w:p>
      <w:pPr>
        <w:spacing w:after="120"/>
      </w:pPr>
      <w:r>
        <w:t xml:space="preserve">Il ciclo target è di 10 secondi (CYCLE_DURATION_US). La funzione goToDeepSleep() calcola quanto tempo è stato effettivamente impiegato in fase attiva (boot, connessioni, lettura sensore, invio dati) e sottrae questo valore dalla durata target, così l'intervallo tra due letture resta vicino ai 10 secondi indipendentemente da quanto tempo la scheda è rimasta sveglia. È previsto un tempo minimo di sonno di 2 secondi come garanzia di sicurezza.</w:t>
      </w:r>
    </w:p>
    <w:p>
      <w:pPr>
        <w:spacing w:after="120"/>
      </w:pPr>
      <w:r>
        <w:t xml:space="preserve">Il LED RGB non viene spento prima del deep sleep: mantiene l'ultimo colore mostrato, restando visibile anche durante il sonno senza bisogno di alimentazione continua sul pin.</w:t>
      </w:r>
    </w:p>
    <w:p>
      <w:pPr>
        <w:pStyle w:val="Heading1"/>
        <w:spacing w:after="150" w:before="300"/>
      </w:pPr>
      <w:r>
        <w:t xml:space="preserve">10. Osservazioni per il miglioramento della stabilità</w:t>
      </w:r>
    </w:p>
    <w:p>
      <w:pPr>
        <w:spacing w:after="120"/>
      </w:pPr>
      <w:r>
        <w:t xml:space="preserve">Punti da tenere presenti per rendere la connessione della stazione più stabile:</w:t>
      </w:r>
    </w:p>
    <w:p>
      <w:pPr>
        <w:pStyle w:val="ListParagraph"/>
        <w:numPr>
          <w:ilvl w:val="0"/>
          <w:numId w:val="1"/>
        </w:numPr>
        <w:spacing w:after="80"/>
      </w:pPr>
      <w:r>
        <w:t xml:space="preserve">setInsecure() su MQTT va sostituito con setCACert() per una verifica certificato reale in produzione</w:t>
      </w:r>
    </w:p>
    <w:p>
      <w:pPr>
        <w:pStyle w:val="ListParagraph"/>
        <w:numPr>
          <w:ilvl w:val="0"/>
          <w:numId w:val="1"/>
        </w:numPr>
        <w:spacing w:after="80"/>
      </w:pPr>
      <w:r>
        <w:t xml:space="preserve">Il singolo tentativo di connessione WiFi/MQTT per ciclo (8 tentativi da 500ms) è volutamente breve per risparmiare batteria: in caso di reti instabili, si potrebbe valutare un numero di retry variabile o un backoff</w:t>
      </w:r>
    </w:p>
    <w:p>
      <w:pPr>
        <w:pStyle w:val="ListParagraph"/>
        <w:numPr>
          <w:ilvl w:val="0"/>
          <w:numId w:val="1"/>
        </w:numPr>
        <w:spacing w:after="80"/>
      </w:pPr>
      <w:r>
        <w:t xml:space="preserve">Il timeout MQTT di 10s con TLS può risultare stretto su reti molto lente; da monitorare in campo</w:t>
      </w:r>
    </w:p>
    <w:p>
      <w:pPr>
        <w:pStyle w:val="ListParagraph"/>
        <w:numPr>
          <w:ilvl w:val="0"/>
          <w:numId w:val="1"/>
        </w:numPr>
        <w:spacing w:after="80"/>
      </w:pPr>
      <w:r>
        <w:t xml:space="preserve">Il buffer PubSubClient è impostato a 512 byte per l'overhead TLS: da verificare se sufficiente con payload più grandi (es. MOD-AIR con più sensori)</w:t>
      </w:r>
    </w:p>
    <w:p>
      <w:pPr>
        <w:pStyle w:val="ListParagraph"/>
        <w:numPr>
          <w:ilvl w:val="0"/>
          <w:numId w:val="1"/>
        </w:numPr>
        <w:spacing w:after="80"/>
      </w:pPr>
      <w:r>
        <w:t xml:space="preserve">La sincronizzazione NTP viene ritentata solo se timeSynchronized è false: un power-cycle completo (non solo deep sleep) resetta questo flag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2026-07-11T15:34:38.910Z</dcterms:created>
  <dcterms:modified xsi:type="dcterms:W3CDTF">2026-07-11T15:34:38.927Z</dcterms:modified>
</cp:coreProperties>
</file>

<file path=docProps/custom.xml><?xml version="1.0" encoding="utf-8"?>
<Properties xmlns="http://schemas.openxmlformats.org/officeDocument/2006/custom-properties" xmlns:vt="http://schemas.openxmlformats.org/officeDocument/2006/docPropsVTypes"/>
</file>