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0" w:before="0"/>
        <w:jc w:val="left"/>
      </w:pPr>
      <w:r>
        <w:rPr>
          <w:rFonts w:ascii="Arial" w:cs="Arial" w:eastAsia="Arial" w:hAnsi="Arial"/>
          <w:b/>
          <w:bCs/>
          <w:color w:val="534AB7"/>
          <w:sz w:val="96"/>
          <w:szCs w:val="96"/>
        </w:rPr>
        <w:t xml:space="preserve">ARTIC</w:t>
      </w:r>
    </w:p>
    <w:p>
      <w:pPr>
        <w:spacing w:after="0" w:before="0"/>
        <w:jc w:val="left"/>
      </w:pPr>
      <w:r>
        <w:rPr>
          <w:rFonts w:ascii="Arial" w:cs="Arial" w:eastAsia="Arial" w:hAnsi="Arial"/>
          <w:color w:val="1A1A2E"/>
          <w:sz w:val="36"/>
          <w:szCs w:val="36"/>
        </w:rPr>
        <w:t xml:space="preserve">AI Trading Agent Orchestration Platform</w:t>
      </w:r>
    </w:p>
    <w:p>
      <w:pPr>
        <w:spacing w:after="0" w:before="200"/>
      </w:pPr>
    </w:p>
    <w:p>
      <w:pPr>
        <w:pBdr>
          <w:left w:val="single" w:color="534AB7" w:sz="16" w:space="12"/>
        </w:pBdr>
        <w:spacing w:after="0" w:before="0"/>
        <w:jc w:val="left"/>
      </w:pPr>
      <w:r>
        <w:rPr>
          <w:rFonts w:ascii="Arial" w:cs="Arial" w:eastAsia="Arial" w:hAnsi="Arial"/>
          <w:i/>
          <w:iCs/>
          <w:color w:val="5F5E5A"/>
          <w:sz w:val="26"/>
          <w:szCs w:val="26"/>
        </w:rPr>
        <w:t xml:space="preserve">Deploy intelligent trading agents across any market — managed from a single hub.</w:t>
      </w:r>
    </w:p>
    <w:p>
      <w:pPr>
        <w:spacing w:after="0" w:before="600"/>
      </w:pPr>
    </w:p>
    <w:p>
      <w:pPr>
        <w:jc w:val="left"/>
      </w:pPr>
      <w:r>
        <w:rPr>
          <w:rFonts w:ascii="Arial" w:cs="Arial" w:eastAsia="Arial" w:hAnsi="Arial"/>
          <w:color w:val="5F5E5A"/>
          <w:sz w:val="20"/>
          <w:szCs w:val="20"/>
        </w:rPr>
        <w:t xml:space="preserve">Version 1.0  ·  </w:t>
      </w:r>
      <w:r>
        <w:rPr>
          <w:rFonts w:ascii="Arial" w:cs="Arial" w:eastAsia="Arial" w:hAnsi="Arial"/>
          <w:color w:val="5F5E5A"/>
          <w:sz w:val="20"/>
          <w:szCs w:val="20"/>
        </w:rPr>
        <w:t xml:space="preserve">Litepaper</w:t>
      </w:r>
    </w:p>
    <w:p>
      <w:pPr>
        <w:spacing w:after="0" w:before="40"/>
        <w:jc w:val="left"/>
      </w:pPr>
      <w:r>
        <w:rPr>
          <w:rFonts w:ascii="Arial" w:cs="Arial" w:eastAsia="Arial" w:hAnsi="Arial"/>
          <w:color w:val="5F5E5A"/>
          <w:sz w:val="20"/>
          <w:szCs w:val="20"/>
        </w:rPr>
        <w:t xml:space="preserve">2025</w:t>
      </w:r>
    </w:p>
    <w:p>
      <w:r>
        <w:br/>
      </w:r>
    </w:p>
    <w:p>
      <w:pPr>
        <w:pStyle w:val="Heading1"/>
        <w:spacing w:after="240" w:before="0"/>
      </w:pPr>
      <w:r>
        <w:rPr>
          <w:rFonts w:ascii="Arial" w:cs="Arial" w:eastAsia="Arial" w:hAnsi="Arial"/>
          <w:b/>
          <w:bCs/>
          <w:color w:val="1A1A2E"/>
          <w:sz w:val="36"/>
          <w:szCs w:val="36"/>
        </w:rPr>
        <w:t xml:space="preserve">Table of Contents</w:t>
      </w:r>
    </w:p>
    <w:p>
      <w:pPr>
        <w:tabs>
          <w:tab w:val="right" w:pos="9026" w:leader="dot"/>
        </w:tabs>
        <w:spacing w:after="80" w:before="80"/>
      </w:pPr>
      <w:r>
        <w:rPr>
          <w:rFonts w:ascii="Arial" w:cs="Arial" w:eastAsia="Arial" w:hAnsi="Arial"/>
          <w:color w:val="1A1A2E"/>
          <w:sz w:val="22"/>
          <w:szCs w:val="22"/>
        </w:rPr>
        <w:t xml:space="preserve">1.  Executive Summary</w:t>
      </w:r>
      <w:r>
        <w:rPr>
          <w:rFonts w:ascii="Arial" w:cs="Arial" w:eastAsia="Arial" w:hAnsi="Arial"/>
          <w:color w:val="5F5E5A"/>
          <w:sz w:val="22"/>
          <w:szCs w:val="22"/>
        </w:rPr>
        <w:t xml:space="preserve">	3</w:t>
      </w:r>
    </w:p>
    <w:p>
      <w:pPr>
        <w:tabs>
          <w:tab w:val="right" w:pos="9026" w:leader="dot"/>
        </w:tabs>
        <w:spacing w:after="80" w:before="80"/>
      </w:pPr>
      <w:r>
        <w:rPr>
          <w:rFonts w:ascii="Arial" w:cs="Arial" w:eastAsia="Arial" w:hAnsi="Arial"/>
          <w:color w:val="1A1A2E"/>
          <w:sz w:val="22"/>
          <w:szCs w:val="22"/>
        </w:rPr>
        <w:t xml:space="preserve">2.  Problem Statement</w:t>
      </w:r>
      <w:r>
        <w:rPr>
          <w:rFonts w:ascii="Arial" w:cs="Arial" w:eastAsia="Arial" w:hAnsi="Arial"/>
          <w:color w:val="5F5E5A"/>
          <w:sz w:val="22"/>
          <w:szCs w:val="22"/>
        </w:rPr>
        <w:t xml:space="preserve">	3</w:t>
      </w:r>
    </w:p>
    <w:p>
      <w:pPr>
        <w:tabs>
          <w:tab w:val="right" w:pos="9026" w:leader="dot"/>
        </w:tabs>
        <w:spacing w:after="80" w:before="80"/>
      </w:pPr>
      <w:r>
        <w:rPr>
          <w:rFonts w:ascii="Arial" w:cs="Arial" w:eastAsia="Arial" w:hAnsi="Arial"/>
          <w:color w:val="1A1A2E"/>
          <w:sz w:val="22"/>
          <w:szCs w:val="22"/>
        </w:rPr>
        <w:t xml:space="preserve">3.  The Artic Solution</w:t>
      </w:r>
      <w:r>
        <w:rPr>
          <w:rFonts w:ascii="Arial" w:cs="Arial" w:eastAsia="Arial" w:hAnsi="Arial"/>
          <w:color w:val="5F5E5A"/>
          <w:sz w:val="22"/>
          <w:szCs w:val="22"/>
        </w:rPr>
        <w:t xml:space="preserve">	4</w:t>
      </w:r>
    </w:p>
    <w:p>
      <w:pPr>
        <w:tabs>
          <w:tab w:val="right" w:pos="9026" w:leader="dot"/>
        </w:tabs>
        <w:spacing w:after="80" w:before="80"/>
      </w:pPr>
      <w:r>
        <w:rPr>
          <w:rFonts w:ascii="Arial" w:cs="Arial" w:eastAsia="Arial" w:hAnsi="Arial"/>
          <w:color w:val="1A1A2E"/>
          <w:sz w:val="22"/>
          <w:szCs w:val="22"/>
        </w:rPr>
        <w:t xml:space="preserve">4.  System Architecture</w:t>
      </w:r>
      <w:r>
        <w:rPr>
          <w:rFonts w:ascii="Arial" w:cs="Arial" w:eastAsia="Arial" w:hAnsi="Arial"/>
          <w:color w:val="5F5E5A"/>
          <w:sz w:val="22"/>
          <w:szCs w:val="22"/>
        </w:rPr>
        <w:t xml:space="preserve">	4</w:t>
      </w:r>
    </w:p>
    <w:p>
      <w:pPr>
        <w:tabs>
          <w:tab w:val="right" w:pos="9026" w:leader="dot"/>
        </w:tabs>
        <w:spacing w:after="80" w:before="80"/>
      </w:pPr>
      <w:r>
        <w:rPr>
          <w:rFonts w:ascii="Arial" w:cs="Arial" w:eastAsia="Arial" w:hAnsi="Arial"/>
          <w:color w:val="1A1A2E"/>
          <w:sz w:val="22"/>
          <w:szCs w:val="22"/>
        </w:rPr>
        <w:t xml:space="preserve">5.  Strategy Engine</w:t>
      </w:r>
      <w:r>
        <w:rPr>
          <w:rFonts w:ascii="Arial" w:cs="Arial" w:eastAsia="Arial" w:hAnsi="Arial"/>
          <w:color w:val="5F5E5A"/>
          <w:sz w:val="22"/>
          <w:szCs w:val="22"/>
        </w:rPr>
        <w:t xml:space="preserve">	5</w:t>
      </w:r>
    </w:p>
    <w:p>
      <w:pPr>
        <w:tabs>
          <w:tab w:val="right" w:pos="9026" w:leader="dot"/>
        </w:tabs>
        <w:spacing w:after="80" w:before="80"/>
      </w:pPr>
      <w:r>
        <w:rPr>
          <w:rFonts w:ascii="Arial" w:cs="Arial" w:eastAsia="Arial" w:hAnsi="Arial"/>
          <w:color w:val="1A1A2E"/>
          <w:sz w:val="22"/>
          <w:szCs w:val="22"/>
        </w:rPr>
        <w:t xml:space="preserve">6.  Supported Markets &amp; Integrations</w:t>
      </w:r>
      <w:r>
        <w:rPr>
          <w:rFonts w:ascii="Arial" w:cs="Arial" w:eastAsia="Arial" w:hAnsi="Arial"/>
          <w:color w:val="5F5E5A"/>
          <w:sz w:val="22"/>
          <w:szCs w:val="22"/>
        </w:rPr>
        <w:t xml:space="preserve">	5</w:t>
      </w:r>
    </w:p>
    <w:p>
      <w:pPr>
        <w:tabs>
          <w:tab w:val="right" w:pos="9026" w:leader="dot"/>
        </w:tabs>
        <w:spacing w:after="80" w:before="80"/>
      </w:pPr>
      <w:r>
        <w:rPr>
          <w:rFonts w:ascii="Arial" w:cs="Arial" w:eastAsia="Arial" w:hAnsi="Arial"/>
          <w:color w:val="1A1A2E"/>
          <w:sz w:val="22"/>
          <w:szCs w:val="22"/>
        </w:rPr>
        <w:t xml:space="preserve">7.  Product Roadmap</w:t>
      </w:r>
      <w:r>
        <w:rPr>
          <w:rFonts w:ascii="Arial" w:cs="Arial" w:eastAsia="Arial" w:hAnsi="Arial"/>
          <w:color w:val="5F5E5A"/>
          <w:sz w:val="22"/>
          <w:szCs w:val="22"/>
        </w:rPr>
        <w:t xml:space="preserve">	6</w:t>
      </w:r>
    </w:p>
    <w:p>
      <w:pPr>
        <w:tabs>
          <w:tab w:val="right" w:pos="9026" w:leader="dot"/>
        </w:tabs>
        <w:spacing w:after="80" w:before="80"/>
      </w:pPr>
      <w:r>
        <w:rPr>
          <w:rFonts w:ascii="Arial" w:cs="Arial" w:eastAsia="Arial" w:hAnsi="Arial"/>
          <w:color w:val="1A1A2E"/>
          <w:sz w:val="22"/>
          <w:szCs w:val="22"/>
        </w:rPr>
        <w:t xml:space="preserve">8.  Risk Framework &amp; Disclaimer</w:t>
      </w:r>
      <w:r>
        <w:rPr>
          <w:rFonts w:ascii="Arial" w:cs="Arial" w:eastAsia="Arial" w:hAnsi="Arial"/>
          <w:color w:val="5F5E5A"/>
          <w:sz w:val="22"/>
          <w:szCs w:val="22"/>
        </w:rPr>
        <w:t xml:space="preserve">	6</w:t>
      </w:r>
    </w:p>
    <w:p>
      <w:r>
        <w:br/>
      </w:r>
    </w:p>
    <w:p>
      <w:pPr>
        <w:pStyle w:val="Heading1"/>
        <w:spacing w:after="120" w:before="360"/>
      </w:pPr>
      <w:r>
        <w:rPr>
          <w:rFonts w:ascii="Arial" w:cs="Arial" w:eastAsia="Arial" w:hAnsi="Arial"/>
          <w:b/>
          <w:bCs/>
          <w:color w:val="534AB7"/>
          <w:sz w:val="36"/>
          <w:szCs w:val="36"/>
        </w:rPr>
        <w:t xml:space="preserve">1.  </w:t>
      </w:r>
      <w:r>
        <w:rPr>
          <w:rFonts w:ascii="Arial" w:cs="Arial" w:eastAsia="Arial" w:hAnsi="Arial"/>
          <w:b/>
          <w:bCs/>
          <w:color w:val="1A1A2E"/>
          <w:sz w:val="36"/>
          <w:szCs w:val="36"/>
        </w:rPr>
        <w:t xml:space="preserve">Executive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BF6" w:sz="1"/>
              <w:left w:val="single" w:color="534AB7" w:sz="16"/>
              <w:bottom w:val="single" w:color="CECBF6" w:sz="1"/>
              <w:right w:val="single" w:color="CECBF6" w:sz="1"/>
            </w:tcBorders>
            <w:shd w:fill="EEEDFE" w:val="clear"/>
            <w:tcMar>
              <w:top w:type="dxa" w:w="160"/>
              <w:left w:type="dxa" w:w="240"/>
              <w:bottom w:type="dxa" w:w="160"/>
              <w:right w:type="dxa" w:w="240"/>
            </w:tcMar>
          </w:tcPr>
          <w:p>
            <w:r>
              <w:rPr>
                <w:rFonts w:ascii="Arial" w:cs="Arial" w:eastAsia="Arial" w:hAnsi="Arial"/>
                <w:i/>
                <w:iCs/>
                <w:color w:val="1A1A2E"/>
                <w:sz w:val="22"/>
                <w:szCs w:val="22"/>
              </w:rPr>
              <w:t xml:space="preserve">Artic is an AI-powered trading agent orchestration platform. Users deploy autonomous agents that analyze markets, select from a library of 30+ quantitative strategies, and execute trades — all supervised by a large language model operating as a live market intelligence layer.</w:t>
            </w:r>
          </w:p>
        </w:tc>
      </w:tr>
    </w:tbl>
    <w:p>
      <w:pPr>
        <w:spacing w:after="0" w:before="120"/>
      </w:pPr>
    </w:p>
    <w:p>
      <w:pPr>
        <w:spacing w:after="60" w:before="60"/>
        <w:jc w:val="left"/>
      </w:pPr>
      <w:r>
        <w:rPr>
          <w:rFonts w:ascii="Arial" w:cs="Arial" w:eastAsia="Arial" w:hAnsi="Arial"/>
          <w:b w:val="false"/>
          <w:bCs w:val="false"/>
          <w:color w:val="1A1A2E"/>
          <w:sz w:val="22"/>
          <w:szCs w:val="22"/>
        </w:rPr>
        <w:t xml:space="preserve">Artic abstracts the complexity of quantitative trading into a deployable, configurable agent. Where traditional bots require manual strategy selection and parameter tuning, Artic's LLM oversight layer continuously evaluates market regime, selects the optimal strategy from its library, and adapts on a configurable schedule — without human intervention.</w:t>
      </w:r>
    </w:p>
    <w:p>
      <w:pPr>
        <w:spacing w:after="0" w:before="60"/>
      </w:pPr>
    </w:p>
    <w:p>
      <w:pPr>
        <w:spacing w:after="60" w:before="60"/>
        <w:jc w:val="left"/>
      </w:pPr>
      <w:r>
        <w:rPr>
          <w:rFonts w:ascii="Arial" w:cs="Arial" w:eastAsia="Arial" w:hAnsi="Arial"/>
          <w:b w:val="false"/>
          <w:bCs w:val="false"/>
          <w:color w:val="1A1A2E"/>
          <w:sz w:val="22"/>
          <w:szCs w:val="22"/>
        </w:rPr>
        <w:t xml:space="preserve">The platform is designed around three core principles:</w:t>
      </w:r>
    </w:p>
    <w:p>
      <w:pPr>
        <w:pStyle w:val="ListParagraph"/>
        <w:numPr>
          <w:ilvl w:val="0"/>
          <w:numId w:val="2"/>
        </w:numPr>
        <w:spacing w:after="40" w:before="40"/>
      </w:pPr>
      <w:r>
        <w:rPr>
          <w:rFonts w:ascii="Arial" w:cs="Arial" w:eastAsia="Arial" w:hAnsi="Arial"/>
          <w:color w:val="1A1A2E"/>
          <w:sz w:val="22"/>
          <w:szCs w:val="22"/>
        </w:rPr>
        <w:t xml:space="preserve">Autonomy — agents make independent, data-driven decisions within user-defined risk parameters.</w:t>
      </w:r>
    </w:p>
    <w:p>
      <w:pPr>
        <w:pStyle w:val="ListParagraph"/>
        <w:numPr>
          <w:ilvl w:val="0"/>
          <w:numId w:val="2"/>
        </w:numPr>
        <w:spacing w:after="40" w:before="40"/>
      </w:pPr>
      <w:r>
        <w:rPr>
          <w:rFonts w:ascii="Arial" w:cs="Arial" w:eastAsia="Arial" w:hAnsi="Arial"/>
          <w:color w:val="1A1A2E"/>
          <w:sz w:val="22"/>
          <w:szCs w:val="22"/>
        </w:rPr>
        <w:t xml:space="preserve">Modularity — every component (strategy, LLM provider, executor, client interface) is independently replaceable.</w:t>
      </w:r>
    </w:p>
    <w:p>
      <w:pPr>
        <w:pStyle w:val="ListParagraph"/>
        <w:numPr>
          <w:ilvl w:val="0"/>
          <w:numId w:val="2"/>
        </w:numPr>
        <w:spacing w:after="40" w:before="40"/>
      </w:pPr>
      <w:r>
        <w:rPr>
          <w:rFonts w:ascii="Arial" w:cs="Arial" w:eastAsia="Arial" w:hAnsi="Arial"/>
          <w:color w:val="1A1A2E"/>
          <w:sz w:val="22"/>
          <w:szCs w:val="22"/>
        </w:rPr>
        <w:t xml:space="preserve">Transparency — all agent decisions, trade logs, and LLM reasoning are observable in real time across every client interface.</w:t>
      </w:r>
    </w:p>
    <w:p>
      <w:pPr>
        <w:pBdr>
          <w:bottom w:val="single" w:color="CECBF6" w:sz="4" w:space="1"/>
        </w:pBdr>
        <w:spacing w:after="120" w:before="120"/>
      </w:pPr>
    </w:p>
    <w:p>
      <w:pPr>
        <w:pStyle w:val="Heading1"/>
        <w:spacing w:after="120" w:before="360"/>
      </w:pPr>
      <w:r>
        <w:rPr>
          <w:rFonts w:ascii="Arial" w:cs="Arial" w:eastAsia="Arial" w:hAnsi="Arial"/>
          <w:b/>
          <w:bCs/>
          <w:color w:val="534AB7"/>
          <w:sz w:val="36"/>
          <w:szCs w:val="36"/>
        </w:rPr>
        <w:t xml:space="preserve">2.  </w:t>
      </w:r>
      <w:r>
        <w:rPr>
          <w:rFonts w:ascii="Arial" w:cs="Arial" w:eastAsia="Arial" w:hAnsi="Arial"/>
          <w:b/>
          <w:bCs/>
          <w:color w:val="1A1A2E"/>
          <w:sz w:val="36"/>
          <w:szCs w:val="36"/>
        </w:rPr>
        <w:t xml:space="preserve">Problem Statement</w:t>
      </w:r>
    </w:p>
    <w:p>
      <w:pPr>
        <w:pStyle w:val="Heading2"/>
        <w:spacing w:after="80" w:before="240"/>
      </w:pPr>
      <w:r>
        <w:rPr>
          <w:rFonts w:ascii="Arial" w:cs="Arial" w:eastAsia="Arial" w:hAnsi="Arial"/>
          <w:b/>
          <w:bCs/>
          <w:color w:val="534AB7"/>
          <w:sz w:val="26"/>
          <w:szCs w:val="26"/>
        </w:rPr>
        <w:t xml:space="preserve">The Gap Between AI and Execution</w:t>
      </w:r>
    </w:p>
    <w:p>
      <w:pPr>
        <w:spacing w:after="60" w:before="60"/>
        <w:jc w:val="left"/>
      </w:pPr>
      <w:r>
        <w:rPr>
          <w:rFonts w:ascii="Arial" w:cs="Arial" w:eastAsia="Arial" w:hAnsi="Arial"/>
          <w:b w:val="false"/>
          <w:bCs w:val="false"/>
          <w:color w:val="1A1A2E"/>
          <w:sz w:val="22"/>
          <w:szCs w:val="22"/>
        </w:rPr>
        <w:t xml:space="preserve">Algorithmic trading has long been the domain of institutional players with the engineering resources to build, maintain, and monitor complex systems. Retail traders and independent quants face a fragmented landscape: strategy research tools exist in isolation from execution infrastructure, LLM-based market analysis remains disconnected from live trading systems, and deploying multiple concurrent strategies requires managing sprawling, brittle codebases.</w:t>
      </w:r>
    </w:p>
    <w:p>
      <w:pPr>
        <w:spacing w:after="0" w:before="60"/>
      </w:pPr>
    </w:p>
    <w:p>
      <w:pPr>
        <w:spacing w:after="60" w:before="60"/>
        <w:jc w:val="left"/>
      </w:pPr>
      <w:r>
        <w:rPr>
          <w:rFonts w:ascii="Arial" w:cs="Arial" w:eastAsia="Arial" w:hAnsi="Arial"/>
          <w:b w:val="false"/>
          <w:bCs w:val="false"/>
          <w:color w:val="1A1A2E"/>
          <w:sz w:val="22"/>
          <w:szCs w:val="22"/>
        </w:rPr>
        <w:t xml:space="preserve">Specifically, the market lacks a platform that:</w:t>
      </w:r>
    </w:p>
    <w:p>
      <w:pPr>
        <w:pStyle w:val="ListParagraph"/>
        <w:numPr>
          <w:ilvl w:val="0"/>
          <w:numId w:val="2"/>
        </w:numPr>
        <w:spacing w:after="40" w:before="40"/>
      </w:pPr>
      <w:r>
        <w:rPr>
          <w:rFonts w:ascii="Arial" w:cs="Arial" w:eastAsia="Arial" w:hAnsi="Arial"/>
          <w:color w:val="1A1A2E"/>
          <w:sz w:val="22"/>
          <w:szCs w:val="22"/>
        </w:rPr>
        <w:t xml:space="preserve">Connects LLM intelligence directly to a live execution engine without manual intermediary steps.</w:t>
      </w:r>
    </w:p>
    <w:p>
      <w:pPr>
        <w:pStyle w:val="ListParagraph"/>
        <w:numPr>
          <w:ilvl w:val="0"/>
          <w:numId w:val="2"/>
        </w:numPr>
        <w:spacing w:after="40" w:before="40"/>
      </w:pPr>
      <w:r>
        <w:rPr>
          <w:rFonts w:ascii="Arial" w:cs="Arial" w:eastAsia="Arial" w:hAnsi="Arial"/>
          <w:color w:val="1A1A2E"/>
          <w:sz w:val="22"/>
          <w:szCs w:val="22"/>
        </w:rPr>
        <w:t xml:space="preserve">Enables concurrent multi-agent, multi-strategy deployment from a single control surface.</w:t>
      </w:r>
    </w:p>
    <w:p>
      <w:pPr>
        <w:pStyle w:val="ListParagraph"/>
        <w:numPr>
          <w:ilvl w:val="0"/>
          <w:numId w:val="2"/>
        </w:numPr>
        <w:spacing w:after="40" w:before="40"/>
      </w:pPr>
      <w:r>
        <w:rPr>
          <w:rFonts w:ascii="Arial" w:cs="Arial" w:eastAsia="Arial" w:hAnsi="Arial"/>
          <w:color w:val="1A1A2E"/>
          <w:sz w:val="22"/>
          <w:szCs w:val="22"/>
        </w:rPr>
        <w:t xml:space="preserve">Provides full observability — trade logs, LLM reasoning, position state — without requiring infrastructure expertise.</w:t>
      </w:r>
    </w:p>
    <w:p>
      <w:pPr>
        <w:pStyle w:val="ListParagraph"/>
        <w:numPr>
          <w:ilvl w:val="0"/>
          <w:numId w:val="2"/>
        </w:numPr>
        <w:spacing w:after="40" w:before="40"/>
      </w:pPr>
      <w:r>
        <w:rPr>
          <w:rFonts w:ascii="Arial" w:cs="Arial" w:eastAsia="Arial" w:hAnsi="Arial"/>
          <w:color w:val="1A1A2E"/>
          <w:sz w:val="22"/>
          <w:szCs w:val="22"/>
        </w:rPr>
        <w:t xml:space="preserve">Allows strategy research and live execution to share the same runtime environment.</w:t>
      </w:r>
    </w:p>
    <w:p>
      <w:pPr>
        <w:spacing w:after="0" w:before="60"/>
      </w:pPr>
    </w:p>
    <w:p>
      <w:pPr>
        <w:spacing w:after="60" w:before="60"/>
        <w:jc w:val="left"/>
      </w:pPr>
      <w:r>
        <w:rPr>
          <w:rFonts w:ascii="Arial" w:cs="Arial" w:eastAsia="Arial" w:hAnsi="Arial"/>
          <w:b w:val="false"/>
          <w:bCs w:val="false"/>
          <w:color w:val="1A1A2E"/>
          <w:sz w:val="22"/>
          <w:szCs w:val="22"/>
        </w:rPr>
        <w:t xml:space="preserve">Existing solutions — centralized copy-trading platforms, isolated strategy bots, and LLM-wrapped price feeds — address fragments of this problem. None orchestrate the full lifecycle from intelligent strategy selection through to live execution and monitoring at the agent level.</w:t>
      </w:r>
    </w:p>
    <w:p>
      <w:pPr>
        <w:pBdr>
          <w:bottom w:val="single" w:color="CECBF6" w:sz="4" w:space="1"/>
        </w:pBdr>
        <w:spacing w:after="120" w:before="120"/>
      </w:pPr>
    </w:p>
    <w:p>
      <w:r>
        <w:br/>
      </w:r>
    </w:p>
    <w:p>
      <w:pPr>
        <w:pStyle w:val="Heading1"/>
        <w:spacing w:after="120" w:before="360"/>
      </w:pPr>
      <w:r>
        <w:rPr>
          <w:rFonts w:ascii="Arial" w:cs="Arial" w:eastAsia="Arial" w:hAnsi="Arial"/>
          <w:b/>
          <w:bCs/>
          <w:color w:val="534AB7"/>
          <w:sz w:val="36"/>
          <w:szCs w:val="36"/>
        </w:rPr>
        <w:t xml:space="preserve">3.  </w:t>
      </w:r>
      <w:r>
        <w:rPr>
          <w:rFonts w:ascii="Arial" w:cs="Arial" w:eastAsia="Arial" w:hAnsi="Arial"/>
          <w:b/>
          <w:bCs/>
          <w:color w:val="1A1A2E"/>
          <w:sz w:val="36"/>
          <w:szCs w:val="36"/>
        </w:rPr>
        <w:t xml:space="preserve">The Artic Solution</w:t>
      </w:r>
    </w:p>
    <w:p>
      <w:pPr>
        <w:pStyle w:val="Heading2"/>
        <w:spacing w:after="80" w:before="240"/>
      </w:pPr>
      <w:r>
        <w:rPr>
          <w:rFonts w:ascii="Arial" w:cs="Arial" w:eastAsia="Arial" w:hAnsi="Arial"/>
          <w:b/>
          <w:bCs/>
          <w:color w:val="534AB7"/>
          <w:sz w:val="26"/>
          <w:szCs w:val="26"/>
        </w:rPr>
        <w:t xml:space="preserve">One Hub. Many Agents.</w:t>
      </w:r>
    </w:p>
    <w:p>
      <w:pPr>
        <w:spacing w:after="60" w:before="60"/>
        <w:jc w:val="left"/>
      </w:pPr>
      <w:r>
        <w:rPr>
          <w:rFonts w:ascii="Arial" w:cs="Arial" w:eastAsia="Arial" w:hAnsi="Arial"/>
          <w:b w:val="false"/>
          <w:bCs w:val="false"/>
          <w:color w:val="1A1A2E"/>
          <w:sz w:val="22"/>
          <w:szCs w:val="22"/>
        </w:rPr>
        <w:t xml:space="preserve">Artic introduces a hub-and-agent model where a central server (the Hub) maintains authority over all deployed agents. Each agent is an isolated process — running locally or on a remote VM — with its own configuration, market scope, and strategy assignment. The Hub handles registration, lifecycle management, persistent state, and all client communication.</w:t>
      </w:r>
    </w:p>
    <w:p>
      <w:pPr>
        <w:spacing w:after="0" w:before="60"/>
      </w:pPr>
    </w:p>
    <w:p>
      <w:pPr>
        <w:spacing w:after="60" w:before="60"/>
        <w:jc w:val="left"/>
      </w:pPr>
      <w:r>
        <w:rPr>
          <w:rFonts w:ascii="Arial" w:cs="Arial" w:eastAsia="Arial" w:hAnsi="Arial"/>
          <w:b w:val="false"/>
          <w:bCs w:val="false"/>
          <w:color w:val="1A1A2E"/>
          <w:sz w:val="22"/>
          <w:szCs w:val="22"/>
        </w:rPr>
        <w:t xml:space="preserve">Users interact through whichever interface suits their workflow — a terminal UI, a web dashboard, a CLI, or a Telegram bot. All interfaces communicate with the Hub via a REST + WebSocket API. No interface has direct access to agents, ensuring a consistent, auditable control plane.</w:t>
      </w:r>
    </w:p>
    <w:p>
      <w:pPr>
        <w:spacing w:after="0" w:before="60"/>
      </w:pPr>
    </w:p>
    <w:p>
      <w:pPr>
        <w:pStyle w:val="Heading2"/>
        <w:spacing w:after="80" w:before="240"/>
      </w:pPr>
      <w:r>
        <w:rPr>
          <w:rFonts w:ascii="Arial" w:cs="Arial" w:eastAsia="Arial" w:hAnsi="Arial"/>
          <w:b/>
          <w:bCs/>
          <w:color w:val="534AB7"/>
          <w:sz w:val="26"/>
          <w:szCs w:val="26"/>
        </w:rPr>
        <w:t xml:space="preserve">The LLM as Market Intelligence</w:t>
      </w:r>
    </w:p>
    <w:p>
      <w:pPr>
        <w:spacing w:after="60" w:before="60"/>
        <w:jc w:val="left"/>
      </w:pPr>
      <w:r>
        <w:rPr>
          <w:rFonts w:ascii="Arial" w:cs="Arial" w:eastAsia="Arial" w:hAnsi="Arial"/>
          <w:b w:val="false"/>
          <w:bCs w:val="false"/>
          <w:color w:val="1A1A2E"/>
          <w:sz w:val="22"/>
          <w:szCs w:val="22"/>
        </w:rPr>
        <w:t xml:space="preserve">At the core of each agent sits an LLM planning loop. On initialization, the agent ingests historical OHLCV data and live price feeds, then prompts the configured LLM to assess market regime and select the most appropriate strategy from the active library. This evaluation recurs on a user-defined schedule — allowing the agent to shift strategy as market conditions evolve.</w:t>
      </w:r>
    </w:p>
    <w:p>
      <w:pPr>
        <w:spacing w:after="0" w:before="60"/>
      </w:pPr>
    </w:p>
    <w:p>
      <w:pPr>
        <w:spacing w:after="60" w:before="60"/>
        <w:jc w:val="left"/>
      </w:pPr>
      <w:r>
        <w:rPr>
          <w:rFonts w:ascii="Arial" w:cs="Arial" w:eastAsia="Arial" w:hAnsi="Arial"/>
          <w:b w:val="false"/>
          <w:bCs w:val="false"/>
          <w:color w:val="1A1A2E"/>
          <w:sz w:val="22"/>
          <w:szCs w:val="22"/>
        </w:rPr>
        <w:t xml:space="preserve">The LLM does not execute trades. Its role is advisory and supervisory: it reads structured market data, reasons about conditions, and outputs a strategy identifier with a confidence score. The execution engine acts on this output within the risk parameters set at agent configuration time.</w:t>
      </w:r>
    </w:p>
    <w:p>
      <w:pPr>
        <w:spacing w:after="0" w:before="60"/>
      </w:pPr>
    </w:p>
    <w:p>
      <w:pPr>
        <w:pStyle w:val="Heading2"/>
        <w:spacing w:after="80" w:before="240"/>
      </w:pPr>
      <w:r>
        <w:rPr>
          <w:rFonts w:ascii="Arial" w:cs="Arial" w:eastAsia="Arial" w:hAnsi="Arial"/>
          <w:b/>
          <w:bCs/>
          <w:color w:val="534AB7"/>
          <w:sz w:val="26"/>
          <w:szCs w:val="26"/>
        </w:rPr>
        <w:t xml:space="preserve">Paper Trading &amp; Safe Experimentation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BF6" w:sz="1"/>
              <w:left w:val="single" w:color="534AB7" w:sz="16"/>
              <w:bottom w:val="single" w:color="CECBF6" w:sz="1"/>
              <w:right w:val="single" w:color="CECBF6" w:sz="1"/>
            </w:tcBorders>
            <w:shd w:fill="EEEDFE" w:val="clear"/>
            <w:tcMar>
              <w:top w:type="dxa" w:w="160"/>
              <w:left w:type="dxa" w:w="240"/>
              <w:bottom w:type="dxa" w:w="160"/>
              <w:right w:type="dxa" w:w="240"/>
            </w:tcMar>
          </w:tcPr>
          <w:p>
            <w:r>
              <w:rPr>
                <w:rFonts w:ascii="Arial" w:cs="Arial" w:eastAsia="Arial" w:hAnsi="Arial"/>
                <w:i/>
                <w:iCs/>
                <w:color w:val="1A1A2E"/>
                <w:sz w:val="22"/>
                <w:szCs w:val="22"/>
              </w:rPr>
              <w:t xml:space="preserve">All strategies in Artic's current library are designed for beginner to intermediate users. Paper trading mode simulates execution without deploying real capital — no real money is involved unless the user explicitly configures a live executor with funded credentials.</w:t>
            </w:r>
          </w:p>
        </w:tc>
      </w:tr>
    </w:tbl>
    <w:p>
      <w:pPr>
        <w:spacing w:after="0" w:before="60"/>
      </w:pPr>
    </w:p>
    <w:p>
      <w:pPr>
        <w:spacing w:after="60" w:before="60"/>
        <w:jc w:val="left"/>
      </w:pPr>
      <w:r>
        <w:rPr>
          <w:rFonts w:ascii="Arial" w:cs="Arial" w:eastAsia="Arial" w:hAnsi="Arial"/>
          <w:b w:val="false"/>
          <w:bCs w:val="false"/>
          <w:color w:val="1A1A2E"/>
          <w:sz w:val="22"/>
          <w:szCs w:val="22"/>
        </w:rPr>
        <w:t xml:space="preserve">Paper trading is the default mode. It uses identical strategy logic, LLM decision-making, and position tracking as live mode — but routes all order execution through a simulation layer. This allows users to validate strategy behavior, observe LLM decision-making, and gain confidence before deploying real capital.</w:t>
      </w:r>
    </w:p>
    <w:p>
      <w:pPr>
        <w:pBdr>
          <w:bottom w:val="single" w:color="CECBF6" w:sz="4" w:space="1"/>
        </w:pBdr>
        <w:spacing w:after="120" w:before="120"/>
      </w:pPr>
    </w:p>
    <w:p>
      <w:pPr>
        <w:pStyle w:val="Heading1"/>
        <w:spacing w:after="120" w:before="360"/>
      </w:pPr>
      <w:r>
        <w:rPr>
          <w:rFonts w:ascii="Arial" w:cs="Arial" w:eastAsia="Arial" w:hAnsi="Arial"/>
          <w:b/>
          <w:bCs/>
          <w:color w:val="534AB7"/>
          <w:sz w:val="36"/>
          <w:szCs w:val="36"/>
        </w:rPr>
        <w:t xml:space="preserve">4.  </w:t>
      </w:r>
      <w:r>
        <w:rPr>
          <w:rFonts w:ascii="Arial" w:cs="Arial" w:eastAsia="Arial" w:hAnsi="Arial"/>
          <w:b/>
          <w:bCs/>
          <w:color w:val="1A1A2E"/>
          <w:sz w:val="36"/>
          <w:szCs w:val="36"/>
        </w:rPr>
        <w:t xml:space="preserve">System Architecture</w:t>
      </w:r>
    </w:p>
    <w:p>
      <w:pPr>
        <w:spacing w:after="60" w:before="60"/>
        <w:jc w:val="left"/>
      </w:pPr>
      <w:r>
        <w:rPr>
          <w:rFonts w:ascii="Arial" w:cs="Arial" w:eastAsia="Arial" w:hAnsi="Arial"/>
          <w:b w:val="false"/>
          <w:bCs w:val="false"/>
          <w:color w:val="1A1A2E"/>
          <w:sz w:val="22"/>
          <w:szCs w:val="22"/>
        </w:rPr>
        <w:t xml:space="preserve">Artic is structured across four primary components. Each is independently deployable and communicates through well-defined interfaces: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Layer</w:t>
            </w:r>
          </w:p>
        </w:tc>
        <w:tc>
          <w:tcPr>
            <w:tcW w:type="dxa" w:w="220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Component</w:t>
            </w:r>
          </w:p>
        </w:tc>
        <w:tc>
          <w:tcPr>
            <w:tcW w:type="dxa" w:w="220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Technology</w:t>
            </w:r>
          </w:p>
        </w:tc>
        <w:tc>
          <w:tcPr>
            <w:tcW w:type="dxa" w:w="276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Role</w:t>
            </w:r>
          </w:p>
        </w:tc>
      </w:tr>
      <w:tr>
        <w:tc>
          <w:tcPr>
            <w:tcW w:type="dxa" w:w="22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Orchestration</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Artic Hub</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Python / FastAPI</w:t>
            </w:r>
          </w:p>
        </w:tc>
        <w:tc>
          <w:tcPr>
            <w:tcW w:type="dxa" w:w="27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Central server — agent lifecycle, registry, API gateway, auth</w:t>
            </w:r>
          </w:p>
        </w:tc>
      </w:tr>
      <w:tr>
        <w:tc>
          <w:tcPr>
            <w:tcW w:type="dxa" w:w="22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Execution</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Agent App</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Python / FastAPI</w:t>
            </w:r>
          </w:p>
        </w:tc>
        <w:tc>
          <w:tcPr>
            <w:tcW w:type="dxa" w:w="27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Isolated trading engine — strategy, LLM loop, market data, executor</w:t>
            </w:r>
          </w:p>
        </w:tc>
      </w:tr>
      <w:tr>
        <w:tc>
          <w:tcPr>
            <w:tcW w:type="dxa" w:w="22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Intelligence</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LLM Planner</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Multi-provider</w:t>
            </w:r>
          </w:p>
        </w:tc>
        <w:tc>
          <w:tcPr>
            <w:tcW w:type="dxa" w:w="27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Analyzes market regime, selects optimal strategy, re-evaluates on schedule</w:t>
            </w:r>
          </w:p>
        </w:tc>
      </w:tr>
      <w:tr>
        <w:tc>
          <w:tcPr>
            <w:tcW w:type="dxa" w:w="22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Data</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Market Feeds</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Pyth + TwelveData</w:t>
            </w:r>
          </w:p>
        </w:tc>
        <w:tc>
          <w:tcPr>
            <w:tcW w:type="dxa" w:w="27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Real-time price oracle + OHLCV historical data for strategy calibration</w:t>
            </w:r>
          </w:p>
        </w:tc>
      </w:tr>
      <w:tr>
        <w:tc>
          <w:tcPr>
            <w:tcW w:type="dxa" w:w="22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Persistence</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Database</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MongoDB</w:t>
            </w:r>
          </w:p>
        </w:tc>
        <w:tc>
          <w:tcPr>
            <w:tcW w:type="dxa" w:w="27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Trade history, agent configs, user settings, position snapshots</w:t>
            </w:r>
          </w:p>
        </w:tc>
      </w:tr>
      <w:tr>
        <w:tc>
          <w:tcPr>
            <w:tcW w:type="dxa" w:w="22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Clients</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Multi-Interface</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TUI / CLI / Web / TG</w:t>
            </w:r>
          </w:p>
        </w:tc>
        <w:tc>
          <w:tcPr>
            <w:tcW w:type="dxa" w:w="27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All control surfaces talk to Hub API — no direct agent access</w:t>
            </w:r>
          </w:p>
        </w:tc>
      </w:tr>
    </w:tbl>
    <w:p>
      <w:pPr>
        <w:spacing w:after="30" w:before="60"/>
      </w:pPr>
      <w:r>
        <w:rPr>
          <w:rFonts w:ascii="Arial" w:cs="Arial" w:eastAsia="Arial" w:hAnsi="Arial"/>
          <w:i/>
          <w:iCs/>
          <w:color w:val="5F5E5A"/>
          <w:sz w:val="18"/>
          <w:szCs w:val="18"/>
        </w:rPr>
        <w:t xml:space="preserve">Table 1 — Artic system components and responsibilities</w:t>
      </w:r>
    </w:p>
    <w:p>
      <w:pPr>
        <w:spacing w:after="0" w:before="60"/>
      </w:pPr>
    </w:p>
    <w:p>
      <w:pPr>
        <w:spacing w:after="60" w:before="60"/>
        <w:jc w:val="left"/>
      </w:pPr>
      <w:r>
        <w:rPr>
          <w:rFonts w:ascii="Arial" w:cs="Arial" w:eastAsia="Arial" w:hAnsi="Arial"/>
          <w:b w:val="false"/>
          <w:bCs w:val="false"/>
          <w:color w:val="1A1A2E"/>
          <w:sz w:val="22"/>
          <w:szCs w:val="22"/>
        </w:rPr>
        <w:t xml:space="preserve">The Hub maintains an agent registry — a live record of all running, paused, and completed agents. Agents report status via a heartbeat endpoint; the Hub polls this endpoint and writes position snapshots to the database. If an agent container crashes, trade history is preserved in full; only the live in-memory position is lost.</w:t>
      </w:r>
    </w:p>
    <w:p>
      <w:pPr>
        <w:spacing w:after="0" w:before="60"/>
      </w:pPr>
    </w:p>
    <w:p>
      <w:pPr>
        <w:spacing w:after="60" w:before="60"/>
        <w:jc w:val="left"/>
      </w:pPr>
      <w:r>
        <w:rPr>
          <w:rFonts w:ascii="Arial" w:cs="Arial" w:eastAsia="Arial" w:hAnsi="Arial"/>
          <w:b w:val="false"/>
          <w:bCs w:val="false"/>
          <w:color w:val="1A1A2E"/>
          <w:sz w:val="22"/>
          <w:szCs w:val="22"/>
        </w:rPr>
        <w:t xml:space="preserve">Authentication is wallet-based. Users authenticate with a BIP39 mnemonic-derived wallet address, signing a server-issued challenge. The Hub issues a short-lived JWT on verification — keeping session management simple and compatible with on-chain identity standards.</w:t>
      </w:r>
    </w:p>
    <w:p>
      <w:pPr>
        <w:pBdr>
          <w:bottom w:val="single" w:color="CECBF6" w:sz="4" w:space="1"/>
        </w:pBdr>
        <w:spacing w:after="120" w:before="120"/>
      </w:pPr>
    </w:p>
    <w:p>
      <w:r>
        <w:br/>
      </w:r>
    </w:p>
    <w:p>
      <w:pPr>
        <w:pStyle w:val="Heading1"/>
        <w:spacing w:after="120" w:before="360"/>
      </w:pPr>
      <w:r>
        <w:rPr>
          <w:rFonts w:ascii="Arial" w:cs="Arial" w:eastAsia="Arial" w:hAnsi="Arial"/>
          <w:b/>
          <w:bCs/>
          <w:color w:val="534AB7"/>
          <w:sz w:val="36"/>
          <w:szCs w:val="36"/>
        </w:rPr>
        <w:t xml:space="preserve">5.  </w:t>
      </w:r>
      <w:r>
        <w:rPr>
          <w:rFonts w:ascii="Arial" w:cs="Arial" w:eastAsia="Arial" w:hAnsi="Arial"/>
          <w:b/>
          <w:bCs/>
          <w:color w:val="1A1A2E"/>
          <w:sz w:val="36"/>
          <w:szCs w:val="36"/>
        </w:rPr>
        <w:t xml:space="preserve">Strategy Engine</w:t>
      </w:r>
    </w:p>
    <w:p>
      <w:pPr>
        <w:pStyle w:val="Heading2"/>
        <w:spacing w:after="80" w:before="240"/>
      </w:pPr>
      <w:r>
        <w:rPr>
          <w:rFonts w:ascii="Arial" w:cs="Arial" w:eastAsia="Arial" w:hAnsi="Arial"/>
          <w:b/>
          <w:bCs/>
          <w:color w:val="534AB7"/>
          <w:sz w:val="26"/>
          <w:szCs w:val="26"/>
        </w:rPr>
        <w:t xml:space="preserve">30+ Quantitative Algorithms</w:t>
      </w:r>
    </w:p>
    <w:p>
      <w:pPr>
        <w:spacing w:after="60" w:before="60"/>
        <w:jc w:val="left"/>
      </w:pPr>
      <w:r>
        <w:rPr>
          <w:rFonts w:ascii="Arial" w:cs="Arial" w:eastAsia="Arial" w:hAnsi="Arial"/>
          <w:b w:val="false"/>
          <w:bCs w:val="false"/>
          <w:color w:val="1A1A2E"/>
          <w:sz w:val="22"/>
          <w:szCs w:val="22"/>
        </w:rPr>
        <w:t xml:space="preserve">The strategy library is Artic's core quantitative layer. Algorithms are organized into functional categories, each targeting a different market regime or signal type. The LLM planner selects among these categories and specific algorithms based on its analysis of current market conditions:</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396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Algorithms Included</w:t>
            </w:r>
          </w:p>
        </w:tc>
        <w:tc>
          <w:tcPr>
            <w:tcW w:type="dxa" w:w="300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Market Condition</w:t>
            </w:r>
          </w:p>
        </w:tc>
      </w:tr>
      <w:tr>
        <w:tc>
          <w:tcPr>
            <w:tcW w:type="dxa" w:w="24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Momentum</w:t>
            </w:r>
          </w:p>
        </w:tc>
        <w:tc>
          <w:tcPr>
            <w:tcW w:type="dxa" w:w="3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Trend following, breakout detection, RSI-based entry</w:t>
            </w:r>
          </w:p>
        </w:tc>
        <w:tc>
          <w:tcPr>
            <w:tcW w:type="dxa" w:w="30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Trending markets, high volume</w:t>
            </w:r>
          </w:p>
        </w:tc>
      </w:tr>
      <w:tr>
        <w:tc>
          <w:tcPr>
            <w:tcW w:type="dxa" w:w="24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Mean Reversion</w:t>
            </w:r>
          </w:p>
        </w:tc>
        <w:tc>
          <w:tcPr>
            <w:tcW w:type="dxa" w:w="3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Z-score, Bollinger band reversion, pair spread</w:t>
            </w:r>
          </w:p>
        </w:tc>
        <w:tc>
          <w:tcPr>
            <w:tcW w:type="dxa" w:w="30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Range-bound, low volatility</w:t>
            </w:r>
          </w:p>
        </w:tc>
      </w:tr>
      <w:tr>
        <w:tc>
          <w:tcPr>
            <w:tcW w:type="dxa" w:w="24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Volatility</w:t>
            </w:r>
          </w:p>
        </w:tc>
        <w:tc>
          <w:tcPr>
            <w:tcW w:type="dxa" w:w="3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ATR-based sizing, vol regime detection, squeeze play</w:t>
            </w:r>
          </w:p>
        </w:tc>
        <w:tc>
          <w:tcPr>
            <w:tcW w:type="dxa" w:w="30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Pre-breakout, consolidating</w:t>
            </w:r>
          </w:p>
        </w:tc>
      </w:tr>
      <w:tr>
        <w:tc>
          <w:tcPr>
            <w:tcW w:type="dxa" w:w="24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Statistical Arb</w:t>
            </w:r>
          </w:p>
        </w:tc>
        <w:tc>
          <w:tcPr>
            <w:tcW w:type="dxa" w:w="3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Correlation matrix, cointegration pairs, spread arb</w:t>
            </w:r>
          </w:p>
        </w:tc>
        <w:tc>
          <w:tcPr>
            <w:tcW w:type="dxa" w:w="30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Correlated asset divergence</w:t>
            </w:r>
          </w:p>
        </w:tc>
      </w:tr>
      <w:tr>
        <w:tc>
          <w:tcPr>
            <w:tcW w:type="dxa" w:w="24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Volume Analysis</w:t>
            </w:r>
          </w:p>
        </w:tc>
        <w:tc>
          <w:tcPr>
            <w:tcW w:type="dxa" w:w="3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VWAP deviation, volume profile, order flow signals</w:t>
            </w:r>
          </w:p>
        </w:tc>
        <w:tc>
          <w:tcPr>
            <w:tcW w:type="dxa" w:w="30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High-liquidity sessions</w:t>
            </w:r>
          </w:p>
        </w:tc>
      </w:tr>
      <w:tr>
        <w:tc>
          <w:tcPr>
            <w:tcW w:type="dxa" w:w="24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Risk &amp; Sizing</w:t>
            </w:r>
          </w:p>
        </w:tc>
        <w:tc>
          <w:tcPr>
            <w:tcW w:type="dxa" w:w="3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Kelly criterion, ATR stops, dynamic position sizing</w:t>
            </w:r>
          </w:p>
        </w:tc>
        <w:tc>
          <w:tcPr>
            <w:tcW w:type="dxa" w:w="30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All regimes — overlay layer</w:t>
            </w:r>
          </w:p>
        </w:tc>
      </w:tr>
    </w:tbl>
    <w:p>
      <w:pPr>
        <w:spacing w:after="30" w:before="60"/>
      </w:pPr>
      <w:r>
        <w:rPr>
          <w:rFonts w:ascii="Arial" w:cs="Arial" w:eastAsia="Arial" w:hAnsi="Arial"/>
          <w:i/>
          <w:iCs/>
          <w:color w:val="5F5E5A"/>
          <w:sz w:val="18"/>
          <w:szCs w:val="18"/>
        </w:rPr>
        <w:t xml:space="preserve">Table 2 — Strategy library categories and market applicability</w:t>
      </w:r>
    </w:p>
    <w:p>
      <w:pPr>
        <w:spacing w:after="0" w:before="60"/>
      </w:pPr>
    </w:p>
    <w:p>
      <w:pPr>
        <w:spacing w:after="60" w:before="60"/>
        <w:jc w:val="left"/>
      </w:pPr>
      <w:r>
        <w:rPr>
          <w:rFonts w:ascii="Arial" w:cs="Arial" w:eastAsia="Arial" w:hAnsi="Arial"/>
          <w:b w:val="false"/>
          <w:bCs w:val="false"/>
          <w:color w:val="1A1A2E"/>
          <w:sz w:val="22"/>
          <w:szCs w:val="22"/>
        </w:rPr>
        <w:t xml:space="preserve">Each strategy exposes a standard interface: it accepts OHLCV + live price data as input and returns entry/exit signals, confidence scores, and risk-sizing recommendations. The execution engine and the risk layer consume these outputs uniformly, regardless of which strategy is active.</w:t>
      </w:r>
    </w:p>
    <w:p>
      <w:pPr>
        <w:spacing w:after="0" w:before="60"/>
      </w:pPr>
    </w:p>
    <w:p>
      <w:pPr>
        <w:pStyle w:val="Heading2"/>
        <w:spacing w:after="80" w:before="240"/>
      </w:pPr>
      <w:r>
        <w:rPr>
          <w:rFonts w:ascii="Arial" w:cs="Arial" w:eastAsia="Arial" w:hAnsi="Arial"/>
          <w:b/>
          <w:bCs/>
          <w:color w:val="534AB7"/>
          <w:sz w:val="26"/>
          <w:szCs w:val="26"/>
        </w:rPr>
        <w:t xml:space="preserve">LLM Strategy Selection Flow</w:t>
      </w:r>
    </w:p>
    <w:p>
      <w:pPr>
        <w:spacing w:after="60" w:before="60"/>
        <w:jc w:val="left"/>
      </w:pPr>
      <w:r>
        <w:rPr>
          <w:rFonts w:ascii="Arial" w:cs="Arial" w:eastAsia="Arial" w:hAnsi="Arial"/>
          <w:b w:val="false"/>
          <w:bCs w:val="false"/>
          <w:color w:val="1A1A2E"/>
          <w:sz w:val="22"/>
          <w:szCs w:val="22"/>
        </w:rPr>
        <w:t xml:space="preserve">The strategy selection loop operates as follows:</w:t>
      </w:r>
    </w:p>
    <w:p>
      <w:pPr>
        <w:pStyle w:val="ListParagraph"/>
        <w:numPr>
          <w:ilvl w:val="0"/>
          <w:numId w:val="2"/>
        </w:numPr>
        <w:spacing w:after="40" w:before="60"/>
      </w:pPr>
      <w:r>
        <w:rPr>
          <w:rFonts w:ascii="Arial" w:cs="Arial" w:eastAsia="Arial" w:hAnsi="Arial"/>
          <w:color w:val="1A1A2E"/>
          <w:sz w:val="22"/>
          <w:szCs w:val="22"/>
        </w:rPr>
        <w:t xml:space="preserve">Agent initializes and pulls 72-hour historical OHLCV data + current order book snapshot.</w:t>
      </w:r>
    </w:p>
    <w:p>
      <w:pPr>
        <w:pStyle w:val="ListParagraph"/>
        <w:numPr>
          <w:ilvl w:val="0"/>
          <w:numId w:val="2"/>
        </w:numPr>
        <w:spacing w:after="40" w:before="40"/>
      </w:pPr>
      <w:r>
        <w:rPr>
          <w:rFonts w:ascii="Arial" w:cs="Arial" w:eastAsia="Arial" w:hAnsi="Arial"/>
          <w:color w:val="1A1A2E"/>
          <w:sz w:val="22"/>
          <w:szCs w:val="22"/>
        </w:rPr>
        <w:t xml:space="preserve">Structured market context is assembled and sent to the configured LLM provider.</w:t>
      </w:r>
    </w:p>
    <w:p>
      <w:pPr>
        <w:pStyle w:val="ListParagraph"/>
        <w:numPr>
          <w:ilvl w:val="0"/>
          <w:numId w:val="2"/>
        </w:numPr>
        <w:spacing w:after="40" w:before="40"/>
      </w:pPr>
      <w:r>
        <w:rPr>
          <w:rFonts w:ascii="Arial" w:cs="Arial" w:eastAsia="Arial" w:hAnsi="Arial"/>
          <w:color w:val="1A1A2E"/>
          <w:sz w:val="22"/>
          <w:szCs w:val="22"/>
        </w:rPr>
        <w:t xml:space="preserve">LLM returns a strategy identifier, confidence score, and brief reasoning summary.</w:t>
      </w:r>
    </w:p>
    <w:p>
      <w:pPr>
        <w:pStyle w:val="ListParagraph"/>
        <w:numPr>
          <w:ilvl w:val="0"/>
          <w:numId w:val="2"/>
        </w:numPr>
        <w:spacing w:after="40" w:before="40"/>
      </w:pPr>
      <w:r>
        <w:rPr>
          <w:rFonts w:ascii="Arial" w:cs="Arial" w:eastAsia="Arial" w:hAnsi="Arial"/>
          <w:color w:val="1A1A2E"/>
          <w:sz w:val="22"/>
          <w:szCs w:val="22"/>
        </w:rPr>
        <w:t xml:space="preserve">Agent activates the selected strategy and begins execution within configured risk limits.</w:t>
      </w:r>
    </w:p>
    <w:p>
      <w:pPr>
        <w:pStyle w:val="ListParagraph"/>
        <w:numPr>
          <w:ilvl w:val="0"/>
          <w:numId w:val="2"/>
        </w:numPr>
        <w:spacing w:after="60" w:before="40"/>
      </w:pPr>
      <w:r>
        <w:rPr>
          <w:rFonts w:ascii="Arial" w:cs="Arial" w:eastAsia="Arial" w:hAnsi="Arial"/>
          <w:color w:val="1A1A2E"/>
          <w:sz w:val="22"/>
          <w:szCs w:val="22"/>
        </w:rPr>
        <w:t xml:space="preserve">At a user-defined interval, the loop restarts — the LLM re-evaluates and may switch strategies.</w:t>
      </w:r>
    </w:p>
    <w:p>
      <w:pPr>
        <w:pBdr>
          <w:bottom w:val="single" w:color="CECBF6" w:sz="4" w:space="1"/>
        </w:pBdr>
        <w:spacing w:after="120" w:before="120"/>
      </w:pPr>
    </w:p>
    <w:p>
      <w:pPr>
        <w:pStyle w:val="Heading1"/>
        <w:spacing w:after="120" w:before="360"/>
      </w:pPr>
      <w:r>
        <w:rPr>
          <w:rFonts w:ascii="Arial" w:cs="Arial" w:eastAsia="Arial" w:hAnsi="Arial"/>
          <w:b/>
          <w:bCs/>
          <w:color w:val="534AB7"/>
          <w:sz w:val="36"/>
          <w:szCs w:val="36"/>
        </w:rPr>
        <w:t xml:space="preserve">6.  </w:t>
      </w:r>
      <w:r>
        <w:rPr>
          <w:rFonts w:ascii="Arial" w:cs="Arial" w:eastAsia="Arial" w:hAnsi="Arial"/>
          <w:b/>
          <w:bCs/>
          <w:color w:val="1A1A2E"/>
          <w:sz w:val="36"/>
          <w:szCs w:val="36"/>
        </w:rPr>
        <w:t xml:space="preserve">Supported Markets &amp; Integrations</w:t>
      </w:r>
    </w:p>
    <w:p>
      <w:pPr>
        <w:pStyle w:val="Heading2"/>
        <w:spacing w:after="80" w:before="240"/>
      </w:pPr>
      <w:r>
        <w:rPr>
          <w:rFonts w:ascii="Arial" w:cs="Arial" w:eastAsia="Arial" w:hAnsi="Arial"/>
          <w:b/>
          <w:bCs/>
          <w:color w:val="534AB7"/>
          <w:sz w:val="26"/>
          <w:szCs w:val="26"/>
        </w:rPr>
        <w:t xml:space="preserve">Current &amp; Planned Integration Surface</w:t>
      </w:r>
    </w:p>
    <w:p>
      <w:pPr>
        <w:spacing w:after="60" w:before="60"/>
        <w:jc w:val="left"/>
      </w:pPr>
      <w:r>
        <w:rPr>
          <w:rFonts w:ascii="Arial" w:cs="Arial" w:eastAsia="Arial" w:hAnsi="Arial"/>
          <w:b w:val="false"/>
          <w:bCs w:val="false"/>
          <w:color w:val="1A1A2E"/>
          <w:sz w:val="22"/>
          <w:szCs w:val="22"/>
        </w:rPr>
        <w:t xml:space="preserve">Artic's integration layer is designed to be executor-agnostic. Any market or exchange that exposes a compatible order interface can be added as an executor module. The current integration surface and planned expansions are detailed below:</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Category</w:t>
            </w:r>
          </w:p>
        </w:tc>
        <w:tc>
          <w:tcPr>
            <w:tcW w:type="dxa" w:w="240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Provider</w:t>
            </w:r>
          </w:p>
        </w:tc>
        <w:tc>
          <w:tcPr>
            <w:tcW w:type="dxa" w:w="4960"/>
            <w:tcBorders>
              <w:top w:val="single" w:color="CECBF6" w:sz="1"/>
              <w:left w:val="single" w:color="CECBF6" w:sz="1"/>
              <w:bottom w:val="single" w:color="CECBF6" w:sz="1"/>
              <w:right w:val="single" w:color="CECBF6" w:sz="1"/>
            </w:tcBorders>
            <w:shd w:fill="534AB7"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r>
      <w:tr>
        <w:tc>
          <w:tcPr>
            <w:tcW w:type="dxa" w:w="20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LLM Providers</w:t>
            </w:r>
          </w:p>
        </w:tc>
        <w:tc>
          <w:tcPr>
            <w:tcW w:type="dxa" w:w="24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Claude / GPT-4o / DeepSeek / Gemini</w:t>
            </w:r>
          </w:p>
        </w:tc>
        <w:tc>
          <w:tcPr>
            <w:tcW w:type="dxa" w:w="4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Strategy selection, market regime analysis, signal generation</w:t>
            </w:r>
          </w:p>
        </w:tc>
      </w:tr>
      <w:tr>
        <w:tc>
          <w:tcPr>
            <w:tcW w:type="dxa" w:w="20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Price Oracle</w:t>
            </w:r>
          </w:p>
        </w:tc>
        <w:tc>
          <w:tcPr>
            <w:tcW w:type="dxa" w:w="24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Pyth Network</w:t>
            </w:r>
          </w:p>
        </w:tc>
        <w:tc>
          <w:tcPr>
            <w:tcW w:type="dxa" w:w="4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Real-time on-chain price feeds for live position management</w:t>
            </w:r>
          </w:p>
        </w:tc>
      </w:tr>
      <w:tr>
        <w:tc>
          <w:tcPr>
            <w:tcW w:type="dxa" w:w="20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Market Data</w:t>
            </w:r>
          </w:p>
        </w:tc>
        <w:tc>
          <w:tcPr>
            <w:tcW w:type="dxa" w:w="24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TwelveData</w:t>
            </w:r>
          </w:p>
        </w:tc>
        <w:tc>
          <w:tcPr>
            <w:tcW w:type="dxa" w:w="4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OHLCV historical data for strategy calibration and backtesting</w:t>
            </w:r>
          </w:p>
        </w:tc>
      </w:tr>
      <w:tr>
        <w:tc>
          <w:tcPr>
            <w:tcW w:type="dxa" w:w="20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Exchanges</w:t>
            </w:r>
          </w:p>
        </w:tc>
        <w:tc>
          <w:tcPr>
            <w:tcW w:type="dxa" w:w="24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HashKey Global (perps)</w:t>
            </w:r>
          </w:p>
        </w:tc>
        <w:tc>
          <w:tcPr>
            <w:tcW w:type="dxa" w:w="4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Live perpetual futures execution — primary mainnet integration</w:t>
            </w:r>
          </w:p>
        </w:tc>
      </w:tr>
      <w:tr>
        <w:tc>
          <w:tcPr>
            <w:tcW w:type="dxa" w:w="20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Prediction Mkts</w:t>
            </w:r>
          </w:p>
        </w:tc>
        <w:tc>
          <w:tcPr>
            <w:tcW w:type="dxa" w:w="24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Polymarket (roadmap)</w:t>
            </w:r>
          </w:p>
        </w:tc>
        <w:tc>
          <w:tcPr>
            <w:tcW w:type="dxa" w:w="4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Binary market trading via AI confidence scoring</w:t>
            </w:r>
          </w:p>
        </w:tc>
      </w:tr>
      <w:tr>
        <w:tc>
          <w:tcPr>
            <w:tcW w:type="dxa" w:w="20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19"/>
                <w:szCs w:val="19"/>
              </w:rPr>
              <w:t xml:space="preserve">Infrastructure</w:t>
            </w:r>
          </w:p>
        </w:tc>
        <w:tc>
          <w:tcPr>
            <w:tcW w:type="dxa" w:w="24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Docker / Remote VM</w:t>
            </w:r>
          </w:p>
        </w:tc>
        <w:tc>
          <w:tcPr>
            <w:tcW w:type="dxa" w:w="49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val="false"/>
                <w:bCs w:val="false"/>
                <w:color w:val="1A1A2E"/>
                <w:sz w:val="19"/>
                <w:szCs w:val="19"/>
              </w:rPr>
              <w:t xml:space="preserve">Isolated agent deployment — local or cloud-hosted containers</w:t>
            </w:r>
          </w:p>
        </w:tc>
      </w:tr>
    </w:tbl>
    <w:p>
      <w:pPr>
        <w:spacing w:after="30" w:before="60"/>
      </w:pPr>
      <w:r>
        <w:rPr>
          <w:rFonts w:ascii="Arial" w:cs="Arial" w:eastAsia="Arial" w:hAnsi="Arial"/>
          <w:i/>
          <w:iCs/>
          <w:color w:val="5F5E5A"/>
          <w:sz w:val="18"/>
          <w:szCs w:val="18"/>
        </w:rPr>
        <w:t xml:space="preserve">Table 3 — Artic market and data integrations</w:t>
      </w:r>
    </w:p>
    <w:p>
      <w:pPr>
        <w:spacing w:after="0" w:before="60"/>
      </w:pPr>
    </w:p>
    <w:p>
      <w:pPr>
        <w:spacing w:after="60" w:before="60"/>
        <w:jc w:val="left"/>
      </w:pPr>
      <w:r>
        <w:rPr>
          <w:rFonts w:ascii="Arial" w:cs="Arial" w:eastAsia="Arial" w:hAnsi="Arial"/>
          <w:b w:val="false"/>
          <w:bCs w:val="false"/>
          <w:color w:val="1A1A2E"/>
          <w:sz w:val="22"/>
          <w:szCs w:val="22"/>
        </w:rPr>
        <w:t xml:space="preserve">HashKey Global serves as the primary live execution target for the current release. Its perpetuals API provides order placement, position management, funding rate data, and balance queries — mapping directly to Artic's BaseExecutor interface. HashKey's sandbox environment is used for integration testing prior to mainnet deployment.</w:t>
      </w:r>
    </w:p>
    <w:p>
      <w:pPr>
        <w:pBdr>
          <w:bottom w:val="single" w:color="CECBF6" w:sz="4" w:space="1"/>
        </w:pBdr>
        <w:spacing w:after="120" w:before="120"/>
      </w:pPr>
    </w:p>
    <w:p>
      <w:r>
        <w:br/>
      </w:r>
    </w:p>
    <w:p>
      <w:pPr>
        <w:pStyle w:val="Heading1"/>
        <w:spacing w:after="120" w:before="360"/>
      </w:pPr>
      <w:r>
        <w:rPr>
          <w:rFonts w:ascii="Arial" w:cs="Arial" w:eastAsia="Arial" w:hAnsi="Arial"/>
          <w:b/>
          <w:bCs/>
          <w:color w:val="534AB7"/>
          <w:sz w:val="36"/>
          <w:szCs w:val="36"/>
        </w:rPr>
        <w:t xml:space="preserve">7.  </w:t>
      </w:r>
      <w:r>
        <w:rPr>
          <w:rFonts w:ascii="Arial" w:cs="Arial" w:eastAsia="Arial" w:hAnsi="Arial"/>
          <w:b/>
          <w:bCs/>
          <w:color w:val="1A1A2E"/>
          <w:sz w:val="36"/>
          <w:szCs w:val="36"/>
        </w:rPr>
        <w:t xml:space="preserve">Product Roadmap</w:t>
      </w:r>
    </w:p>
    <w:p>
      <w:pPr>
        <w:spacing w:after="60" w:before="60"/>
        <w:jc w:val="left"/>
      </w:pPr>
      <w:r>
        <w:rPr>
          <w:rFonts w:ascii="Arial" w:cs="Arial" w:eastAsia="Arial" w:hAnsi="Arial"/>
          <w:b w:val="false"/>
          <w:bCs w:val="false"/>
          <w:color w:val="1A1A2E"/>
          <w:sz w:val="22"/>
          <w:szCs w:val="22"/>
        </w:rPr>
        <w:t xml:space="preserve">Artic is being developed across four structured phases. Each phase delivers a self-contained increment of value while laying technical foundations for the next:</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460"/>
        <w:gridCol w:w="1500"/>
      </w:tblGrid>
      <w:tr>
        <w:tc>
          <w:tcPr>
            <w:tcW w:type="dxa" w:w="12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vAlign w:val="center"/>
          </w:tcPr>
          <w:p>
            <w:r>
              <w:rPr>
                <w:rFonts w:ascii="Arial" w:cs="Arial" w:eastAsia="Arial" w:hAnsi="Arial"/>
                <w:b/>
                <w:bCs/>
                <w:color w:val="534AB7"/>
                <w:sz w:val="20"/>
                <w:szCs w:val="20"/>
              </w:rPr>
              <w:t xml:space="preserve">Phase</w:t>
            </w:r>
          </w:p>
        </w:tc>
        <w:tc>
          <w:tcPr>
            <w:tcW w:type="dxa" w:w="22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b/>
                <w:bCs/>
                <w:color w:val="534AB7"/>
                <w:sz w:val="20"/>
                <w:szCs w:val="20"/>
              </w:rPr>
              <w:t xml:space="preserve">Milestone</w:t>
            </w:r>
          </w:p>
        </w:tc>
        <w:tc>
          <w:tcPr>
            <w:tcW w:type="dxa" w:w="446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tcPr>
          <w:p>
            <w:r>
              <w:rPr>
                <w:rFonts w:ascii="Arial" w:cs="Arial" w:eastAsia="Arial" w:hAnsi="Arial"/>
                <w:color w:val="534AB7"/>
                <w:sz w:val="20"/>
                <w:szCs w:val="20"/>
              </w:rPr>
              <w:t xml:space="preserve">Description</w:t>
            </w:r>
          </w:p>
        </w:tc>
        <w:tc>
          <w:tcPr>
            <w:tcW w:type="dxa" w:w="15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vAlign w:val="center"/>
          </w:tcPr>
          <w:p>
            <w:pPr>
              <w:jc w:val="center"/>
            </w:pPr>
            <w:r>
              <w:rPr>
                <w:rFonts w:ascii="Arial" w:cs="Arial" w:eastAsia="Arial" w:hAnsi="Arial"/>
                <w:b/>
                <w:bCs/>
                <w:color w:val="534AB7"/>
                <w:sz w:val="18"/>
                <w:szCs w:val="18"/>
              </w:rPr>
              <w:t xml:space="preserve">Status</w:t>
            </w:r>
          </w:p>
        </w:tc>
      </w:tr>
      <w:tr>
        <w:tc>
          <w:tcPr>
            <w:tcW w:type="dxa" w:w="1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vAlign w:val="center"/>
          </w:tcPr>
          <w:p>
            <w:r>
              <w:rPr>
                <w:rFonts w:ascii="Arial" w:cs="Arial" w:eastAsia="Arial" w:hAnsi="Arial"/>
                <w:b w:val="false"/>
                <w:bCs w:val="false"/>
                <w:color w:val="534AB7"/>
                <w:sz w:val="20"/>
                <w:szCs w:val="20"/>
              </w:rPr>
              <w:t xml:space="preserve">Q1</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Core Agent Framework</w:t>
            </w:r>
          </w:p>
        </w:tc>
        <w:tc>
          <w:tcPr>
            <w:tcW w:type="dxa" w:w="44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color w:val="5F5E5A"/>
                <w:sz w:val="20"/>
                <w:szCs w:val="20"/>
              </w:rPr>
              <w:t xml:space="preserve">Single-agent deployment, full strategy library (30+ algos), LLM oversight loop, paper trading mode, TUI + CLI clients.</w:t>
            </w:r>
          </w:p>
        </w:tc>
        <w:tc>
          <w:tcPr>
            <w:tcW w:type="dxa" w:w="1500"/>
            <w:tcBorders>
              <w:top w:val="single" w:color="CECBF6" w:sz="1"/>
              <w:left w:val="single" w:color="CECBF6" w:sz="1"/>
              <w:bottom w:val="single" w:color="CECBF6" w:sz="1"/>
              <w:right w:val="single" w:color="CECBF6" w:sz="1"/>
            </w:tcBorders>
            <w:shd w:fill="E1F5EE" w:val="clear"/>
            <w:tcMar>
              <w:top w:type="dxa" w:w="100"/>
              <w:left w:type="dxa" w:w="160"/>
              <w:bottom w:type="dxa" w:w="100"/>
              <w:right w:type="dxa" w:w="160"/>
            </w:tcMar>
            <w:vAlign w:val="center"/>
          </w:tcPr>
          <w:p>
            <w:pPr>
              <w:jc w:val="center"/>
            </w:pPr>
            <w:r>
              <w:rPr>
                <w:rFonts w:ascii="Arial" w:cs="Arial" w:eastAsia="Arial" w:hAnsi="Arial"/>
                <w:b/>
                <w:bCs/>
                <w:color w:val="0F6E56"/>
                <w:sz w:val="18"/>
                <w:szCs w:val="18"/>
              </w:rPr>
              <w:t xml:space="preserve">Live</w:t>
            </w:r>
          </w:p>
        </w:tc>
      </w:tr>
      <w:tr>
        <w:tc>
          <w:tcPr>
            <w:tcW w:type="dxa" w:w="1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vAlign w:val="center"/>
          </w:tcPr>
          <w:p>
            <w:r>
              <w:rPr>
                <w:rFonts w:ascii="Arial" w:cs="Arial" w:eastAsia="Arial" w:hAnsi="Arial"/>
                <w:b w:val="false"/>
                <w:bCs w:val="false"/>
                <w:color w:val="534AB7"/>
                <w:sz w:val="20"/>
                <w:szCs w:val="20"/>
              </w:rPr>
              <w:t xml:space="preserve">Q2</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Multi-Agent &amp; Mainnet</w:t>
            </w:r>
          </w:p>
        </w:tc>
        <w:tc>
          <w:tcPr>
            <w:tcW w:type="dxa" w:w="44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color w:val="5F5E5A"/>
                <w:sz w:val="20"/>
                <w:szCs w:val="20"/>
              </w:rPr>
              <w:t xml:space="preserve">Multi-agent orchestration from a single hub, VM deployment support, live execution on HashKey Global perps, web dashboard and Telegram bot.</w:t>
            </w:r>
          </w:p>
        </w:tc>
        <w:tc>
          <w:tcPr>
            <w:tcW w:type="dxa" w:w="1500"/>
            <w:tcBorders>
              <w:top w:val="single" w:color="CECBF6" w:sz="1"/>
              <w:left w:val="single" w:color="CECBF6" w:sz="1"/>
              <w:bottom w:val="single" w:color="CECBF6" w:sz="1"/>
              <w:right w:val="single" w:color="CECBF6" w:sz="1"/>
            </w:tcBorders>
            <w:shd w:fill="EEEDFE" w:val="clear"/>
            <w:tcMar>
              <w:top w:type="dxa" w:w="100"/>
              <w:left w:type="dxa" w:w="160"/>
              <w:bottom w:type="dxa" w:w="100"/>
              <w:right w:type="dxa" w:w="160"/>
            </w:tcMar>
            <w:vAlign w:val="center"/>
          </w:tcPr>
          <w:p>
            <w:pPr>
              <w:jc w:val="center"/>
            </w:pPr>
            <w:r>
              <w:rPr>
                <w:rFonts w:ascii="Arial" w:cs="Arial" w:eastAsia="Arial" w:hAnsi="Arial"/>
                <w:b/>
                <w:bCs/>
                <w:color w:val="534AB7"/>
                <w:sz w:val="18"/>
                <w:szCs w:val="18"/>
              </w:rPr>
              <w:t xml:space="preserve">In Progress</w:t>
            </w:r>
          </w:p>
        </w:tc>
      </w:tr>
      <w:tr>
        <w:tc>
          <w:tcPr>
            <w:tcW w:type="dxa" w:w="1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vAlign w:val="center"/>
          </w:tcPr>
          <w:p>
            <w:r>
              <w:rPr>
                <w:rFonts w:ascii="Arial" w:cs="Arial" w:eastAsia="Arial" w:hAnsi="Arial"/>
                <w:b w:val="false"/>
                <w:bCs w:val="false"/>
                <w:color w:val="534AB7"/>
                <w:sz w:val="20"/>
                <w:szCs w:val="20"/>
              </w:rPr>
              <w:t xml:space="preserve">Q3</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Strategy Marketplace</w:t>
            </w:r>
          </w:p>
        </w:tc>
        <w:tc>
          <w:tcPr>
            <w:tcW w:type="dxa" w:w="44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color w:val="5F5E5A"/>
                <w:sz w:val="20"/>
                <w:szCs w:val="20"/>
              </w:rPr>
              <w:t xml:space="preserve">User-created strategies listed, bought, and sold on-platform. Strategy versioning, performance attribution, and revenue sharing for strategy authors.</w:t>
            </w:r>
          </w:p>
        </w:tc>
        <w:tc>
          <w:tcPr>
            <w:tcW w:type="dxa" w:w="1500"/>
            <w:tcBorders>
              <w:top w:val="single" w:color="CECBF6" w:sz="1"/>
              <w:left w:val="single" w:color="CECBF6" w:sz="1"/>
              <w:bottom w:val="single" w:color="CECBF6" w:sz="1"/>
              <w:right w:val="single" w:color="CECBF6" w:sz="1"/>
            </w:tcBorders>
            <w:shd w:fill="F1EFE8" w:val="clear"/>
            <w:tcMar>
              <w:top w:type="dxa" w:w="100"/>
              <w:left w:type="dxa" w:w="160"/>
              <w:bottom w:type="dxa" w:w="100"/>
              <w:right w:type="dxa" w:w="160"/>
            </w:tcMar>
            <w:vAlign w:val="center"/>
          </w:tcPr>
          <w:p>
            <w:pPr>
              <w:jc w:val="center"/>
            </w:pPr>
            <w:r>
              <w:rPr>
                <w:rFonts w:ascii="Arial" w:cs="Arial" w:eastAsia="Arial" w:hAnsi="Arial"/>
                <w:b/>
                <w:bCs/>
                <w:color w:val="5F5E5A"/>
                <w:sz w:val="18"/>
                <w:szCs w:val="18"/>
              </w:rPr>
              <w:t xml:space="preserve">Planned</w:t>
            </w:r>
          </w:p>
        </w:tc>
      </w:tr>
      <w:tr>
        <w:tc>
          <w:tcPr>
            <w:tcW w:type="dxa" w:w="1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vAlign w:val="center"/>
          </w:tcPr>
          <w:p>
            <w:r>
              <w:rPr>
                <w:rFonts w:ascii="Arial" w:cs="Arial" w:eastAsia="Arial" w:hAnsi="Arial"/>
                <w:b w:val="false"/>
                <w:bCs w:val="false"/>
                <w:color w:val="534AB7"/>
                <w:sz w:val="20"/>
                <w:szCs w:val="20"/>
              </w:rPr>
              <w:t xml:space="preserve">Q4</w:t>
            </w:r>
          </w:p>
        </w:tc>
        <w:tc>
          <w:tcPr>
            <w:tcW w:type="dxa" w:w="220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b/>
                <w:bCs/>
                <w:color w:val="1A1A2E"/>
                <w:sz w:val="20"/>
                <w:szCs w:val="20"/>
              </w:rPr>
              <w:t xml:space="preserve">Multi-Sector Expansion</w:t>
            </w:r>
          </w:p>
        </w:tc>
        <w:tc>
          <w:tcPr>
            <w:tcW w:type="dxa" w:w="4460"/>
            <w:tcBorders>
              <w:top w:val="single" w:color="CECBF6" w:sz="1"/>
              <w:left w:val="single" w:color="CECBF6" w:sz="1"/>
              <w:bottom w:val="single" w:color="CECBF6" w:sz="1"/>
              <w:right w:val="single" w:color="CECBF6" w:sz="1"/>
            </w:tcBorders>
            <w:shd w:fill="FFFFFF" w:val="clear"/>
            <w:tcMar>
              <w:top w:type="dxa" w:w="100"/>
              <w:left w:type="dxa" w:w="160"/>
              <w:bottom w:type="dxa" w:w="100"/>
              <w:right w:type="dxa" w:w="160"/>
            </w:tcMar>
          </w:tcPr>
          <w:p>
            <w:r>
              <w:rPr>
                <w:rFonts w:ascii="Arial" w:cs="Arial" w:eastAsia="Arial" w:hAnsi="Arial"/>
                <w:color w:val="5F5E5A"/>
                <w:sz w:val="20"/>
                <w:szCs w:val="20"/>
              </w:rPr>
              <w:t xml:space="preserve">Diversification beyond perpetuals into futures, equities, options, and additional prediction market integrations. Sector-specific LLM prompting and strategy libraries.</w:t>
            </w:r>
          </w:p>
        </w:tc>
        <w:tc>
          <w:tcPr>
            <w:tcW w:type="dxa" w:w="1500"/>
            <w:tcBorders>
              <w:top w:val="single" w:color="CECBF6" w:sz="1"/>
              <w:left w:val="single" w:color="CECBF6" w:sz="1"/>
              <w:bottom w:val="single" w:color="CECBF6" w:sz="1"/>
              <w:right w:val="single" w:color="CECBF6" w:sz="1"/>
            </w:tcBorders>
            <w:shd w:fill="F1EFE8" w:val="clear"/>
            <w:tcMar>
              <w:top w:type="dxa" w:w="100"/>
              <w:left w:type="dxa" w:w="160"/>
              <w:bottom w:type="dxa" w:w="100"/>
              <w:right w:type="dxa" w:w="160"/>
            </w:tcMar>
            <w:vAlign w:val="center"/>
          </w:tcPr>
          <w:p>
            <w:pPr>
              <w:jc w:val="center"/>
            </w:pPr>
            <w:r>
              <w:rPr>
                <w:rFonts w:ascii="Arial" w:cs="Arial" w:eastAsia="Arial" w:hAnsi="Arial"/>
                <w:b/>
                <w:bCs/>
                <w:color w:val="5F5E5A"/>
                <w:sz w:val="18"/>
                <w:szCs w:val="18"/>
              </w:rPr>
              <w:t xml:space="preserve">Planned</w:t>
            </w:r>
          </w:p>
        </w:tc>
      </w:tr>
    </w:tbl>
    <w:p>
      <w:pPr>
        <w:spacing w:after="30" w:before="60"/>
      </w:pPr>
      <w:r>
        <w:rPr>
          <w:rFonts w:ascii="Arial" w:cs="Arial" w:eastAsia="Arial" w:hAnsi="Arial"/>
          <w:i/>
          <w:iCs/>
          <w:color w:val="5F5E5A"/>
          <w:sz w:val="18"/>
          <w:szCs w:val="18"/>
        </w:rPr>
        <w:t xml:space="preserve">Table 4 — Artic development roadmap</w:t>
      </w:r>
    </w:p>
    <w:p>
      <w:pPr>
        <w:spacing w:after="0" w:before="60"/>
      </w:pPr>
    </w:p>
    <w:p>
      <w:pPr>
        <w:spacing w:after="60" w:before="60"/>
        <w:jc w:val="left"/>
      </w:pPr>
      <w:r>
        <w:rPr>
          <w:rFonts w:ascii="Arial" w:cs="Arial" w:eastAsia="Arial" w:hAnsi="Arial"/>
          <w:b w:val="false"/>
          <w:bCs w:val="false"/>
          <w:color w:val="1A1A2E"/>
          <w:sz w:val="22"/>
          <w:szCs w:val="22"/>
        </w:rPr>
        <w:t xml:space="preserve">The Strategy Marketplace (Q3) represents a significant platform inflection — transforming Artic from a personal trading tool into a collaborative ecosystem where quantitative researchers can distribute and monetize their work. The multi-sector expansion (Q4) extends the total addressable market well beyond crypto derivatives into traditional finance instruments.</w:t>
      </w:r>
    </w:p>
    <w:p>
      <w:pPr>
        <w:pBdr>
          <w:bottom w:val="single" w:color="CECBF6" w:sz="4" w:space="1"/>
        </w:pBdr>
        <w:spacing w:after="120" w:before="120"/>
      </w:pPr>
    </w:p>
    <w:p>
      <w:pPr>
        <w:pStyle w:val="Heading1"/>
        <w:spacing w:after="120" w:before="360"/>
      </w:pPr>
      <w:r>
        <w:rPr>
          <w:rFonts w:ascii="Arial" w:cs="Arial" w:eastAsia="Arial" w:hAnsi="Arial"/>
          <w:b/>
          <w:bCs/>
          <w:color w:val="534AB7"/>
          <w:sz w:val="36"/>
          <w:szCs w:val="36"/>
        </w:rPr>
        <w:t xml:space="preserve">8.  </w:t>
      </w:r>
      <w:r>
        <w:rPr>
          <w:rFonts w:ascii="Arial" w:cs="Arial" w:eastAsia="Arial" w:hAnsi="Arial"/>
          <w:b/>
          <w:bCs/>
          <w:color w:val="1A1A2E"/>
          <w:sz w:val="36"/>
          <w:szCs w:val="36"/>
        </w:rPr>
        <w:t xml:space="preserve">Risk Framework &amp; Disclaimer</w:t>
      </w:r>
    </w:p>
    <w:p>
      <w:pPr>
        <w:pStyle w:val="Heading2"/>
        <w:spacing w:after="80" w:before="240"/>
      </w:pPr>
      <w:r>
        <w:rPr>
          <w:rFonts w:ascii="Arial" w:cs="Arial" w:eastAsia="Arial" w:hAnsi="Arial"/>
          <w:b/>
          <w:bCs/>
          <w:color w:val="534AB7"/>
          <w:sz w:val="26"/>
          <w:szCs w:val="26"/>
        </w:rPr>
        <w:t xml:space="preserve">Built-In Risk Controls</w:t>
      </w:r>
    </w:p>
    <w:p>
      <w:pPr>
        <w:spacing w:after="60" w:before="60"/>
        <w:jc w:val="left"/>
      </w:pPr>
      <w:r>
        <w:rPr>
          <w:rFonts w:ascii="Arial" w:cs="Arial" w:eastAsia="Arial" w:hAnsi="Arial"/>
          <w:b w:val="false"/>
          <w:bCs w:val="false"/>
          <w:color w:val="1A1A2E"/>
          <w:sz w:val="22"/>
          <w:szCs w:val="22"/>
        </w:rPr>
        <w:t xml:space="preserve">Every Artic agent operates within a multi-layer risk framework configured at deployment time:</w:t>
      </w:r>
    </w:p>
    <w:p>
      <w:pPr>
        <w:pStyle w:val="ListParagraph"/>
        <w:numPr>
          <w:ilvl w:val="0"/>
          <w:numId w:val="2"/>
        </w:numPr>
        <w:spacing w:after="40" w:before="40"/>
      </w:pPr>
      <w:r>
        <w:rPr>
          <w:rFonts w:ascii="Arial" w:cs="Arial" w:eastAsia="Arial" w:hAnsi="Arial"/>
          <w:color w:val="1A1A2E"/>
          <w:sz w:val="22"/>
          <w:szCs w:val="22"/>
        </w:rPr>
        <w:t xml:space="preserve">Position size limits — maximum capital allocated per trade, defined as a percentage of agent balance.</w:t>
      </w:r>
    </w:p>
    <w:p>
      <w:pPr>
        <w:pStyle w:val="ListParagraph"/>
        <w:numPr>
          <w:ilvl w:val="0"/>
          <w:numId w:val="2"/>
        </w:numPr>
        <w:spacing w:after="40" w:before="40"/>
      </w:pPr>
      <w:r>
        <w:rPr>
          <w:rFonts w:ascii="Arial" w:cs="Arial" w:eastAsia="Arial" w:hAnsi="Arial"/>
          <w:color w:val="1A1A2E"/>
          <w:sz w:val="22"/>
          <w:szCs w:val="22"/>
        </w:rPr>
        <w:t xml:space="preserve">Drawdown stops — agents automatically pause execution when cumulative losses exceed a configured threshold.</w:t>
      </w:r>
    </w:p>
    <w:p>
      <w:pPr>
        <w:pStyle w:val="ListParagraph"/>
        <w:numPr>
          <w:ilvl w:val="0"/>
          <w:numId w:val="2"/>
        </w:numPr>
        <w:spacing w:after="40" w:before="40"/>
      </w:pPr>
      <w:r>
        <w:rPr>
          <w:rFonts w:ascii="Arial" w:cs="Arial" w:eastAsia="Arial" w:hAnsi="Arial"/>
          <w:color w:val="1A1A2E"/>
          <w:sz w:val="22"/>
          <w:szCs w:val="22"/>
        </w:rPr>
        <w:t xml:space="preserve">Strategy confidence thresholds — LLM outputs below a minimum confidence score are ignored; the agent holds rather than trades.</w:t>
      </w:r>
    </w:p>
    <w:p>
      <w:pPr>
        <w:pStyle w:val="ListParagraph"/>
        <w:numPr>
          <w:ilvl w:val="0"/>
          <w:numId w:val="2"/>
        </w:numPr>
        <w:spacing w:after="40" w:before="40"/>
      </w:pPr>
      <w:r>
        <w:rPr>
          <w:rFonts w:ascii="Arial" w:cs="Arial" w:eastAsia="Arial" w:hAnsi="Arial"/>
          <w:color w:val="1A1A2E"/>
          <w:sz w:val="22"/>
          <w:szCs w:val="22"/>
        </w:rPr>
        <w:t xml:space="preserve">Kill switch — any agent can be remotely halted via the Hub API from any client interface, with immediate effect.</w:t>
      </w:r>
    </w:p>
    <w:p>
      <w:pPr>
        <w:pStyle w:val="ListParagraph"/>
        <w:numPr>
          <w:ilvl w:val="0"/>
          <w:numId w:val="2"/>
        </w:numPr>
        <w:spacing w:after="40" w:before="40"/>
      </w:pPr>
      <w:r>
        <w:rPr>
          <w:rFonts w:ascii="Arial" w:cs="Arial" w:eastAsia="Arial" w:hAnsi="Arial"/>
          <w:color w:val="1A1A2E"/>
          <w:sz w:val="22"/>
          <w:szCs w:val="22"/>
        </w:rPr>
        <w:t xml:space="preserve">Paper trading default — all agents initialize in paper trading mode; live execution requires explicit user opt-in and funded credentials.</w:t>
      </w:r>
    </w:p>
    <w:p>
      <w:pPr>
        <w:spacing w:after="0" w:before="60"/>
      </w:pPr>
    </w:p>
    <w:p>
      <w:pPr>
        <w:pStyle w:val="Heading2"/>
        <w:spacing w:after="80" w:before="240"/>
      </w:pPr>
      <w:r>
        <w:rPr>
          <w:rFonts w:ascii="Arial" w:cs="Arial" w:eastAsia="Arial" w:hAnsi="Arial"/>
          <w:b/>
          <w:bCs/>
          <w:color w:val="534AB7"/>
          <w:sz w:val="26"/>
          <w:szCs w:val="26"/>
        </w:rPr>
        <w:t xml:space="preserve">Legal Disclaimer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ECBF6" w:sz="1"/>
              <w:left w:val="single" w:color="534AB7" w:sz="16"/>
              <w:bottom w:val="single" w:color="CECBF6" w:sz="1"/>
              <w:right w:val="single" w:color="CECBF6" w:sz="1"/>
            </w:tcBorders>
            <w:shd w:fill="F1EFE8" w:val="clear"/>
            <w:tcMar>
              <w:top w:type="dxa" w:w="160"/>
              <w:left w:type="dxa" w:w="240"/>
              <w:bottom w:type="dxa" w:w="160"/>
              <w:right w:type="dxa" w:w="240"/>
            </w:tcMar>
          </w:tcPr>
          <w:p>
            <w:r>
              <w:rPr>
                <w:rFonts w:ascii="Arial" w:cs="Arial" w:eastAsia="Arial" w:hAnsi="Arial"/>
                <w:i/>
                <w:iCs/>
                <w:color w:val="5F5E5A"/>
                <w:sz w:val="22"/>
                <w:szCs w:val="22"/>
              </w:rPr>
              <w:t xml:space="preserve">This litepaper is provided for informational purposes only and does not constitute financial advice, investment advice, trading advice, or any other form of advice. The Artic platform and its strategy library are intended for educational and experimental purposes. All strategies included in Artic's current release are designed for beginner to intermediate users and have not been validated for live capital deployment in all market conditions.</w:t>
            </w:r>
          </w:p>
        </w:tc>
      </w:tr>
    </w:tbl>
    <w:p>
      <w:pPr>
        <w:spacing w:after="0" w:before="80"/>
      </w:pPr>
    </w:p>
    <w:p>
      <w:pPr>
        <w:spacing w:after="60" w:before="60"/>
        <w:jc w:val="left"/>
      </w:pPr>
      <w:r>
        <w:rPr>
          <w:rFonts w:ascii="Arial" w:cs="Arial" w:eastAsia="Arial" w:hAnsi="Arial"/>
          <w:b w:val="false"/>
          <w:bCs w:val="false"/>
          <w:color w:val="1A1A2E"/>
          <w:sz w:val="22"/>
          <w:szCs w:val="22"/>
        </w:rPr>
        <w:t xml:space="preserve">Paper trading simulations do not involve real money and do not guarantee future performance of any strategy. Past backtesting results and simulated outcomes are not indicative of future results. Cryptocurrency and derivatives markets are highly volatile. Users who choose to deploy Artic agents in live trading mode do so at their own risk and are solely responsible for any financial outcomes.</w:t>
      </w:r>
    </w:p>
    <w:p>
      <w:pPr>
        <w:spacing w:after="0" w:before="60"/>
      </w:pPr>
    </w:p>
    <w:p>
      <w:pPr>
        <w:spacing w:after="60" w:before="60"/>
        <w:jc w:val="left"/>
      </w:pPr>
      <w:r>
        <w:rPr>
          <w:rFonts w:ascii="Arial" w:cs="Arial" w:eastAsia="Arial" w:hAnsi="Arial"/>
          <w:b w:val="false"/>
          <w:bCs w:val="false"/>
          <w:color w:val="1A1A2E"/>
          <w:sz w:val="22"/>
          <w:szCs w:val="22"/>
        </w:rPr>
        <w:t xml:space="preserve">Artic does not custody user funds. Private keys, wallet credentials, and exchange API keys remain under the sole control of the user at all times. The Artic team assumes no liability for losses arising from the use of this software.</w:t>
      </w:r>
    </w:p>
    <w:p>
      <w:pPr>
        <w:spacing w:after="0" w:before="60"/>
      </w:pPr>
    </w:p>
    <w:p>
      <w:pPr>
        <w:spacing w:after="60" w:before="60"/>
        <w:jc w:val="left"/>
      </w:pPr>
      <w:r>
        <w:rPr>
          <w:rFonts w:ascii="Arial" w:cs="Arial" w:eastAsia="Arial" w:hAnsi="Arial"/>
          <w:b w:val="false"/>
          <w:bCs w:val="false"/>
          <w:color w:val="1A1A2E"/>
          <w:sz w:val="22"/>
          <w:szCs w:val="22"/>
        </w:rPr>
        <w:t xml:space="preserve">This document does not constitute an offering of securities, tokens, or any regulated financial instrument. Artic has no token at this time. Nothing in this document should be construed as a solicitation to invest.</w:t>
      </w:r>
    </w:p>
    <w:p>
      <w:pPr>
        <w:pBdr>
          <w:bottom w:val="single" w:color="CECBF6" w:sz="4" w:space="1"/>
        </w:pBdr>
        <w:spacing w:after="120" w:before="120"/>
      </w:pPr>
    </w:p>
    <w:p>
      <w:pPr>
        <w:spacing w:after="0" w:before="240"/>
      </w:pPr>
    </w:p>
    <w:p>
      <w:pPr>
        <w:jc w:val="center"/>
      </w:pPr>
      <w:r>
        <w:rPr>
          <w:rFonts w:ascii="Arial" w:cs="Arial" w:eastAsia="Arial" w:hAnsi="Arial"/>
          <w:color w:val="5F5E5A"/>
          <w:sz w:val="20"/>
          <w:szCs w:val="20"/>
        </w:rPr>
        <w:t xml:space="preserve">ARTIC  ·  AI Trading Agent Orchestration Platform</w:t>
      </w:r>
    </w:p>
    <w:p>
      <w:pPr>
        <w:spacing w:after="0" w:before="40"/>
        <w:jc w:val="center"/>
      </w:pPr>
      <w:r>
        <w:rPr>
          <w:rFonts w:ascii="Arial" w:cs="Arial" w:eastAsia="Arial" w:hAnsi="Arial"/>
          <w:color w:val="AFA9EC"/>
          <w:sz w:val="18"/>
          <w:szCs w:val="18"/>
        </w:rPr>
        <w:t xml:space="preserve">artic.xyz  ·  github.com/artic  ·  @artic_hq</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ECBF6" w:sz="4" w:space="6"/>
      </w:pBdr>
      <w:tabs>
        <w:tab w:val="right" w:pos="9360"/>
      </w:tabs>
      <w:spacing w:after="0" w:before="80"/>
    </w:pPr>
    <w:r>
      <w:rPr>
        <w:rFonts w:ascii="Arial" w:cs="Arial" w:eastAsia="Arial" w:hAnsi="Arial"/>
        <w:color w:val="5F5E5A"/>
        <w:sz w:val="18"/>
        <w:szCs w:val="18"/>
      </w:rPr>
      <w:t xml:space="preserve">© 2025 Artic. All rights reserved.</w:t>
    </w:r>
    <w:r>
      <w:rPr>
        <w:rFonts w:ascii="Arial" w:cs="Arial" w:eastAsia="Arial" w:hAnsi="Arial"/>
        <w:sz w:val="18"/>
        <w:szCs w:val="18"/>
      </w:rPr>
      <w:t xml:space="preserve">	</w:t>
    </w:r>
    <w:r>
      <w:rPr>
        <w:rFonts w:ascii="Arial" w:cs="Arial" w:eastAsia="Arial" w:hAnsi="Arial"/>
        <w:color w:val="5F5E5A"/>
        <w:sz w:val="18"/>
        <w:szCs w:val="18"/>
      </w:rPr>
      <w:t xml:space="preserve">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ECBF6" w:sz="4" w:space="6"/>
      </w:pBdr>
      <w:tabs>
        <w:tab w:val="right" w:pos="9360"/>
      </w:tabs>
      <w:spacing w:after="80" w:before="0"/>
    </w:pPr>
    <w:r>
      <w:rPr>
        <w:rFonts w:ascii="Arial" w:cs="Arial" w:eastAsia="Arial" w:hAnsi="Arial"/>
        <w:b/>
        <w:bCs/>
        <w:color w:val="534AB7"/>
        <w:sz w:val="18"/>
        <w:szCs w:val="18"/>
      </w:rPr>
      <w:t xml:space="preserve">ARTIC</w:t>
    </w:r>
    <w:r>
      <w:rPr>
        <w:rFonts w:ascii="Arial" w:cs="Arial" w:eastAsia="Arial" w:hAnsi="Arial"/>
        <w:color w:val="5F5E5A"/>
        <w:sz w:val="18"/>
        <w:szCs w:val="18"/>
      </w:rPr>
      <w:t xml:space="preserve">  ·  AI Trading Agent Orchestration Platform</w:t>
    </w:r>
    <w:r>
      <w:rPr>
        <w:rFonts w:ascii="Arial" w:cs="Arial" w:eastAsia="Arial" w:hAnsi="Arial"/>
        <w:sz w:val="18"/>
        <w:szCs w:val="18"/>
      </w:rPr>
      <w:t xml:space="preserve">	</w:t>
    </w:r>
    <w:r>
      <w:rPr>
        <w:rFonts w:ascii="Arial" w:cs="Arial" w:eastAsia="Arial" w:hAnsi="Arial"/>
        <w:color w:val="5F5E5A"/>
        <w:sz w:val="18"/>
        <w:szCs w:val="18"/>
      </w:rPr>
      <w:t xml:space="preserve">Litepaper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534AB7"/>
      </w:rPr>
    </w:lvl>
    <w:lvl w:ilvl="1" w15:tentative="1">
      <w:start w:val="1"/>
      <w:numFmt w:val="bullet"/>
      <w:lvlText w:val="◦"/>
      <w:lvlJc w:val="left"/>
      <w:pPr>
        <w:ind w:left="1080" w:hanging="360"/>
      </w:pPr>
      <w:rPr>
        <w:color w:val="5F5E5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80" w:before="240"/>
      <w:outlineLvl w:val="1"/>
    </w:pPr>
    <w:rPr>
      <w:rFonts w:ascii="Arial" w:cs="Arial" w:eastAsia="Arial" w:hAnsi="Arial"/>
      <w:b/>
      <w:bCs/>
      <w:color w:val="534AB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2026-04-15T08:26:35.457Z</dcterms:created>
  <dcterms:modified xsi:type="dcterms:W3CDTF">2026-04-15T08:26:35.458Z</dcterms:modified>
</cp:coreProperties>
</file>

<file path=docProps/custom.xml><?xml version="1.0" encoding="utf-8"?>
<Properties xmlns="http://schemas.openxmlformats.org/officeDocument/2006/custom-properties" xmlns:vt="http://schemas.openxmlformats.org/officeDocument/2006/docPropsVTypes"/>
</file>