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Labolatorium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 mgr inż. Jakub Grotel</w:t>
            </w:r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C0164F">
            <w:pPr>
              <w:spacing w:after="0"/>
              <w:jc w:val="center"/>
            </w:pPr>
            <w:bookmarkStart w:id="0" w:name="_GoBack"/>
            <w:bookmarkEnd w:id="0"/>
            <w:r>
              <w:t>1</w:t>
            </w:r>
            <w:r w:rsidR="00EE403E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>Nr dośw</w:t>
            </w:r>
            <w:r w:rsidR="00EE403E">
              <w:t>.:</w:t>
            </w:r>
          </w:p>
          <w:p w:rsidR="00EE403E" w:rsidRDefault="00507E1E" w:rsidP="00EE403E">
            <w:pPr>
              <w:spacing w:after="0"/>
              <w:jc w:val="center"/>
            </w:pPr>
            <w:r>
              <w:t>E5.1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776EBD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Pomiary SEM ogniwa metodą kompensacji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E104A1" w:rsidRPr="00776EBD" w:rsidRDefault="00776EBD" w:rsidP="00E104A1">
      <w:pPr>
        <w:tabs>
          <w:tab w:val="left" w:pos="2977"/>
        </w:tabs>
        <w:ind w:left="360"/>
      </w:pPr>
      <w:r>
        <w:t>Celem ćwiczenia jest pomiar siły elektromotorycznej baterii metodą kompensacji. W zakres ćwiczenia wchodzi praktyczne zastosowanie prawa Ohm</w:t>
      </w:r>
      <w:r w:rsidR="006B0A13">
        <w:t>a</w:t>
      </w:r>
      <w:r w:rsidR="00EE4BA7">
        <w:t>, Praw Kirchhoffa praz wiedzy na temat siły elektromotorycznej dotyczącej ogniwa galwanicznego.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E104A1" w:rsidRPr="00281A00" w:rsidRDefault="00281A00" w:rsidP="00E104A1">
      <w:pPr>
        <w:tabs>
          <w:tab w:val="left" w:pos="2977"/>
        </w:tabs>
        <w:ind w:left="360"/>
        <w:rPr>
          <w:rFonts w:eastAsiaTheme="minorEastAsia"/>
        </w:rPr>
      </w:pPr>
      <w:r>
        <w:rPr>
          <w:rFonts w:eastAsiaTheme="minorEastAsia"/>
        </w:rPr>
        <w:t>Podczas ćwiczenia</w:t>
      </w:r>
      <w:r w:rsidRPr="00281A00">
        <w:rPr>
          <w:rFonts w:eastAsiaTheme="minorEastAsia"/>
        </w:rPr>
        <w:t xml:space="preserve"> mierzona jest siła elektromotoryczna (SEM) ogniwa galwanicznego. </w:t>
      </w:r>
      <w:r>
        <w:rPr>
          <w:rFonts w:eastAsiaTheme="minorEastAsia"/>
        </w:rPr>
        <w:t xml:space="preserve">SEM </w:t>
      </w:r>
      <w:r w:rsidRPr="00281A00">
        <w:rPr>
          <w:rFonts w:eastAsiaTheme="minorEastAsia"/>
        </w:rPr>
        <w:t>jest miarą zdolności ogniwa do przekazywania ładunku elektrycznego</w:t>
      </w:r>
      <w:r>
        <w:rPr>
          <w:rFonts w:eastAsiaTheme="minorEastAsia"/>
        </w:rPr>
        <w:t>, jednostką jest wolt (V). Wynikiem</w:t>
      </w:r>
      <w:r w:rsidRPr="00281A00">
        <w:rPr>
          <w:rFonts w:eastAsiaTheme="minorEastAsia"/>
        </w:rPr>
        <w:t xml:space="preserve"> działania siły elektromotorycznej, na zewnętrznym obciążeniu podłączonym do ogniwa powstaje różnica potencja</w:t>
      </w:r>
      <w:r>
        <w:rPr>
          <w:rFonts w:eastAsiaTheme="minorEastAsia"/>
        </w:rPr>
        <w:t>łów, czyli napięcie elektryczne.</w:t>
      </w:r>
      <w:r w:rsidRPr="00281A00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Pr="00281A00">
        <w:rPr>
          <w:rFonts w:eastAsiaTheme="minorEastAsia"/>
        </w:rPr>
        <w:t>ozwala</w:t>
      </w:r>
      <w:r>
        <w:rPr>
          <w:rFonts w:eastAsiaTheme="minorEastAsia"/>
        </w:rPr>
        <w:t xml:space="preserve"> to</w:t>
      </w:r>
      <w:r w:rsidRPr="00281A00">
        <w:rPr>
          <w:rFonts w:eastAsiaTheme="minorEastAsia"/>
        </w:rPr>
        <w:t xml:space="preserve"> na przepływ </w:t>
      </w:r>
      <w:r>
        <w:rPr>
          <w:rFonts w:eastAsiaTheme="minorEastAsia"/>
        </w:rPr>
        <w:t>prądu elektrycznego. W</w:t>
      </w:r>
      <w:r w:rsidRPr="00281A00">
        <w:rPr>
          <w:rFonts w:eastAsiaTheme="minorEastAsia"/>
        </w:rPr>
        <w:t>ewnętrzny opór ogniwa wpływa na wartość napięcia i prądu w obwodzie</w:t>
      </w:r>
      <w:r>
        <w:rPr>
          <w:rFonts w:eastAsiaTheme="minorEastAsia"/>
        </w:rPr>
        <w:t>, co wykorzystuje się w metodzie kompensacji.</w:t>
      </w:r>
    </w:p>
    <w:p w:rsid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t>Stanowisko pomiarowe</w:t>
      </w:r>
    </w:p>
    <w:p w:rsidR="00281A00" w:rsidRPr="00281A00" w:rsidRDefault="00281A00" w:rsidP="00281A00">
      <w:pPr>
        <w:tabs>
          <w:tab w:val="left" w:pos="2977"/>
        </w:tabs>
        <w:ind w:left="360"/>
        <w:rPr>
          <w:rFonts w:eastAsiaTheme="minorEastAsia"/>
          <w:b/>
        </w:rPr>
      </w:pPr>
      <w:r>
        <w:t>W skład zestawu doświadczalnego wchodzą: zasilacz napięcia stałego (Z), potencjometr (Rs), dzielnik napięcia-opornik dekadowy (Rd), mikroamperomierz (μA), badane ogniwo (Ex), galwanometr (G), wyłącznik (W2), wyłącznik telegraficzny (W1).</w:t>
      </w:r>
    </w:p>
    <w:p w:rsidR="00C0164F" w:rsidRDefault="00281A00" w:rsidP="00C0164F">
      <w:pPr>
        <w:keepNext/>
        <w:tabs>
          <w:tab w:val="left" w:pos="2977"/>
        </w:tabs>
        <w:ind w:left="360"/>
        <w:jc w:val="center"/>
      </w:pPr>
      <w:r w:rsidRPr="00281A00">
        <w:drawing>
          <wp:inline distT="0" distB="0" distL="0" distR="0" wp14:anchorId="4A97A2D3" wp14:editId="364E66B9">
            <wp:extent cx="2785357" cy="2604212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454" cy="26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00" w:rsidRPr="00F67F65" w:rsidRDefault="00C0164F" w:rsidP="00C0164F">
      <w:pPr>
        <w:pStyle w:val="Legenda"/>
        <w:jc w:val="center"/>
        <w:rPr>
          <w:noProof/>
          <w:lang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Schemat</w:t>
      </w:r>
      <w:r>
        <w:rPr>
          <w:noProof/>
        </w:rPr>
        <w:t xml:space="preserve"> obwodu elektrycznego</w:t>
      </w: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lastRenderedPageBreak/>
        <w:t>Wyniki ćwiczenia</w:t>
      </w:r>
    </w:p>
    <w:p w:rsidR="00E104A1" w:rsidRDefault="00E104A1" w:rsidP="00E104A1">
      <w:pPr>
        <w:ind w:left="360"/>
        <w:rPr>
          <w:b/>
        </w:rPr>
      </w:pPr>
    </w:p>
    <w:p w:rsidR="006B0A13" w:rsidRDefault="006B0A13" w:rsidP="006B0A13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0164F">
        <w:rPr>
          <w:noProof/>
        </w:rPr>
        <w:t>1</w:t>
      </w:r>
      <w:r>
        <w:fldChar w:fldCharType="end"/>
      </w:r>
      <w:r>
        <w:t xml:space="preserve"> Pomiary SEM</w:t>
      </w:r>
    </w:p>
    <w:tbl>
      <w:tblPr>
        <w:tblW w:w="48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60"/>
        <w:gridCol w:w="960"/>
        <w:gridCol w:w="960"/>
      </w:tblGrid>
      <w:tr w:rsidR="006B0A13" w:rsidRPr="006B0A13" w:rsidTr="006B0A13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Nr ogniwa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I[A]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[Ω]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[V]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&gt;[</w:t>
            </w: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V]</w:t>
            </w:r>
          </w:p>
        </w:tc>
      </w:tr>
      <w:tr w:rsidR="006B0A13" w:rsidRPr="006B0A13" w:rsidTr="006B0A13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9150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4,6299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4,4475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6590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5525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4,6244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4,6343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4,6327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4,6275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4,6252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4,6263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2,8196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6B0A13" w:rsidRDefault="006B0A13" w:rsidP="006B0A13">
      <w:pPr>
        <w:pStyle w:val="Akapitzlist"/>
      </w:pPr>
    </w:p>
    <w:p w:rsidR="006B0A13" w:rsidRDefault="006B0A13" w:rsidP="006B0A13">
      <w:pPr>
        <w:pStyle w:val="Akapitzlist"/>
      </w:pPr>
      <w:r w:rsidRPr="006B0A13">
        <w:t>Przykładowe obliczenia:</w:t>
      </w:r>
    </w:p>
    <w:p w:rsidR="00EE4BA7" w:rsidRPr="006B0A13" w:rsidRDefault="00EE4BA7" w:rsidP="006B0A13">
      <w:pPr>
        <w:pStyle w:val="Akapitzlist"/>
      </w:pPr>
    </w:p>
    <w:p w:rsidR="006B0A13" w:rsidRPr="00EE4BA7" w:rsidRDefault="006B0A13" w:rsidP="006B0A13">
      <w:pPr>
        <w:pStyle w:val="Akapitzlist"/>
        <w:rPr>
          <w:rFonts w:eastAsiaTheme="minorEastAsia"/>
          <w:color w:val="000000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=I*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0,000506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9150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4,6299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[V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]</m:t>
          </m:r>
        </m:oMath>
      </m:oMathPara>
    </w:p>
    <w:p w:rsidR="00EE4BA7" w:rsidRPr="00EE4BA7" w:rsidRDefault="00EE4BA7" w:rsidP="006B0A13">
      <w:pPr>
        <w:pStyle w:val="Akapitzlist"/>
      </w:pPr>
    </w:p>
    <w:p w:rsidR="006B0A13" w:rsidRPr="00EE4BA7" w:rsidRDefault="001C0633" w:rsidP="00EE4BA7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p w:rsidR="006B0A13" w:rsidRDefault="006B0A13" w:rsidP="00EE4BA7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0164F">
        <w:rPr>
          <w:noProof/>
        </w:rPr>
        <w:t>2</w:t>
      </w:r>
      <w:r>
        <w:fldChar w:fldCharType="end"/>
      </w:r>
      <w:r w:rsidR="003812E0">
        <w:t xml:space="preserve"> </w:t>
      </w:r>
      <w:r>
        <w:t>Wyznaczanie niepewności pomiarowej</w:t>
      </w:r>
    </w:p>
    <w:tbl>
      <w:tblPr>
        <w:tblW w:w="64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06"/>
        <w:gridCol w:w="1184"/>
        <w:gridCol w:w="1360"/>
        <w:gridCol w:w="960"/>
        <w:gridCol w:w="960"/>
      </w:tblGrid>
      <w:tr w:rsidR="006B0A13" w:rsidRPr="006B0A13" w:rsidTr="00EE4BA7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Ex[V]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13" w:rsidRPr="006B0A13" w:rsidRDefault="00EE4BA7" w:rsidP="00EE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13" w:rsidRPr="006B0A13" w:rsidRDefault="00EE4BA7" w:rsidP="00EE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13" w:rsidRPr="006B0A13" w:rsidRDefault="00EE4BA7" w:rsidP="00EE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ΔEx[V]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Ex[%]</w:t>
            </w:r>
          </w:p>
        </w:tc>
      </w:tr>
      <w:tr w:rsidR="006B0A13" w:rsidRPr="006B0A13" w:rsidTr="006B0A1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9150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0,000506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0,000014048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2,78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4,6328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6590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0,000703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0,000015624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2,22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4,6244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5525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0,000837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0,000016696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1,99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4295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0,001079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0,000018632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1,73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4,6327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3980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0,001164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0,000019312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1,66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3750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0,001234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0,000019872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1,61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4,6252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3435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0,001347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0,000020772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1,54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4,6263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3075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0,001505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0,000022036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1,47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4,6218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2860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0,001616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0,000022928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1,42</w:t>
            </w:r>
          </w:p>
        </w:tc>
      </w:tr>
      <w:tr w:rsidR="006B0A13" w:rsidRPr="006B0A13" w:rsidTr="006B0A1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2,8196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1545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0,001825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0,0000246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0,038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13" w:rsidRPr="006B0A13" w:rsidRDefault="006B0A13" w:rsidP="006B0A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B0A13">
              <w:rPr>
                <w:rFonts w:ascii="Calibri" w:eastAsia="Times New Roman" w:hAnsi="Calibri" w:cs="Calibri"/>
                <w:color w:val="000000"/>
                <w:lang w:eastAsia="pl-PL"/>
              </w:rPr>
              <w:t>1,35</w:t>
            </w:r>
          </w:p>
        </w:tc>
      </w:tr>
    </w:tbl>
    <w:p w:rsidR="00F67F65" w:rsidRDefault="00F67F65" w:rsidP="00FF4815">
      <w:pPr>
        <w:tabs>
          <w:tab w:val="left" w:pos="2977"/>
        </w:tabs>
        <w:ind w:left="360"/>
      </w:pPr>
    </w:p>
    <w:p w:rsidR="006B0A13" w:rsidRPr="006B0A13" w:rsidRDefault="006B0A13" w:rsidP="006B0A13">
      <w:pPr>
        <w:pStyle w:val="Akapitzlist"/>
      </w:pPr>
      <w:r w:rsidRPr="006B0A13">
        <w:t>Przykładowe obliczenia:</w:t>
      </w:r>
    </w:p>
    <w:p w:rsidR="00EE4BA7" w:rsidRPr="00EE4BA7" w:rsidRDefault="00EE4BA7" w:rsidP="00FF4815">
      <w:pPr>
        <w:tabs>
          <w:tab w:val="left" w:pos="2977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9150</m:t>
          </m:r>
        </m:oMath>
      </m:oMathPara>
    </w:p>
    <w:p w:rsidR="00EE4BA7" w:rsidRPr="00EE4BA7" w:rsidRDefault="00EE4BA7" w:rsidP="00EE4BA7">
      <w:pPr>
        <w:tabs>
          <w:tab w:val="left" w:pos="2977"/>
        </w:tabs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=I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0,000506</m:t>
          </m:r>
        </m:oMath>
      </m:oMathPara>
    </w:p>
    <w:p w:rsidR="00EE4BA7" w:rsidRPr="003812E0" w:rsidRDefault="00EE4BA7" w:rsidP="00EE4BA7">
      <w:pPr>
        <w:tabs>
          <w:tab w:val="left" w:pos="2977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0,8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0,00001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0,008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0,000506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0,00001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0,000014048</m:t>
          </m:r>
        </m:oMath>
      </m:oMathPara>
    </w:p>
    <w:p w:rsidR="00EE4BA7" w:rsidRPr="00EE4BA7" w:rsidRDefault="00EE4BA7" w:rsidP="00EE4BA7">
      <w:pPr>
        <w:tabs>
          <w:tab w:val="left" w:pos="2977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∂I</m:t>
                  </m:r>
                </m:den>
              </m:f>
            </m:e>
          </m:d>
          <m:r>
            <w:rPr>
              <w:rFonts w:ascii="Cambria Math" w:hAnsi="Cambria Math"/>
            </w:rPr>
            <m:t>*0,2+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9150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0,2+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0,000506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lang w:eastAsia="pl-PL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0,000014048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0,1285</m:t>
          </m:r>
        </m:oMath>
      </m:oMathPara>
    </w:p>
    <w:p w:rsidR="00EE4BA7" w:rsidRPr="00C0164F" w:rsidRDefault="00EE4BA7" w:rsidP="00EE4BA7">
      <w:pPr>
        <w:tabs>
          <w:tab w:val="left" w:pos="2977"/>
        </w:tabs>
        <w:ind w:left="360"/>
        <w:rPr>
          <w:rFonts w:eastAsiaTheme="minorEastAsia"/>
          <w:color w:val="000000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%</m:t>
              </m:r>
            </m:e>
          </m:d>
          <m:r>
            <w:rPr>
              <w:rFonts w:ascii="Cambria Math" w:eastAsiaTheme="minorEastAsia" w:hAnsi="Cambria Math"/>
            </w:rPr>
            <m:t>=100*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0,1285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4,6299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2,78</m:t>
          </m:r>
        </m:oMath>
      </m:oMathPara>
    </w:p>
    <w:p w:rsidR="00C0164F" w:rsidRPr="00EE4BA7" w:rsidRDefault="00C0164F" w:rsidP="00EE4BA7">
      <w:pPr>
        <w:tabs>
          <w:tab w:val="left" w:pos="2977"/>
        </w:tabs>
        <w:ind w:left="360"/>
        <w:rPr>
          <w:rFonts w:eastAsiaTheme="minorEastAsia"/>
        </w:rPr>
      </w:pP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3812E0" w:rsidP="009F7DDA">
      <w:pPr>
        <w:ind w:left="360"/>
      </w:pPr>
      <w:r>
        <w:t>Pomiar</w:t>
      </w:r>
      <w:r w:rsidRPr="003812E0">
        <w:t xml:space="preserve"> SEM ogniwa metodą kompensacji</w:t>
      </w:r>
      <w:r>
        <w:t xml:space="preserve"> jest stosunkowo prostym i przyjemnym ćwiczeniem, jednak trzeba zachowywać szczególną dokładność podczas wykonywania pomiarów. Dopiero po kilku pomiarach błąd pomiarowy zmalał. Ćwiczenie wykazało że SEM ogniwa wynosi </w:t>
      </w:r>
      <w:r w:rsidRPr="006B0A13">
        <w:rPr>
          <w:rFonts w:ascii="Calibri" w:eastAsia="Times New Roman" w:hAnsi="Calibri" w:cs="Calibri"/>
          <w:color w:val="000000"/>
          <w:lang w:eastAsia="pl-PL"/>
        </w:rPr>
        <w:t>4,4475</w:t>
      </w:r>
      <w:r>
        <w:rPr>
          <w:rFonts w:ascii="Calibri" w:eastAsia="Times New Roman" w:hAnsi="Calibri" w:cs="Calibri"/>
          <w:color w:val="000000"/>
          <w:lang w:eastAsia="pl-PL"/>
        </w:rPr>
        <w:t xml:space="preserve"> V.</w:t>
      </w:r>
    </w:p>
    <w:sectPr w:rsidR="003308A3" w:rsidSect="001C0633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BAE" w:rsidRDefault="00861BAE" w:rsidP="001C0633">
      <w:pPr>
        <w:spacing w:after="0" w:line="240" w:lineRule="auto"/>
      </w:pPr>
      <w:r>
        <w:separator/>
      </w:r>
    </w:p>
  </w:endnote>
  <w:endnote w:type="continuationSeparator" w:id="0">
    <w:p w:rsidR="00861BAE" w:rsidRDefault="00861BAE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BAE" w:rsidRDefault="00861BAE" w:rsidP="001C0633">
      <w:pPr>
        <w:spacing w:after="0" w:line="240" w:lineRule="auto"/>
      </w:pPr>
      <w:r>
        <w:separator/>
      </w:r>
    </w:p>
  </w:footnote>
  <w:footnote w:type="continuationSeparator" w:id="0">
    <w:p w:rsidR="00861BAE" w:rsidRDefault="00861BAE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B95"/>
    <w:multiLevelType w:val="hybridMultilevel"/>
    <w:tmpl w:val="5DA269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25AF7"/>
    <w:rsid w:val="000366A4"/>
    <w:rsid w:val="00036EBD"/>
    <w:rsid w:val="0009306B"/>
    <w:rsid w:val="000C7BBB"/>
    <w:rsid w:val="0014383C"/>
    <w:rsid w:val="001C0633"/>
    <w:rsid w:val="00206ACE"/>
    <w:rsid w:val="00252EE8"/>
    <w:rsid w:val="00254B48"/>
    <w:rsid w:val="00257208"/>
    <w:rsid w:val="00281A00"/>
    <w:rsid w:val="002B0B89"/>
    <w:rsid w:val="002F6E34"/>
    <w:rsid w:val="003138A5"/>
    <w:rsid w:val="003308A3"/>
    <w:rsid w:val="003812E0"/>
    <w:rsid w:val="00390BF3"/>
    <w:rsid w:val="003A09A4"/>
    <w:rsid w:val="00412D3E"/>
    <w:rsid w:val="004461CA"/>
    <w:rsid w:val="004B4A08"/>
    <w:rsid w:val="004F20E8"/>
    <w:rsid w:val="00507E1E"/>
    <w:rsid w:val="00581474"/>
    <w:rsid w:val="005A227C"/>
    <w:rsid w:val="00624EA5"/>
    <w:rsid w:val="006B0A13"/>
    <w:rsid w:val="006E5B5C"/>
    <w:rsid w:val="00721D7E"/>
    <w:rsid w:val="007707BF"/>
    <w:rsid w:val="00776EBD"/>
    <w:rsid w:val="00777787"/>
    <w:rsid w:val="007C7C5D"/>
    <w:rsid w:val="007D59BB"/>
    <w:rsid w:val="00861BAE"/>
    <w:rsid w:val="008F47E4"/>
    <w:rsid w:val="009025AE"/>
    <w:rsid w:val="0097723A"/>
    <w:rsid w:val="00995A86"/>
    <w:rsid w:val="009D66AD"/>
    <w:rsid w:val="009F7DDA"/>
    <w:rsid w:val="00A52862"/>
    <w:rsid w:val="00BA1A05"/>
    <w:rsid w:val="00C0164F"/>
    <w:rsid w:val="00C13D9F"/>
    <w:rsid w:val="00D6698D"/>
    <w:rsid w:val="00DB0A96"/>
    <w:rsid w:val="00E104A1"/>
    <w:rsid w:val="00E55D67"/>
    <w:rsid w:val="00E827F7"/>
    <w:rsid w:val="00EA329D"/>
    <w:rsid w:val="00EE403E"/>
    <w:rsid w:val="00EE4BA7"/>
    <w:rsid w:val="00F45E60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2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2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2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AC87-11F2-482F-BB06-465F5FDC8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3</cp:revision>
  <cp:lastPrinted>2023-03-26T20:38:00Z</cp:lastPrinted>
  <dcterms:created xsi:type="dcterms:W3CDTF">2023-03-26T13:25:00Z</dcterms:created>
  <dcterms:modified xsi:type="dcterms:W3CDTF">2023-03-26T20:39:00Z</dcterms:modified>
</cp:coreProperties>
</file>