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1275"/>
        <w:gridCol w:w="1843"/>
        <w:gridCol w:w="1237"/>
      </w:tblGrid>
      <w:tr w:rsidR="006408C7" w:rsidTr="006408C7">
        <w:trPr>
          <w:trHeight w:val="694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POLITECHNIKA LUBELSKA</w:t>
            </w:r>
          </w:p>
          <w:p w:rsidR="006408C7" w:rsidRDefault="006408C7" w:rsidP="00DA5A14">
            <w:pPr>
              <w:spacing w:after="0"/>
              <w:jc w:val="center"/>
            </w:pPr>
            <w:r>
              <w:t>Wydział Elektrotechniki i Informatyki</w:t>
            </w:r>
          </w:p>
          <w:p w:rsidR="006408C7" w:rsidRDefault="006408C7" w:rsidP="00DA5A14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5" w:type="dxa"/>
            <w:gridSpan w:val="3"/>
            <w:shd w:val="clear" w:color="auto" w:fill="auto"/>
            <w:vAlign w:val="center"/>
          </w:tcPr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6408C7" w:rsidTr="006408C7">
        <w:trPr>
          <w:trHeight w:val="320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Semestr</w:t>
            </w:r>
          </w:p>
          <w:p w:rsidR="006408C7" w:rsidRDefault="006408C7" w:rsidP="00DA5A14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Rok akademicki</w:t>
            </w:r>
          </w:p>
          <w:p w:rsidR="006408C7" w:rsidRDefault="006408C7" w:rsidP="00DA5A14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7" w:type="dxa"/>
            <w:vMerge w:val="restart"/>
            <w:shd w:val="clear" w:color="auto" w:fill="auto"/>
          </w:tcPr>
          <w:p w:rsidR="006408C7" w:rsidRDefault="006408C7" w:rsidP="00DA5A14">
            <w:pPr>
              <w:spacing w:after="0"/>
            </w:pPr>
            <w:r>
              <w:t>Grupa:</w:t>
            </w:r>
          </w:p>
          <w:p w:rsidR="006408C7" w:rsidRDefault="006408C7" w:rsidP="00DA5A14">
            <w:pPr>
              <w:spacing w:after="0"/>
              <w:jc w:val="center"/>
            </w:pPr>
            <w:r>
              <w:t>IIST 2.5</w:t>
            </w:r>
          </w:p>
          <w:p w:rsidR="006408C7" w:rsidRDefault="006408C7" w:rsidP="00DA5A14">
            <w:pPr>
              <w:spacing w:after="0"/>
              <w:jc w:val="center"/>
            </w:pPr>
          </w:p>
        </w:tc>
      </w:tr>
      <w:tr w:rsidR="006408C7" w:rsidTr="006408C7">
        <w:trPr>
          <w:trHeight w:val="630"/>
          <w:jc w:val="center"/>
        </w:trPr>
        <w:tc>
          <w:tcPr>
            <w:tcW w:w="4606" w:type="dxa"/>
            <w:vMerge w:val="restart"/>
            <w:shd w:val="clear" w:color="auto" w:fill="auto"/>
            <w:vAlign w:val="center"/>
          </w:tcPr>
          <w:p w:rsidR="006408C7" w:rsidRDefault="00040A15" w:rsidP="008D16EF">
            <w:pPr>
              <w:spacing w:after="0"/>
              <w:jc w:val="center"/>
            </w:pPr>
            <w:r>
              <w:t>1</w:t>
            </w:r>
            <w:r w:rsidR="006408C7">
              <w:t xml:space="preserve">. </w:t>
            </w: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237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</w:tr>
      <w:tr w:rsidR="006408C7" w:rsidTr="006408C7">
        <w:trPr>
          <w:trHeight w:val="876"/>
          <w:jc w:val="center"/>
        </w:trPr>
        <w:tc>
          <w:tcPr>
            <w:tcW w:w="4606" w:type="dxa"/>
            <w:vMerge/>
            <w:shd w:val="clear" w:color="auto" w:fill="auto"/>
          </w:tcPr>
          <w:p w:rsidR="006408C7" w:rsidRDefault="006408C7" w:rsidP="00DA5A14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Data wykonania ćwiczenia:</w:t>
            </w:r>
          </w:p>
          <w:p w:rsidR="006408C7" w:rsidRDefault="006408C7" w:rsidP="00DA5A14">
            <w:pPr>
              <w:spacing w:after="0"/>
              <w:jc w:val="center"/>
            </w:pPr>
          </w:p>
        </w:tc>
        <w:tc>
          <w:tcPr>
            <w:tcW w:w="1237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>
              <w:t>.:</w:t>
            </w:r>
          </w:p>
          <w:p w:rsidR="006408C7" w:rsidRDefault="00F0217A" w:rsidP="00DA5A14">
            <w:pPr>
              <w:spacing w:after="0"/>
              <w:jc w:val="center"/>
            </w:pPr>
            <w:r>
              <w:t>E 3.2</w:t>
            </w:r>
          </w:p>
        </w:tc>
      </w:tr>
      <w:tr w:rsidR="006408C7" w:rsidTr="006408C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96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8C7" w:rsidRDefault="006408C7" w:rsidP="00DA5A14">
            <w:pPr>
              <w:pStyle w:val="Akapitzlist"/>
              <w:spacing w:after="0"/>
              <w:ind w:left="0"/>
            </w:pPr>
            <w:r>
              <w:t>Temat ćwiczenia:</w:t>
            </w:r>
          </w:p>
          <w:p w:rsidR="006408C7" w:rsidRPr="00F0217A" w:rsidRDefault="00F0217A" w:rsidP="00F0217A">
            <w:pPr>
              <w:jc w:val="center"/>
              <w:rPr>
                <w:b/>
              </w:rPr>
            </w:pPr>
            <w:r w:rsidRPr="00F0217A">
              <w:rPr>
                <w:b/>
              </w:rPr>
              <w:t xml:space="preserve">Wyznaczanie oporu elektrycznego metodą mostka </w:t>
            </w:r>
            <w:proofErr w:type="spellStart"/>
            <w:r w:rsidRPr="00F0217A">
              <w:rPr>
                <w:b/>
              </w:rPr>
              <w:t>Wheatstone'a</w:t>
            </w:r>
            <w:proofErr w:type="spellEnd"/>
          </w:p>
        </w:tc>
      </w:tr>
    </w:tbl>
    <w:p w:rsidR="00011249" w:rsidRDefault="00011249"/>
    <w:p w:rsidR="004D3C21" w:rsidRDefault="006408C7" w:rsidP="004D3C21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4D3C21" w:rsidRDefault="00D10C81" w:rsidP="004D3C21">
      <w:pPr>
        <w:tabs>
          <w:tab w:val="left" w:pos="2977"/>
        </w:tabs>
      </w:pPr>
      <w:r>
        <w:t>Celem ćwiczenia jest w</w:t>
      </w:r>
      <w:r w:rsidR="004D3C21" w:rsidRPr="004D3C21">
        <w:t xml:space="preserve">yznaczenie oporu elektrycznego metodą mostka </w:t>
      </w:r>
      <w:proofErr w:type="spellStart"/>
      <w:r w:rsidR="004D3C21" w:rsidRPr="004D3C21">
        <w:t>Wheatstone’a</w:t>
      </w:r>
      <w:proofErr w:type="spellEnd"/>
      <w:r w:rsidR="004D3C21" w:rsidRPr="004D3C21">
        <w:t>.</w:t>
      </w:r>
      <w:r>
        <w:t xml:space="preserve"> Do wykonania zadania niezbędny jest obwód pomiarowy w skład którego wchodzą: listwa z drutem oporowym, zasilacz, wyłącznik, wyłącznik chwilowy, potencjometr, o</w:t>
      </w:r>
      <w:r w:rsidR="007D7BD3">
        <w:t>pornik dekadowy, badany opornik oraz</w:t>
      </w:r>
      <w:r>
        <w:t xml:space="preserve"> galwanometr.</w:t>
      </w:r>
      <w:r w:rsidR="004D3C21">
        <w:t xml:space="preserve"> Dla każdego badanego opornika należy co pomiar przesuwając ruchomy suwak co 5 [cm] dobrać odpowiedni opór na oporniku dekadowym </w:t>
      </w:r>
      <w:r>
        <w:t xml:space="preserve">tak, </w:t>
      </w:r>
      <w:r w:rsidR="004D3C21">
        <w:t xml:space="preserve">aby galwanometr wskazał wartość równą 0. Następnie trzeba wyliczyć wartość średnią oporu ze wszystkich obliczonych wartości. </w:t>
      </w:r>
      <w:r>
        <w:t>Otrzymana wartość będzie wyznaczonym oporem badanego opornika. Wzór na opór sprawdzanego opornika to:</w:t>
      </w:r>
    </w:p>
    <w:p w:rsidR="008925F6" w:rsidRPr="008925F6" w:rsidRDefault="00BD24B0" w:rsidP="004D3C21">
      <w:pPr>
        <w:tabs>
          <w:tab w:val="left" w:pos="2977"/>
        </w:tabs>
        <w:rPr>
          <w:rFonts w:eastAsiaTheme="minorEastAsia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pl-PL"/>
            </w:rPr>
            <m:t>*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a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l-a</m:t>
              </m:r>
            </m:den>
          </m:f>
          <m:r>
            <w:rPr>
              <w:rFonts w:ascii="Cambria Math" w:eastAsiaTheme="minorEastAsia" w:hAnsi="Cambria Math"/>
              <w:color w:val="000000"/>
              <w:lang w:eastAsia="pl-PL"/>
            </w:rPr>
            <m:t xml:space="preserve"> gdzie:</m:t>
          </m:r>
        </m:oMath>
      </m:oMathPara>
    </w:p>
    <w:p w:rsidR="00F0217A" w:rsidRDefault="00BD24B0" w:rsidP="008925F6">
      <w:pPr>
        <w:pStyle w:val="Akapitzlist"/>
        <w:tabs>
          <w:tab w:val="left" w:pos="2977"/>
        </w:tabs>
        <w:ind w:left="360"/>
        <w:jc w:val="center"/>
        <w:rPr>
          <w:rFonts w:eastAsiaTheme="minorEastAsia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x</m:t>
            </m:r>
          </m:sub>
        </m:sSub>
      </m:oMath>
      <w:r w:rsidR="008925F6">
        <w:rPr>
          <w:rFonts w:eastAsiaTheme="minorEastAsia"/>
          <w:color w:val="000000"/>
          <w:lang w:eastAsia="pl-PL"/>
        </w:rPr>
        <w:t xml:space="preserve">= opór sprawdzanego opornika,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3</m:t>
            </m:r>
          </m:sub>
        </m:sSub>
      </m:oMath>
      <w:r w:rsidR="008925F6">
        <w:rPr>
          <w:rFonts w:eastAsiaTheme="minorEastAsia"/>
          <w:color w:val="000000"/>
          <w:lang w:eastAsia="pl-PL"/>
        </w:rPr>
        <w:t xml:space="preserve">= opór opornika dekadowego, </w:t>
      </w:r>
      <m:oMath>
        <m:r>
          <w:rPr>
            <w:rFonts w:ascii="Cambria Math" w:eastAsia="Times New Roman" w:hAnsi="Cambria Math" w:cs="Calibri"/>
            <w:color w:val="000000"/>
            <w:lang w:eastAsia="pl-PL"/>
          </w:rPr>
          <m:t>a</m:t>
        </m:r>
      </m:oMath>
      <w:r w:rsidR="008925F6">
        <w:rPr>
          <w:rFonts w:eastAsiaTheme="minorEastAsia"/>
          <w:color w:val="000000"/>
          <w:lang w:eastAsia="pl-PL"/>
        </w:rPr>
        <w:t xml:space="preserve"> = położenie suwaka, </w:t>
      </w:r>
      <m:oMath>
        <m:r>
          <w:rPr>
            <w:rFonts w:ascii="Cambria Math" w:eastAsia="Times New Roman" w:hAnsi="Cambria Math" w:cs="Calibri"/>
            <w:color w:val="000000"/>
            <w:lang w:eastAsia="pl-PL"/>
          </w:rPr>
          <m:t>l=</m:t>
        </m:r>
      </m:oMath>
      <w:r w:rsidR="008925F6">
        <w:rPr>
          <w:rFonts w:eastAsiaTheme="minorEastAsia"/>
          <w:color w:val="000000"/>
          <w:lang w:eastAsia="pl-PL"/>
        </w:rPr>
        <w:t>długość suwaka oporowego (1[m])</w:t>
      </w:r>
    </w:p>
    <w:p w:rsidR="007D7BD3" w:rsidRPr="007D7BD3" w:rsidRDefault="007D7BD3" w:rsidP="007D7BD3">
      <w:pPr>
        <w:tabs>
          <w:tab w:val="left" w:pos="2977"/>
        </w:tabs>
        <w:rPr>
          <w:sz w:val="20"/>
        </w:rPr>
      </w:pPr>
      <w:r w:rsidRPr="007D7BD3">
        <w:rPr>
          <w:b/>
          <w:i/>
          <w:sz w:val="20"/>
        </w:rPr>
        <w:t>Prawo Ohma</w:t>
      </w:r>
      <w:r w:rsidRPr="007D7BD3">
        <w:rPr>
          <w:sz w:val="20"/>
        </w:rPr>
        <w:t xml:space="preserve"> - Natężenie prądu płynącego przez przewodnik jest wprost proporcjonalne do napięcia przyłożonego do jego końców.</w:t>
      </w:r>
    </w:p>
    <w:p w:rsidR="007D7BD3" w:rsidRPr="007D7BD3" w:rsidRDefault="007D7BD3" w:rsidP="007D7BD3">
      <w:pPr>
        <w:tabs>
          <w:tab w:val="left" w:pos="2977"/>
        </w:tabs>
        <w:rPr>
          <w:sz w:val="20"/>
        </w:rPr>
      </w:pPr>
      <w:r w:rsidRPr="007D7BD3">
        <w:rPr>
          <w:b/>
          <w:i/>
          <w:sz w:val="20"/>
        </w:rPr>
        <w:t>Pierwsze Prawo Kirchhoffa</w:t>
      </w:r>
      <w:r w:rsidRPr="007D7BD3">
        <w:rPr>
          <w:sz w:val="20"/>
        </w:rPr>
        <w:t xml:space="preserve"> - Suma natężeń prądów wpływających do węzła obwodu elektrycznego jest równa sumie natężeń prądów wypływających z tego węzła.</w:t>
      </w:r>
    </w:p>
    <w:p w:rsidR="008925F6" w:rsidRPr="007D7BD3" w:rsidRDefault="007D7BD3" w:rsidP="007D7BD3">
      <w:pPr>
        <w:tabs>
          <w:tab w:val="left" w:pos="2977"/>
        </w:tabs>
        <w:rPr>
          <w:sz w:val="20"/>
        </w:rPr>
      </w:pPr>
      <w:r w:rsidRPr="007D7BD3">
        <w:rPr>
          <w:b/>
          <w:i/>
          <w:sz w:val="20"/>
        </w:rPr>
        <w:t>Drugie Prawo Kirchhoffa</w:t>
      </w:r>
      <w:r w:rsidRPr="007D7BD3">
        <w:rPr>
          <w:sz w:val="20"/>
        </w:rPr>
        <w:t xml:space="preserve"> - W zamkniętym obwodzie suma spadków napięć na oporach równa jest sumie sił elektromotorycznych występujących w tym obwodzie.</w:t>
      </w:r>
    </w:p>
    <w:p w:rsidR="00C05AEE" w:rsidRDefault="006408C7" w:rsidP="00040A15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BF6B71">
        <w:rPr>
          <w:b/>
        </w:rPr>
        <w:t>Dane pomiarowe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1490"/>
        <w:gridCol w:w="1490"/>
        <w:gridCol w:w="1733"/>
        <w:gridCol w:w="1707"/>
        <w:gridCol w:w="1317"/>
      </w:tblGrid>
      <w:tr w:rsidR="00D533C0" w:rsidRPr="00D533C0" w:rsidTr="004D3C21">
        <w:trPr>
          <w:trHeight w:val="315"/>
        </w:trPr>
        <w:tc>
          <w:tcPr>
            <w:tcW w:w="73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Opornik nr: 1</w:t>
            </w:r>
          </w:p>
        </w:tc>
        <w:tc>
          <w:tcPr>
            <w:tcW w:w="8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l[m]</w:t>
            </w:r>
          </w:p>
        </w:tc>
        <w:tc>
          <w:tcPr>
            <w:tcW w:w="82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4D3C21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a</m:t>
              </m:r>
            </m:oMath>
            <w:r w:rsidR="00D533C0"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95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BD24B0" w:rsidP="004D3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9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BD24B0" w:rsidP="004D3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72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33C0" w:rsidRPr="00D533C0" w:rsidRDefault="004D3C21" w:rsidP="004D3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wartość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Ω</m:t>
                  </m:r>
                </m:e>
              </m:d>
            </m:oMath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533C0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3C0" w:rsidRPr="00D533C0" w:rsidRDefault="00D533C0" w:rsidP="00D53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F0217A" w:rsidRDefault="00F0217A" w:rsidP="00F0217A">
      <w:pPr>
        <w:pStyle w:val="Akapitzlist"/>
        <w:rPr>
          <w:b/>
        </w:rPr>
      </w:pPr>
    </w:p>
    <w:p w:rsidR="00074360" w:rsidRDefault="00074360" w:rsidP="00F0217A">
      <w:pPr>
        <w:pStyle w:val="Akapitzlist"/>
        <w:rPr>
          <w:b/>
        </w:rPr>
      </w:pPr>
    </w:p>
    <w:p w:rsidR="00074360" w:rsidRDefault="00074360" w:rsidP="00F0217A">
      <w:pPr>
        <w:pStyle w:val="Akapitzlist"/>
        <w:rPr>
          <w:b/>
        </w:rPr>
      </w:pPr>
    </w:p>
    <w:p w:rsidR="00074360" w:rsidRDefault="00074360" w:rsidP="00F0217A">
      <w:pPr>
        <w:pStyle w:val="Akapitzlist"/>
        <w:rPr>
          <w:b/>
        </w:rPr>
      </w:pPr>
    </w:p>
    <w:p w:rsidR="00074360" w:rsidRDefault="00074360" w:rsidP="00F0217A">
      <w:pPr>
        <w:pStyle w:val="Akapitzlist"/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1490"/>
        <w:gridCol w:w="1490"/>
        <w:gridCol w:w="1733"/>
        <w:gridCol w:w="1707"/>
        <w:gridCol w:w="1317"/>
      </w:tblGrid>
      <w:tr w:rsidR="004D3C21" w:rsidRPr="00D533C0" w:rsidTr="004D3C21">
        <w:trPr>
          <w:trHeight w:val="315"/>
        </w:trPr>
        <w:tc>
          <w:tcPr>
            <w:tcW w:w="73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3C21" w:rsidRPr="00D533C0" w:rsidRDefault="004D3C21" w:rsidP="004D3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Opornik nr: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8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l[m]</w:t>
            </w:r>
          </w:p>
        </w:tc>
        <w:tc>
          <w:tcPr>
            <w:tcW w:w="82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a</m:t>
              </m:r>
            </m:oMath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95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BD24B0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9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BD24B0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72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wartość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Ω</m:t>
                  </m:r>
                </m:e>
              </m:d>
            </m:oMath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4D3C21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4D3C21" w:rsidRPr="00074360" w:rsidRDefault="004D3C21" w:rsidP="00074360">
      <w:pPr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1490"/>
        <w:gridCol w:w="1490"/>
        <w:gridCol w:w="1733"/>
        <w:gridCol w:w="1707"/>
        <w:gridCol w:w="1317"/>
      </w:tblGrid>
      <w:tr w:rsidR="004D3C21" w:rsidRPr="00D533C0" w:rsidTr="00D05BB4">
        <w:trPr>
          <w:trHeight w:val="315"/>
        </w:trPr>
        <w:tc>
          <w:tcPr>
            <w:tcW w:w="73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Opornik nr: 3</w:t>
            </w:r>
          </w:p>
        </w:tc>
        <w:tc>
          <w:tcPr>
            <w:tcW w:w="8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l[m]</w:t>
            </w:r>
          </w:p>
        </w:tc>
        <w:tc>
          <w:tcPr>
            <w:tcW w:w="82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a</m:t>
              </m:r>
            </m:oMath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95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BD24B0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9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BD24B0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72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wartość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Ω</m:t>
                  </m:r>
                </m:e>
              </m:d>
            </m:oMath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4D3C21" w:rsidRDefault="004D3C21" w:rsidP="00F0217A">
      <w:pPr>
        <w:pStyle w:val="Akapitzlist"/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1490"/>
        <w:gridCol w:w="1490"/>
        <w:gridCol w:w="1733"/>
        <w:gridCol w:w="1707"/>
        <w:gridCol w:w="1317"/>
      </w:tblGrid>
      <w:tr w:rsidR="004D3C21" w:rsidRPr="00D533C0" w:rsidTr="00D05BB4">
        <w:trPr>
          <w:trHeight w:val="315"/>
        </w:trPr>
        <w:tc>
          <w:tcPr>
            <w:tcW w:w="73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3C21" w:rsidRPr="00D533C0" w:rsidRDefault="004D3C21" w:rsidP="004D3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Opornik n</w:t>
            </w:r>
            <w:bookmarkStart w:id="0" w:name="_GoBack"/>
            <w:bookmarkEnd w:id="0"/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r: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l[m]</w:t>
            </w:r>
          </w:p>
        </w:tc>
        <w:tc>
          <w:tcPr>
            <w:tcW w:w="82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a</m:t>
              </m:r>
            </m:oMath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[m]</w:t>
            </w:r>
          </w:p>
        </w:tc>
        <w:tc>
          <w:tcPr>
            <w:tcW w:w="95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BD24B0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9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BD24B0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72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wartość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Ω</m:t>
                  </m:r>
                </m:e>
              </m:d>
            </m:oMath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0,45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0,65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4D3C21" w:rsidRPr="00D533C0" w:rsidTr="00D05BB4">
        <w:trPr>
          <w:trHeight w:val="300"/>
        </w:trPr>
        <w:tc>
          <w:tcPr>
            <w:tcW w:w="73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33C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2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D3C21" w:rsidRPr="00D533C0" w:rsidRDefault="004D3C21" w:rsidP="00D05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4D3C21" w:rsidRPr="00F0217A" w:rsidRDefault="004D3C21" w:rsidP="00F0217A">
      <w:pPr>
        <w:pStyle w:val="Akapitzlist"/>
        <w:rPr>
          <w:b/>
        </w:rPr>
      </w:pPr>
    </w:p>
    <w:p w:rsidR="007D7BD3" w:rsidRDefault="007D7BD3">
      <w:pPr>
        <w:rPr>
          <w:b/>
        </w:rPr>
      </w:pPr>
      <w:r>
        <w:rPr>
          <w:b/>
        </w:rPr>
        <w:br w:type="page"/>
      </w:r>
    </w:p>
    <w:p w:rsidR="00F0217A" w:rsidRPr="00040A15" w:rsidRDefault="00F0217A" w:rsidP="00F0217A">
      <w:pPr>
        <w:pStyle w:val="Akapitzlist"/>
        <w:tabs>
          <w:tab w:val="left" w:pos="2977"/>
        </w:tabs>
        <w:ind w:left="360"/>
        <w:rPr>
          <w:b/>
        </w:rPr>
      </w:pPr>
    </w:p>
    <w:p w:rsidR="00FC5BD1" w:rsidRDefault="006408C7" w:rsidP="00FC5BD1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>
        <w:rPr>
          <w:b/>
        </w:rPr>
        <w:t>Notatki</w:t>
      </w:r>
    </w:p>
    <w:p w:rsidR="00F0217A" w:rsidRDefault="00F0217A" w:rsidP="00F0217A">
      <w:pPr>
        <w:pStyle w:val="Akapitzlist"/>
        <w:tabs>
          <w:tab w:val="left" w:pos="2977"/>
        </w:tabs>
        <w:ind w:left="360"/>
        <w:rPr>
          <w:b/>
        </w:rPr>
      </w:pPr>
    </w:p>
    <w:p w:rsid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p w:rsidR="00FC5BD1" w:rsidRP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sectPr w:rsidR="00FC5BD1" w:rsidRPr="00FC5B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4B0" w:rsidRDefault="00BD24B0" w:rsidP="00FC5BD1">
      <w:pPr>
        <w:spacing w:after="0" w:line="240" w:lineRule="auto"/>
      </w:pPr>
      <w:r>
        <w:separator/>
      </w:r>
    </w:p>
  </w:endnote>
  <w:endnote w:type="continuationSeparator" w:id="0">
    <w:p w:rsidR="00BD24B0" w:rsidRDefault="00BD24B0" w:rsidP="00FC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1627512"/>
      <w:docPartObj>
        <w:docPartGallery w:val="Page Numbers (Bottom of Page)"/>
        <w:docPartUnique/>
      </w:docPartObj>
    </w:sdtPr>
    <w:sdtEndPr/>
    <w:sdtContent>
      <w:p w:rsidR="00FC5BD1" w:rsidRDefault="00FC5BD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BD3">
          <w:rPr>
            <w:noProof/>
          </w:rPr>
          <w:t>3</w:t>
        </w:r>
        <w:r>
          <w:fldChar w:fldCharType="end"/>
        </w:r>
      </w:p>
    </w:sdtContent>
  </w:sdt>
  <w:p w:rsidR="00FC5BD1" w:rsidRDefault="00FC5BD1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4B0" w:rsidRDefault="00BD24B0" w:rsidP="00FC5BD1">
      <w:pPr>
        <w:spacing w:after="0" w:line="240" w:lineRule="auto"/>
      </w:pPr>
      <w:r>
        <w:separator/>
      </w:r>
    </w:p>
  </w:footnote>
  <w:footnote w:type="continuationSeparator" w:id="0">
    <w:p w:rsidR="00BD24B0" w:rsidRDefault="00BD24B0" w:rsidP="00FC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Pr="00FC5BD1" w:rsidRDefault="00FC5BD1" w:rsidP="00FC5BD1">
    <w:pPr>
      <w:pStyle w:val="Nagwek"/>
      <w:jc w:val="center"/>
      <w:rPr>
        <w:b/>
      </w:rPr>
    </w:pPr>
    <w:r w:rsidRPr="00FC5BD1">
      <w:rPr>
        <w:b/>
      </w:rPr>
      <w:t>PROTOKÓŁ POMIAROWY</w:t>
    </w:r>
  </w:p>
  <w:p w:rsidR="00FC5BD1" w:rsidRDefault="00BD24B0" w:rsidP="00FC5BD1">
    <w:pPr>
      <w:pStyle w:val="Nagwek"/>
      <w:jc w:val="center"/>
    </w:pPr>
    <w:r>
      <w:pict>
        <v:rect id="_x0000_i1025" style="width:0;height:1.5pt" o:hralign="center" o:hrstd="t" o:hr="t" fillcolor="#a0a0a0" stroked="f"/>
      </w:pict>
    </w:r>
  </w:p>
  <w:p w:rsidR="00FC5BD1" w:rsidRDefault="00FC5BD1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7081E"/>
    <w:multiLevelType w:val="hybridMultilevel"/>
    <w:tmpl w:val="BF8E5F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AC"/>
    <w:rsid w:val="00011249"/>
    <w:rsid w:val="00040A15"/>
    <w:rsid w:val="00053F7F"/>
    <w:rsid w:val="00074360"/>
    <w:rsid w:val="00096E3A"/>
    <w:rsid w:val="00351F59"/>
    <w:rsid w:val="00372A76"/>
    <w:rsid w:val="004D3C21"/>
    <w:rsid w:val="00637FB0"/>
    <w:rsid w:val="006408C7"/>
    <w:rsid w:val="0076794F"/>
    <w:rsid w:val="007D7BD3"/>
    <w:rsid w:val="00817274"/>
    <w:rsid w:val="008925F6"/>
    <w:rsid w:val="008D16EF"/>
    <w:rsid w:val="00930FED"/>
    <w:rsid w:val="009C7B8D"/>
    <w:rsid w:val="00BD24B0"/>
    <w:rsid w:val="00BF6B71"/>
    <w:rsid w:val="00C05AEE"/>
    <w:rsid w:val="00D10C81"/>
    <w:rsid w:val="00D533C0"/>
    <w:rsid w:val="00DB56EE"/>
    <w:rsid w:val="00DD2B22"/>
    <w:rsid w:val="00F0217A"/>
    <w:rsid w:val="00F42FAC"/>
    <w:rsid w:val="00FB3F7A"/>
    <w:rsid w:val="00F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F23C8-2E62-4721-9244-5EEC8C8C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408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8C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5AE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5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5BD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5BD1"/>
  </w:style>
  <w:style w:type="paragraph" w:styleId="Stopka">
    <w:name w:val="footer"/>
    <w:basedOn w:val="Normalny"/>
    <w:link w:val="Stopka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5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345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4</cp:revision>
  <cp:lastPrinted>2023-03-06T05:44:00Z</cp:lastPrinted>
  <dcterms:created xsi:type="dcterms:W3CDTF">2023-03-13T13:25:00Z</dcterms:created>
  <dcterms:modified xsi:type="dcterms:W3CDTF">2023-03-13T14:39:00Z</dcterms:modified>
</cp:coreProperties>
</file>